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识别预后显著基因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在满足比例风险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假定的前提下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（v3.8-3，https://cran.r-project.org/package=survival）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进行单因素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对每个基因逐一评估其与总生存期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（Overall Survival, OS）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的关联强度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。cox.zph()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 &gt;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检验的标准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&lt; 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为阈值筛选候选预后基因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Lasso（Least Absolute Shrinkage and Selection Operator）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回归进行特征筛选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glmnet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（v4.1-8，https://cran.r-project.org/package=glmnet）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折交叉验证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（cv.glmnet, family='cox', lambda=lambda.min）。L1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惩罚项可有效压缩系数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避免过拟合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筛选出最关键的预后基因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风险评分模型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筛选得到的基因及其系数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构建风险评分模型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：RiskScore = Σ(coef_i × expression_i)。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以风险评分的中位数作为截断值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将患者划分为高风险组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（High）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（Low）。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数据处理与绑图采用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dplyr（v1.2.0）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ggplot2（v4.0.0，https://cran.r-project.org/package=ggplot2）。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模型评估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采用以下四种方法对模型进行综合评估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（1）Kaplan-Meier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survminer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（v0.5.0，https://cran.r-project.org/package=survminer）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ggsurvplot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函数绘制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设置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surv.median.line='hv'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显示中位生存线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（2）Log-rank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survival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survdiff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低风险两组的生存曲线差异进行统计学检验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timeROC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（v0.4，https://cran.r-project.org/package=timeROC）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进行边际加权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（marginal weighting）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评估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年三个时间节点的区分能力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（4）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表达热图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ComplexHeatmap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（v2.24.0，https://bioconductor.org/packages/release/bioc/html/ComplexHeatmap.html）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绘制预后基因在样本中的表达谱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统计分析平台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所有统计分析及绑图均使用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R（v4.5.2，https://www.r-project.org）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及其扩展包完成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。Word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文档生成采用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officer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（v0.7.3）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flextable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（v0.9.10，https://cran.r-project.org/package=officer）。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汇总统计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总样本数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：752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：177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：575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：79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低风险组死亡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例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1/3/5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 / 0.756 / 0.784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特征选择结果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22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个关键预后基因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为各基因的回归系数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单因素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Cox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 269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PH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假定检验的基因数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：219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Kaplan-Meier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：Log-rank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：p = 0.0000。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高风险组生存概率显著低于低风险组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时间依赖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ROC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曲线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0.725，3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0.756，5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AUC = 0.784，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模型在各时间节点均展现出良好的区分能力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生存状态分布图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上图为各患者生存状态散点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存活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三角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死亡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下图为对应风险评分排序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灰色虚线为高低风险组截断值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风险评分分布图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红色虚线为风险评分中位值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用于划分高低风险组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5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预后基因表达热图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列对应患者样本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按风险评分降序排列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Lasso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筛选的预后基因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。Z-score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标准化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截断至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[-2, 2]），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行方向聚类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2026-03-23T11:21:17Z</dcterms:modified>
  <cp:category/>
</cp:coreProperties>
</file>