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tLeast"/>
        <w:ind w:right="-514"/>
        <w:jc w:val="center"/>
        <w:rPr>
          <w:rFonts w:ascii="Times New Roman" w:hAnsi="Times New Roman" w:eastAsia="宋体" w:cs="Times New Roman"/>
          <w:sz w:val="32"/>
          <w:szCs w:val="32"/>
        </w:rPr>
      </w:pPr>
      <w:bookmarkStart w:id="36" w:name="_GoBack"/>
      <w:bookmarkEnd w:id="36"/>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b/>
          <w:color w:val="000000"/>
          <w:sz w:val="32"/>
          <w:szCs w:val="32"/>
        </w:rPr>
      </w:pPr>
      <w:bookmarkStart w:id="0" w:name="_DV_M4"/>
      <w:bookmarkEnd w:id="0"/>
      <w:bookmarkStart w:id="1" w:name="_DV_M9"/>
      <w:bookmarkEnd w:id="1"/>
      <w:bookmarkStart w:id="2" w:name="_DV_M2"/>
      <w:bookmarkEnd w:id="2"/>
      <w:bookmarkStart w:id="3" w:name="_DV_M3"/>
      <w:bookmarkEnd w:id="3"/>
      <w:bookmarkStart w:id="4" w:name="_DV_M5"/>
      <w:bookmarkEnd w:id="4"/>
      <w:bookmarkStart w:id="5" w:name="_DV_M7"/>
      <w:bookmarkEnd w:id="5"/>
      <w:bookmarkStart w:id="6" w:name="_DV_M10"/>
      <w:bookmarkEnd w:id="6"/>
      <w:bookmarkStart w:id="7" w:name="_DV_M8"/>
      <w:bookmarkEnd w:id="7"/>
      <w:bookmarkStart w:id="8" w:name="_DV_M11"/>
      <w:bookmarkEnd w:id="8"/>
      <w:bookmarkStart w:id="9" w:name="_DV_M1"/>
      <w:bookmarkEnd w:id="9"/>
      <w:bookmarkStart w:id="10" w:name="_DV_M6"/>
      <w:bookmarkEnd w:id="10"/>
    </w:p>
    <w:p>
      <w:pPr>
        <w:pStyle w:val="15"/>
        <w:spacing w:line="420" w:lineRule="atLeast"/>
        <w:ind w:right="-514"/>
        <w:rPr>
          <w:rFonts w:ascii="Times New Roman" w:hAnsi="Times New Roman" w:eastAsia="宋体" w:cs="Times New Roman"/>
          <w:color w:val="000000"/>
          <w:szCs w:val="32"/>
        </w:rPr>
      </w:pPr>
    </w:p>
    <w:p>
      <w:pPr>
        <w:pStyle w:val="15"/>
        <w:spacing w:line="420" w:lineRule="atLeast"/>
        <w:ind w:right="-514"/>
        <w:rPr>
          <w:rFonts w:ascii="Times New Roman" w:hAnsi="Times New Roman" w:eastAsia="宋体" w:cs="Times New Roman"/>
          <w:color w:val="000000"/>
          <w:szCs w:val="32"/>
        </w:rPr>
      </w:pPr>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p>
    <w:p>
      <w:pPr>
        <w:spacing w:line="420" w:lineRule="atLeast"/>
        <w:ind w:right="-514"/>
        <w:jc w:val="center"/>
        <w:rPr>
          <w:rFonts w:ascii="Times New Roman" w:hAnsi="Times New Roman" w:eastAsia="宋体" w:cs="Times New Roman"/>
          <w:b/>
          <w:color w:val="000000"/>
          <w:sz w:val="32"/>
          <w:szCs w:val="32"/>
        </w:rPr>
      </w:pPr>
      <w:r>
        <w:rPr>
          <w:rFonts w:hint="eastAsia" w:ascii="Times New Roman" w:hAnsi="Times New Roman" w:eastAsia="宋体" w:cs="Times New Roman"/>
          <w:b/>
          <w:sz w:val="32"/>
          <w:szCs w:val="32"/>
          <w:highlight w:val="yellow"/>
        </w:rPr>
        <w:fldChar w:fldCharType="begin"/>
      </w:r>
      <w:r>
        <w:rPr>
          <w:rFonts w:hint="eastAsia" w:ascii="Times New Roman" w:hAnsi="Times New Roman" w:eastAsia="宋体" w:cs="Times New Roman"/>
          <w:b/>
          <w:sz w:val="32"/>
          <w:szCs w:val="32"/>
          <w:highlight w:val="yellow"/>
        </w:rPr>
        <w:instrText xml:space="preserve"> MERGEFIELD ${agreement.jvObj.JVName} \* MERGEFORMAT </w:instrText>
      </w:r>
      <w:r>
        <w:rPr>
          <w:rFonts w:hint="eastAsia" w:ascii="Times New Roman" w:hAnsi="Times New Roman" w:eastAsia="宋体" w:cs="Times New Roman"/>
          <w:b/>
          <w:sz w:val="32"/>
          <w:szCs w:val="32"/>
          <w:highlight w:val="yellow"/>
        </w:rPr>
        <w:fldChar w:fldCharType="separate"/>
      </w:r>
      <w:r>
        <w:rPr>
          <w:rFonts w:hint="eastAsia" w:ascii="Times New Roman" w:hAnsi="Times New Roman" w:eastAsia="宋体" w:cs="Times New Roman"/>
          <w:b/>
          <w:sz w:val="32"/>
          <w:szCs w:val="32"/>
          <w:highlight w:val="yellow"/>
        </w:rPr>
        <w:t>«${agreement.jvObj.JVName}»</w:t>
      </w:r>
      <w:r>
        <w:rPr>
          <w:rFonts w:hint="eastAsia" w:ascii="Times New Roman" w:hAnsi="Times New Roman" w:eastAsia="宋体" w:cs="Times New Roman"/>
          <w:b/>
          <w:sz w:val="32"/>
          <w:szCs w:val="32"/>
          <w:highlight w:val="yellow"/>
        </w:rPr>
        <w:fldChar w:fldCharType="end"/>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章 程</w:t>
      </w: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napToGrid w:val="0"/>
        <w:spacing w:line="420" w:lineRule="atLeast"/>
        <w:jc w:val="center"/>
        <w:rPr>
          <w:rFonts w:ascii="Times New Roman" w:hAnsi="Times New Roman" w:eastAsia="宋体" w:cs="Times New Roman"/>
          <w:sz w:val="26"/>
        </w:rPr>
      </w:pPr>
      <w:bookmarkStart w:id="11" w:name="_Toc460444973"/>
      <w:r>
        <w:rPr>
          <w:rFonts w:hint="eastAsia" w:ascii="Times New Roman" w:hAnsi="Times New Roman" w:eastAsia="宋体" w:cs="Times New Roman"/>
          <w:b/>
          <w:sz w:val="32"/>
          <w:szCs w:val="32"/>
        </w:rPr>
        <w:t>二零一七年_____月_____日</w:t>
      </w:r>
      <w:bookmarkEnd w:id="11"/>
      <w:r>
        <w:rPr>
          <w:rFonts w:ascii="Times New Roman" w:hAnsi="Times New Roman" w:eastAsia="宋体" w:cs="Times New Roman"/>
          <w:b/>
          <w:sz w:val="18"/>
        </w:rPr>
        <w:br w:type="page"/>
      </w:r>
    </w:p>
    <w:p>
      <w:pPr>
        <w:pStyle w:val="4"/>
        <w:spacing w:before="156" w:after="10" w:line="420" w:lineRule="atLeast"/>
        <w:jc w:val="center"/>
        <w:rPr>
          <w:rFonts w:ascii="Times New Roman" w:hAnsi="Times New Roman" w:eastAsia="宋体" w:cs="Times New Roman"/>
          <w:b/>
          <w:sz w:val="24"/>
        </w:rPr>
      </w:pPr>
      <w:bookmarkStart w:id="12" w:name="_Toc332999828"/>
      <w:r>
        <w:rPr>
          <w:rFonts w:hint="eastAsia" w:ascii="Times New Roman" w:hAnsi="Times New Roman" w:eastAsia="宋体" w:cs="Times New Roman"/>
          <w:b/>
          <w:sz w:val="24"/>
        </w:rPr>
        <w:t>前</w:t>
      </w:r>
      <w:r>
        <w:rPr>
          <w:rFonts w:hint="eastAsia" w:ascii="Times New Roman" w:hAnsi="Times New Roman" w:eastAsia="宋体" w:cs="Times New Roman"/>
          <w:b/>
          <w:sz w:val="24"/>
        </w:rPr>
        <w:tab/>
      </w:r>
      <w:r>
        <w:rPr>
          <w:rFonts w:hint="eastAsia" w:ascii="Times New Roman" w:hAnsi="Times New Roman" w:eastAsia="宋体" w:cs="Times New Roman"/>
          <w:b/>
          <w:sz w:val="24"/>
        </w:rPr>
        <w:t>言</w:t>
      </w:r>
      <w:bookmarkEnd w:id="12"/>
      <w:r>
        <w:rPr>
          <w:rFonts w:ascii="Times New Roman" w:hAnsi="Times New Roman" w:eastAsia="宋体" w:cs="Times New Roman"/>
          <w:b/>
          <w:sz w:val="24"/>
        </w:rPr>
        <w:br w:type="textWrapping"/>
      </w:r>
    </w:p>
    <w:p>
      <w:pPr>
        <w:tabs>
          <w:tab w:val="left" w:pos="-420"/>
          <w:tab w:val="left" w:pos="-315"/>
          <w:tab w:val="left" w:pos="0"/>
        </w:tabs>
        <w:spacing w:before="156" w:after="10" w:line="420" w:lineRule="atLeast"/>
        <w:ind w:right="-514" w:firstLine="480"/>
        <w:rPr>
          <w:rFonts w:ascii="Times New Roman" w:hAnsi="Times New Roman" w:eastAsia="宋体" w:cs="Times New Roman"/>
          <w:color w:val="000000"/>
          <w:sz w:val="24"/>
          <w:szCs w:val="24"/>
        </w:rPr>
      </w:pPr>
      <w:r>
        <w:rPr>
          <w:rFonts w:hint="eastAsia" w:ascii="Times New Roman" w:hAnsi="Times New Roman" w:eastAsia="宋体" w:cs="Times New Roman"/>
          <w:sz w:val="24"/>
        </w:rPr>
        <w:t>本公司章程（</w:t>
      </w:r>
      <w:r>
        <w:rPr>
          <w:rFonts w:hint="eastAsia"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u w:val="single"/>
        </w:rPr>
        <w:t>本章程”</w:t>
      </w:r>
      <w:r>
        <w:rPr>
          <w:rFonts w:hint="eastAsia" w:ascii="Times New Roman" w:hAnsi="Times New Roman" w:eastAsia="宋体" w:cs="Times New Roman"/>
          <w:color w:val="000000"/>
          <w:sz w:val="24"/>
          <w:szCs w:val="24"/>
        </w:rPr>
        <w:t>）由</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u w:val="single"/>
        </w:rPr>
        <w:t>公司</w:t>
      </w:r>
      <w:r>
        <w:rPr>
          <w:rFonts w:hint="eastAsia" w:ascii="Times New Roman" w:hAnsi="Times New Roman" w:eastAsia="宋体" w:cs="Times New Roman"/>
          <w:color w:val="000000"/>
          <w:sz w:val="24"/>
          <w:szCs w:val="24"/>
        </w:rPr>
        <w:t>”）、</w:t>
      </w:r>
      <w:r>
        <w:rPr>
          <w:rFonts w:hint="eastAsia" w:cs="Times New Roman"/>
          <w:color w:val="000000"/>
          <w:sz w:val="24"/>
          <w:szCs w:val="24"/>
          <w:lang w:eastAsia="zh-CN"/>
        </w:rPr>
        <w:t>【】</w:t>
      </w:r>
      <w:r>
        <w:rPr>
          <w:rFonts w:hint="eastAsia" w:ascii="Times New Roman" w:hAnsi="Times New Roman" w:eastAsia="宋体" w:cs="Times New Roman"/>
          <w:color w:val="000000"/>
          <w:sz w:val="24"/>
          <w:szCs w:val="24"/>
        </w:rPr>
        <w:t>根据《中华</w:t>
      </w:r>
      <w:r>
        <w:rPr>
          <w:rFonts w:hint="eastAsia" w:ascii="Times New Roman" w:hAnsi="Times New Roman" w:eastAsia="宋体" w:cs="Times New Roman"/>
          <w:sz w:val="24"/>
        </w:rPr>
        <w:t>人民共和国中外合资经营企业法》（“</w:t>
      </w:r>
      <w:r>
        <w:rPr>
          <w:rFonts w:hint="eastAsia" w:ascii="Times New Roman" w:hAnsi="Times New Roman" w:eastAsia="宋体" w:cs="Times New Roman"/>
          <w:sz w:val="24"/>
          <w:u w:val="single"/>
        </w:rPr>
        <w:t>合资企业法”</w:t>
      </w:r>
      <w:r>
        <w:rPr>
          <w:rFonts w:hint="eastAsia" w:ascii="Times New Roman" w:hAnsi="Times New Roman" w:eastAsia="宋体" w:cs="Times New Roman"/>
          <w:sz w:val="24"/>
        </w:rPr>
        <w:t>）、《中华人民共和国公司法》（“</w:t>
      </w:r>
      <w:r>
        <w:rPr>
          <w:rFonts w:hint="eastAsia" w:ascii="Times New Roman" w:hAnsi="Times New Roman" w:eastAsia="宋体" w:cs="Times New Roman"/>
          <w:sz w:val="24"/>
          <w:u w:val="single"/>
        </w:rPr>
        <w:t>公司法”</w:t>
      </w:r>
      <w:r>
        <w:rPr>
          <w:rFonts w:hint="eastAsia" w:ascii="Times New Roman" w:hAnsi="Times New Roman" w:eastAsia="宋体" w:cs="Times New Roman"/>
          <w:sz w:val="24"/>
        </w:rPr>
        <w:t>）以及其他有关的中国法律、法规于2017年[ ]月[ ]日订立。各方在此一致同意按照平等互利的原则根据以下条款和条件在中华人民共和国</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«${agreement.jvObj.JVAddr}»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市设立一家中外合资经营企业。</w:t>
      </w:r>
    </w:p>
    <w:p>
      <w:pPr>
        <w:pStyle w:val="4"/>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ascii="Times New Roman" w:hAnsi="Times New Roman" w:eastAsia="宋体" w:cs="Times New Roman"/>
          <w:b/>
          <w:sz w:val="24"/>
        </w:rPr>
      </w:pPr>
      <w:bookmarkStart w:id="13" w:name="_Toc332999829"/>
      <w:r>
        <w:rPr>
          <w:rFonts w:hint="eastAsia" w:ascii="Times New Roman" w:hAnsi="Times New Roman" w:eastAsia="宋体" w:cs="Times New Roman"/>
          <w:b/>
          <w:sz w:val="24"/>
        </w:rPr>
        <w:t>定义</w:t>
      </w:r>
      <w:bookmarkEnd w:id="13"/>
    </w:p>
    <w:p>
      <w:pPr>
        <w:snapToGrid w:val="0"/>
        <w:spacing w:before="156" w:after="10" w:line="420" w:lineRule="atLeast"/>
        <w:rPr>
          <w:rFonts w:ascii="Times New Roman" w:hAnsi="Times New Roman" w:eastAsia="宋体" w:cs="Times New Roman"/>
          <w:sz w:val="24"/>
        </w:rPr>
      </w:pPr>
      <w:r>
        <w:rPr>
          <w:rFonts w:hint="eastAsia" w:ascii="Times New Roman" w:hAnsi="Times New Roman" w:eastAsia="宋体" w:cs="Times New Roman"/>
          <w:sz w:val="24"/>
        </w:rPr>
        <w:t>除非本章程中另有定义，本章程各方及其他相关方于2017年【 】月【 】日签订的《关于设立中外合资经营</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sz w:val="24"/>
        </w:rPr>
        <w:t>之合资合同》（“</w:t>
      </w:r>
      <w:r>
        <w:rPr>
          <w:rFonts w:hint="eastAsia" w:ascii="Times New Roman" w:hAnsi="Times New Roman" w:eastAsia="宋体" w:cs="Times New Roman"/>
          <w:sz w:val="24"/>
          <w:u w:val="single"/>
        </w:rPr>
        <w:t>合资合同</w:t>
      </w:r>
      <w:r>
        <w:rPr>
          <w:rFonts w:hint="eastAsia" w:ascii="Times New Roman" w:hAnsi="Times New Roman" w:eastAsia="宋体" w:cs="Times New Roman"/>
          <w:sz w:val="24"/>
        </w:rPr>
        <w:t>”）中定义的相关用语应在本章程中具有相同涵义。</w:t>
      </w:r>
    </w:p>
    <w:p>
      <w:pPr>
        <w:snapToGrid w:val="0"/>
        <w:spacing w:line="420" w:lineRule="atLeast"/>
        <w:rPr>
          <w:rFonts w:ascii="Times New Roman" w:hAnsi="Times New Roman" w:eastAsia="宋体" w:cs="Times New Roman"/>
          <w:sz w:val="24"/>
          <w:u w:val="single"/>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4" w:name="_Toc332999830"/>
      <w:r>
        <w:rPr>
          <w:rFonts w:hint="eastAsia" w:ascii="Times New Roman" w:hAnsi="Times New Roman" w:eastAsia="宋体" w:cs="Times New Roman"/>
          <w:b/>
          <w:sz w:val="24"/>
          <w:szCs w:val="22"/>
        </w:rPr>
        <w:t>公司股东</w:t>
      </w:r>
      <w:bookmarkEnd w:id="14"/>
    </w:p>
    <w:p>
      <w:pPr>
        <w:snapToGrid w:val="0"/>
        <w:spacing w:before="156" w:after="10" w:line="420" w:lineRule="atLeast"/>
        <w:rPr>
          <w:rFonts w:ascii="Times New Roman" w:hAnsi="Times New Roman" w:eastAsia="宋体" w:cs="Times New Roman"/>
          <w:sz w:val="24"/>
        </w:rPr>
      </w:pPr>
    </w:p>
    <w:tbl>
      <w:tblPr>
        <w:tblStyle w:val="21"/>
        <w:tblW w:w="9045" w:type="dxa"/>
        <w:tblInd w:w="128" w:type="dxa"/>
        <w:tblLayout w:type="fixed"/>
        <w:tblCellMar>
          <w:top w:w="0" w:type="dxa"/>
          <w:left w:w="108" w:type="dxa"/>
          <w:bottom w:w="0" w:type="dxa"/>
          <w:right w:w="108" w:type="dxa"/>
        </w:tblCellMar>
      </w:tblPr>
      <w:tblGrid>
        <w:gridCol w:w="434"/>
        <w:gridCol w:w="6095"/>
        <w:gridCol w:w="2516"/>
      </w:tblGrid>
      <w:tr>
        <w:tblPrEx>
          <w:tblLayout w:type="fixed"/>
          <w:tblCellMar>
            <w:top w:w="0" w:type="dxa"/>
            <w:left w:w="108" w:type="dxa"/>
            <w:bottom w:w="0" w:type="dxa"/>
            <w:right w:w="108" w:type="dxa"/>
          </w:tblCellMar>
        </w:tblPrEx>
        <w:tc>
          <w:tcPr>
            <w:tcW w:w="6529" w:type="dxa"/>
            <w:gridSpan w:val="2"/>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agreement.afosPersonalList as afos]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${afos["shareholderName"]}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«${afos[»</w:t>
            </w:r>
            <w:r>
              <w:rPr>
                <w:rFonts w:hint="eastAsia" w:ascii="Times New Roman" w:hAnsi="Times New Roman" w:eastAsia="宋体" w:cs="Times New Roman"/>
                <w:b/>
                <w:sz w:val="24"/>
                <w:szCs w:val="48"/>
              </w:rPr>
              <w:fldChar w:fldCharType="end"/>
            </w:r>
          </w:p>
        </w:tc>
        <w:tc>
          <w:tcPr>
            <w:tcW w:w="2516" w:type="dxa"/>
          </w:tcPr>
          <w:p>
            <w:pPr>
              <w:spacing w:before="156" w:after="10" w:line="420" w:lineRule="atLeast"/>
              <w:ind w:right="-108"/>
              <w:jc w:val="left"/>
              <w:rPr>
                <w:rFonts w:ascii="Times New Roman" w:hAnsi="Times New Roman" w:eastAsia="宋体" w:cs="Times New Roman"/>
                <w:sz w:val="24"/>
              </w:rPr>
            </w:pPr>
          </w:p>
        </w:tc>
      </w:tr>
      <w:tr>
        <w:tblPrEx>
          <w:tblLayout w:type="fixed"/>
          <w:tblCellMar>
            <w:top w:w="0" w:type="dxa"/>
            <w:left w:w="108" w:type="dxa"/>
            <w:bottom w:w="0" w:type="dxa"/>
            <w:right w:w="108" w:type="dxa"/>
          </w:tblCellMar>
        </w:tblPrEx>
        <w:trPr>
          <w:trHeight w:val="398" w:hRule="atLeast"/>
        </w:trPr>
        <w:tc>
          <w:tcPr>
            <w:tcW w:w="434" w:type="dxa"/>
          </w:tcPr>
          <w:p>
            <w:pPr>
              <w:spacing w:before="156" w:after="10" w:line="420" w:lineRule="atLeast"/>
              <w:ind w:right="-108"/>
              <w:jc w:val="left"/>
              <w:rPr>
                <w:rFonts w:ascii="Times New Roman" w:hAnsi="Times New Roman" w:eastAsia="宋体" w:cs="Times New Roman"/>
                <w:sz w:val="24"/>
              </w:rPr>
            </w:pPr>
          </w:p>
        </w:tc>
        <w:tc>
          <w:tcPr>
            <w:tcW w:w="6095"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【身份证/护照】号码：【】</w:t>
            </w:r>
          </w:p>
        </w:tc>
        <w:tc>
          <w:tcPr>
            <w:tcW w:w="2516"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@after-row[/#list]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«@after-row[/#list]»</w:t>
            </w:r>
            <w:r>
              <w:rPr>
                <w:rFonts w:hint="eastAsia" w:ascii="Times New Roman" w:hAnsi="Times New Roman" w:eastAsia="宋体" w:cs="Times New Roman"/>
                <w:sz w:val="24"/>
                <w:highlight w:val="yellow"/>
              </w:rPr>
              <w:fldChar w:fldCharType="end"/>
            </w:r>
          </w:p>
        </w:tc>
      </w:tr>
      <w:tr>
        <w:tblPrEx>
          <w:tblLayout w:type="fixed"/>
          <w:tblCellMar>
            <w:top w:w="0" w:type="dxa"/>
            <w:left w:w="108" w:type="dxa"/>
            <w:bottom w:w="0" w:type="dxa"/>
            <w:right w:w="108" w:type="dxa"/>
          </w:tblCellMar>
        </w:tblPrEx>
        <w:trPr>
          <w:trHeight w:val="398" w:hRule="atLeast"/>
        </w:trPr>
        <w:tc>
          <w:tcPr>
            <w:tcW w:w="9045" w:type="dxa"/>
            <w:gridSpan w:val="3"/>
          </w:tcPr>
          <w:p>
            <w:pPr>
              <w:spacing w:before="156" w:after="10" w:line="420" w:lineRule="atLeast"/>
              <w:ind w:right="-108"/>
              <w:jc w:val="left"/>
              <w:rPr>
                <w:rFonts w:hint="eastAsia" w:ascii="Times New Roman" w:hAnsi="Times New Roman" w:eastAsia="宋体" w:cs="Times New Roman"/>
                <w:sz w:val="24"/>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agreement.afosOcList as afos]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${afos["shareholderName"]}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«${afos[»</w:t>
            </w:r>
            <w:r>
              <w:rPr>
                <w:rFonts w:hint="eastAsia" w:ascii="Times New Roman" w:hAnsi="Times New Roman" w:eastAsia="宋体" w:cs="Times New Roman"/>
                <w:b/>
                <w:sz w:val="24"/>
                <w:szCs w:val="48"/>
              </w:rPr>
              <w:fldChar w:fldCharType="end"/>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w:t>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董事</w:t>
            </w:r>
            <w:r>
              <w:rPr>
                <w:rFonts w:ascii="Times New Roman" w:hAnsi="Times New Roman" w:eastAsia="宋体" w:cs="Times New Roman"/>
                <w:sz w:val="24"/>
              </w:rPr>
              <w:t>：</w:t>
            </w:r>
            <w:r>
              <w:rPr>
                <w:rFonts w:hint="eastAsia" w:ascii="Times New Roman" w:hAnsi="Times New Roman" w:eastAsia="宋体" w:cs="Times New Roman"/>
                <w:sz w:val="24"/>
                <w:highlight w:val="yellow"/>
              </w:rPr>
              <w:t>【】</w:t>
            </w:r>
          </w:p>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ascii="Times New Roman" w:hAnsi="Times New Roman" w:eastAsia="宋体" w:cs="Times New Roman"/>
                <w:sz w:val="24"/>
              </w:rPr>
              <w:t>：</w:t>
            </w:r>
            <w:r>
              <w:rPr>
                <w:rFonts w:hint="eastAsia" w:ascii="Times New Roman" w:hAnsi="Times New Roman" w:eastAsia="宋体" w:cs="Times New Roman"/>
                <w:sz w:val="24"/>
                <w:highlight w:val="yellow"/>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@after-row[/#list]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«@after-row[/#list]»</w:t>
            </w:r>
            <w:r>
              <w:rPr>
                <w:rFonts w:hint="eastAsia" w:ascii="Times New Roman" w:hAnsi="Times New Roman" w:eastAsia="宋体" w:cs="Times New Roman"/>
                <w:sz w:val="24"/>
                <w:highlight w:val="yellow"/>
              </w:rPr>
              <w:fldChar w:fldCharType="end"/>
            </w:r>
          </w:p>
        </w:tc>
      </w:tr>
      <w:tr>
        <w:tblPrEx>
          <w:tblLayout w:type="fixed"/>
          <w:tblCellMar>
            <w:top w:w="0" w:type="dxa"/>
            <w:left w:w="108" w:type="dxa"/>
            <w:bottom w:w="0" w:type="dxa"/>
            <w:right w:w="108" w:type="dxa"/>
          </w:tblCellMar>
        </w:tblPrEx>
        <w:tc>
          <w:tcPr>
            <w:tcW w:w="9045" w:type="dxa"/>
            <w:gridSpan w:val="3"/>
          </w:tcPr>
          <w:p>
            <w:pPr>
              <w:spacing w:before="156" w:after="10" w:line="420" w:lineRule="atLeast"/>
              <w:ind w:right="-514"/>
              <w:jc w:val="left"/>
              <w:rPr>
                <w:rFonts w:hint="eastAsia" w:ascii="Times New Roman" w:hAnsi="Times New Roman" w:eastAsia="宋体" w:cs="Times New Roman"/>
                <w:sz w:val="24"/>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agreement.afosDcList as afos]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${afos["shareholderName"]}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«${afos[»</w:t>
            </w:r>
            <w:r>
              <w:rPr>
                <w:rFonts w:hint="eastAsia" w:ascii="Times New Roman" w:hAnsi="Times New Roman" w:eastAsia="宋体" w:cs="Times New Roman"/>
                <w:b/>
                <w:sz w:val="24"/>
                <w:szCs w:val="48"/>
              </w:rPr>
              <w:fldChar w:fldCharType="end"/>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 】</w:t>
            </w:r>
          </w:p>
        </w:tc>
      </w:tr>
      <w:tr>
        <w:tblPrEx>
          <w:tblLayout w:type="fixed"/>
          <w:tblCellMar>
            <w:top w:w="0" w:type="dxa"/>
            <w:left w:w="108" w:type="dxa"/>
            <w:bottom w:w="0" w:type="dxa"/>
            <w:right w:w="108" w:type="dxa"/>
          </w:tblCellMar>
        </w:tblPrEx>
        <w:tc>
          <w:tcPr>
            <w:tcW w:w="434" w:type="dxa"/>
          </w:tcPr>
          <w:p>
            <w:pPr>
              <w:spacing w:before="156" w:after="10" w:line="420" w:lineRule="atLeast"/>
              <w:ind w:right="-514"/>
              <w:jc w:val="left"/>
              <w:rPr>
                <w:rFonts w:ascii="Times New Roman" w:hAnsi="Times New Roman" w:eastAsia="宋体" w:cs="Times New Roman"/>
                <w:b/>
                <w:sz w:val="24"/>
              </w:rPr>
            </w:pPr>
          </w:p>
        </w:tc>
        <w:tc>
          <w:tcPr>
            <w:tcW w:w="8611"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法定代表人/执行事务合伙人：</w:t>
            </w:r>
            <w:r>
              <w:rPr>
                <w:rFonts w:hint="eastAsia" w:ascii="Times New Roman" w:hAnsi="Times New Roman" w:eastAsia="宋体" w:cs="Times New Roman"/>
                <w:sz w:val="24"/>
                <w:highlight w:val="yellow"/>
              </w:rPr>
              <w:t>【 】</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@after-row[/#list]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«@after-row[/#list]»</w:t>
            </w:r>
            <w:r>
              <w:rPr>
                <w:rFonts w:hint="eastAsia" w:ascii="Times New Roman" w:hAnsi="Times New Roman" w:eastAsia="宋体" w:cs="Times New Roman"/>
                <w:sz w:val="24"/>
                <w:highlight w:val="yellow"/>
              </w:rPr>
              <w:fldChar w:fldCharType="end"/>
            </w:r>
          </w:p>
        </w:tc>
      </w:tr>
    </w:tbl>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5" w:name="_Toc332999831"/>
      <w:r>
        <w:rPr>
          <w:rFonts w:hint="eastAsia" w:ascii="Times New Roman" w:hAnsi="Times New Roman" w:eastAsia="宋体" w:cs="Times New Roman"/>
          <w:b/>
          <w:sz w:val="24"/>
          <w:szCs w:val="22"/>
        </w:rPr>
        <w:t>设立公司</w:t>
      </w:r>
      <w:bookmarkEnd w:id="15"/>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设立公司</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在此同意依据合资企业法、公司法和其他有关的中国法律、法规之规定，按照本章程以及合资合同的规定共同设立中外合资经营的公司。公司为根据中国法律设立之法人，受中国法律之保护和管辖。公司的全部行为应遵守中国有关的法律和法规。</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有限责任公司</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为根据中国法律设立的有限责任公司。各方以各自认缴的出资额为限并依各自在公司持有的股权比例承担公司的亏损、风险、责任以及其他任何义务。除非各方另有书面约定，除上述认缴注册资本的义务以外，任何一方均不应因公司行为而对公司或第三方负有任何无论是单独还是连带之责任。除各创始人及公司应对其在本章程项下的义务承担连带责任以外，在任何情况下，一方也不对另一方的行为所造成的任何亏损、风险、责任及其他任何义务负责。</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公司名称和地址</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公司的名称为：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«${agreement.jvObj.JVName}»</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公司法定地址为：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«${agreement.jvObj.JVRegisterAddr}»</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成立日</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营业执照颁发之日为公司的成立日。</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6" w:name="_Toc332999832"/>
      <w:r>
        <w:rPr>
          <w:rFonts w:hint="eastAsia" w:ascii="Times New Roman" w:hAnsi="Times New Roman" w:eastAsia="宋体" w:cs="Times New Roman"/>
          <w:b/>
          <w:sz w:val="24"/>
          <w:szCs w:val="22"/>
        </w:rPr>
        <w:t>公司的宗旨和经营范围</w:t>
      </w:r>
      <w:bookmarkEnd w:id="16"/>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经营宗旨</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rPr>
        <w:t>公司</w:t>
      </w:r>
      <w:r>
        <w:rPr>
          <w:rFonts w:hint="eastAsia" w:ascii="Times New Roman" w:hAnsi="Times New Roman" w:eastAsia="宋体" w:cs="Times New Roman"/>
          <w:sz w:val="24"/>
        </w:rPr>
        <w:t>本着企业的社会价值最大化原则，不断提高企业生产经营水平和管理决策水平，通过制度创新和技术创新，不断增强企业的竞争力和抗风险能力，成为国际一流企业。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经营范围</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u w:val="single"/>
        </w:rPr>
      </w:pPr>
      <w:r>
        <w:rPr>
          <w:rFonts w:hint="eastAsia" w:ascii="Times New Roman" w:hAnsi="Times New Roman" w:eastAsia="宋体" w:cs="Times New Roman"/>
          <w:sz w:val="24"/>
        </w:rPr>
        <w:t>公司的经营范围为：【】</w:t>
      </w: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7" w:name="_Toc332999833"/>
      <w:r>
        <w:rPr>
          <w:rFonts w:hint="eastAsia" w:ascii="Times New Roman" w:hAnsi="Times New Roman" w:eastAsia="宋体" w:cs="Times New Roman"/>
          <w:b/>
          <w:sz w:val="24"/>
          <w:szCs w:val="22"/>
        </w:rPr>
        <w:t>投资总额和注册资本</w:t>
      </w:r>
      <w:bookmarkEnd w:id="17"/>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投资总额</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公司的投资总额为【】元人民币。</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注册资本</w:t>
      </w:r>
    </w:p>
    <w:p>
      <w:pPr>
        <w:keepNext w:val="0"/>
        <w:keepLines w:val="0"/>
        <w:pageBreakBefore w:val="0"/>
        <w:widowControl w:val="0"/>
        <w:numPr>
          <w:ilvl w:val="0"/>
          <w:numId w:val="0"/>
        </w:numPr>
        <w:tabs>
          <w:tab w:val="left" w:pos="3150"/>
        </w:tabs>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公司的注册资本为【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${agreement["jvObj"].AFRegisteredCapital}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】元人民币。</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各股东的出资</w:t>
      </w:r>
      <w:r>
        <w:rPr>
          <w:rFonts w:hint="eastAsia" w:ascii="Times New Roman" w:hAnsi="Times New Roman" w:eastAsia="宋体" w:cs="Times New Roman"/>
          <w:sz w:val="24"/>
          <w:u w:val="none"/>
        </w:rPr>
        <w:t xml:space="preserve"> [</w:t>
      </w:r>
      <w:r>
        <w:rPr>
          <w:rFonts w:hint="eastAsia" w:ascii="Times New Roman" w:hAnsi="Times New Roman" w:eastAsia="宋体" w:cs="Times New Roman"/>
          <w:b/>
          <w:bCs/>
          <w:i/>
          <w:iCs/>
          <w:sz w:val="24"/>
          <w:highlight w:val="yellow"/>
          <w:u w:val="none"/>
        </w:rPr>
        <w:t>SH Note:请各方确认本次增资后的股权结构</w:t>
      </w:r>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agreement.eiList as ei]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ei.investCurrency=="美元"]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向公司投资等值于【</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】元人民币的美元现汇（按实际付款日中国人民银行公布的人民币对美元的汇率中间价折算），认购公司注册资本人民币【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向公司投入【</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】元人民币，认购公司注册资本人民币【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szCs w:val="24"/>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[/#list]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«[/#list]»</w:t>
      </w:r>
      <w:r>
        <w:rPr>
          <w:rFonts w:hint="eastAsia" w:ascii="Times New Roman" w:hAnsi="Times New Roman" w:eastAsia="宋体" w:cs="Times New Roman"/>
          <w:sz w:val="24"/>
          <w:szCs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各股东的出资进度</w:t>
      </w:r>
    </w:p>
    <w:p>
      <w:pPr>
        <w:keepNext w:val="0"/>
        <w:keepLines w:val="0"/>
        <w:pageBreakBefore w:val="0"/>
        <w:widowControl w:val="0"/>
        <w:numPr>
          <w:ilvl w:val="2"/>
          <w:numId w:val="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【】已缴纳【】元人民币的注册资本，剩余的认缴注册资本应在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日前缴清；【】已缴纳【】元人民币的注册资本，剩余的认缴注册资本应在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日前缴清；【】已缴纳【】元人民币的注册资本，剩余的认缴注册资本应在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日前缴清。[</w:t>
      </w:r>
      <w:r>
        <w:rPr>
          <w:rFonts w:hint="eastAsia" w:ascii="Times New Roman" w:hAnsi="Times New Roman" w:eastAsia="宋体" w:cs="Times New Roman"/>
          <w:b/>
          <w:bCs/>
          <w:i/>
          <w:iCs/>
          <w:sz w:val="24"/>
          <w:szCs w:val="24"/>
          <w:highlight w:val="yellow"/>
        </w:rPr>
        <w:t>SH Note:请公司确认创始人认缴注册资本的实缴时间安排。</w:t>
      </w:r>
      <w:r>
        <w:rPr>
          <w:rFonts w:hint="eastAsia" w:ascii="Times New Roman" w:hAnsi="Times New Roman" w:eastAsia="宋体" w:cs="Times New Roman"/>
          <w:sz w:val="24"/>
          <w:szCs w:val="24"/>
        </w:rPr>
        <w:t>]</w:t>
      </w:r>
    </w:p>
    <w:p>
      <w:pPr>
        <w:keepNext w:val="0"/>
        <w:keepLines w:val="0"/>
        <w:pageBreakBefore w:val="0"/>
        <w:widowControl w:val="0"/>
        <w:numPr>
          <w:ilvl w:val="2"/>
          <w:numId w:val="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本轮投资方应根据增资协议确定的条款和条件于交割日将其在本轮投资中相应的投资款汇入公司指定账户；</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各方一致同意，本轮投资方按本条的约定支付完毕全部投资款后，本轮投资方在本章程项下的投资义务即告完成，且本轮投资方认缴注册资本即实缴完毕。</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出资证明书</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应当在交割日（定义见增资协议）后的【3】个工作日内委托有资质的会计师事务所对各方出资进行验资并出具相应的验资报告，公司据此发给各方出资证明书并将各方名称、出资比例等记载于公司的股东名册；出资证明书及股东名册应符合《中华人民共和国公司法》的规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投资总额与注册资本之差额</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92"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经董事会根据公司经营需要做出决定，公司投资总额与注册资本的差额可由公司通过在境内及/或境外贷款的方式筹集。</w:t>
      </w:r>
    </w:p>
    <w:p>
      <w:pPr>
        <w:tabs>
          <w:tab w:val="left" w:pos="3255"/>
        </w:tabs>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8" w:name="_Toc332999834"/>
      <w:r>
        <w:rPr>
          <w:rFonts w:hint="eastAsia" w:ascii="Times New Roman" w:hAnsi="Times New Roman" w:eastAsia="宋体" w:cs="Times New Roman"/>
          <w:b/>
          <w:sz w:val="24"/>
          <w:szCs w:val="22"/>
        </w:rPr>
        <w:t>股权的成熟及转让</w:t>
      </w:r>
      <w:bookmarkEnd w:id="18"/>
      <w:r>
        <w:rPr>
          <w:rFonts w:hint="eastAsia" w:ascii="Times New Roman" w:hAnsi="Times New Roman" w:eastAsia="宋体" w:cs="Times New Roman"/>
          <w:b/>
          <w:sz w:val="24"/>
          <w:szCs w:val="22"/>
        </w:rPr>
        <w:t>限制</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none"/>
        </w:rPr>
        <w:t>创始人持有的公司股权将分【</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${agreement["stockMaturityObj"].founder.byStages}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】年成熟（“成熟期”），自</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${agreement["stockMaturityObj"].founder.startTime}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起，每满一</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${agreement["stockMaturityObj"].founder.matureCycle}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成熟【</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${agreement["stockMaturityObj"].founder.matureProportion}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lang w:val="en-US" w:eastAsia="zh-CN"/>
        </w:rPr>
        <w:t>%</w:t>
      </w:r>
      <w:r>
        <w:rPr>
          <w:rFonts w:hint="eastAsia" w:ascii="Times New Roman" w:hAnsi="Times New Roman" w:eastAsia="宋体" w:cs="Times New Roman"/>
          <w:sz w:val="24"/>
          <w:u w:val="none"/>
          <w:lang w:val="en-US" w:eastAsia="zh-CN"/>
        </w:rPr>
        <w:t>】</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成熟期内，若创始人主动从公司离职、因其自身主观原因不能履行职务或因过错理由被公司解职（包括作为公司服务提供者的持续状态的终止），则创始人应以1元人民币的价格或者法律允许的最低价格：(i)经公司董事会（其中应包含【投资方】董事</w:t>
      </w:r>
      <w:r>
        <w:rPr>
          <w:rFonts w:hint="eastAsia" w:ascii="Times New Roman" w:hAnsi="Times New Roman" w:eastAsia="宋体" w:cs="Times New Roman"/>
          <w:sz w:val="24"/>
          <w:u w:val="none"/>
          <w:lang w:eastAsia="zh-CN"/>
        </w:rPr>
        <w:t>）的</w:t>
      </w:r>
      <w:r>
        <w:rPr>
          <w:rFonts w:hint="eastAsia" w:ascii="Times New Roman" w:hAnsi="Times New Roman" w:eastAsia="宋体" w:cs="Times New Roman"/>
          <w:sz w:val="24"/>
          <w:u w:val="none"/>
        </w:rPr>
        <w:t>同意，将其未成熟的股权按照届时除该创始人之外的其它公司股东相互之间的股权比例转让给其它公司股东，但受让该等股权的股东应同意将前述受让股权用于实施公司董事会批准（其中应包含</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投资方</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董事的同意）的员工股权/期权激励计划，或(ii)转让给公司董事会指定（其中应包含</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投资方</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董事的同意）的主体，用于实施公司董事会批准（其中应包含投资方董事的同意）的员工股权/期权激励计划。就本条之目的，</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single"/>
        </w:rPr>
        <w:t>过错理由</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指(i) 严重（为免疑义，是否“严重”以公司董事会（应排除该创始人</w:t>
      </w:r>
      <w:r>
        <w:rPr>
          <w:rFonts w:hint="eastAsia" w:ascii="Times New Roman" w:hAnsi="Times New Roman" w:eastAsia="宋体" w:cs="Times New Roman"/>
          <w:sz w:val="24"/>
          <w:u w:val="none"/>
          <w:lang w:eastAsia="zh-CN"/>
        </w:rPr>
        <w:t>（如该创始人为公司董事）</w:t>
      </w:r>
      <w:r>
        <w:rPr>
          <w:rFonts w:hint="eastAsia" w:ascii="Times New Roman" w:hAnsi="Times New Roman" w:eastAsia="宋体" w:cs="Times New Roman"/>
          <w:sz w:val="24"/>
          <w:u w:val="none"/>
        </w:rPr>
        <w:t>及与该创始人有关联关系的董事）的认定为准）违反其和公司签署的书面协议（包括但不限于劳动合同，保密、竞业禁止及知识产权归属协议）的规定； (ii) 被依法追究刑事责任，且因此而无法在公司全职工作的；（iii）由于故意、重大过失、不诚信或者欺诈行为给公司造成任何严重损失；（iv）直接或间接地从事与公司主营业务相竞争的业务活动；（v）侵犯公司利益给公司造成重大损失；或者（vi）由于酗酒以及违法用药等原因导致其不能履行其劳动合同（服务协议，如适用）或者交易文件项下的对公司的责任和义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创始人不得为公务人员或其他法律禁止参与营利性活动的主体代持股权</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未经【</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${agreement["prObj"].financingPermit}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的事先书面同意，自交割日至首次公开发行之日止，创始人不得对其直接或通过任何方式间接持有的公司及/或控股子公司股权采取任何方式进行转让、处置、质押或设置第三方权利，或许可设置任何质权或第三方权利，任何违反本条规定而进行的股权转让无效，受让人不能享受直接或间接作为公司股东的任何权利，公司也不应将其视为股东。</w:t>
      </w:r>
    </w:p>
    <w:p>
      <w:pPr>
        <w:keepNext w:val="0"/>
        <w:keepLines w:val="0"/>
        <w:pageBreakBefore w:val="0"/>
        <w:widowControl w:val="0"/>
        <w:kinsoku/>
        <w:wordWrap/>
        <w:overflowPunct/>
        <w:topLinePunct w:val="0"/>
        <w:autoSpaceDE/>
        <w:autoSpaceDN/>
        <w:bidi w:val="0"/>
        <w:adjustRightInd/>
        <w:snapToGrid/>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b/>
          <w:i/>
          <w:sz w:val="24"/>
        </w:rPr>
      </w:pPr>
      <w:r>
        <w:rPr>
          <w:rFonts w:hint="eastAsia" w:ascii="Times New Roman" w:hAnsi="Times New Roman" w:eastAsia="宋体" w:cs="Times New Roman"/>
          <w:sz w:val="24"/>
        </w:rPr>
        <w:t>尽管有前述约定，创始人直接或间接转让或</w:t>
      </w:r>
      <w:r>
        <w:rPr>
          <w:rFonts w:ascii="Times New Roman" w:hAnsi="Times New Roman" w:eastAsia="宋体" w:cs="Times New Roman"/>
          <w:sz w:val="24"/>
        </w:rPr>
        <w:t>处置</w:t>
      </w:r>
      <w:r>
        <w:rPr>
          <w:rFonts w:hint="eastAsia" w:ascii="Times New Roman" w:hAnsi="Times New Roman" w:eastAsia="宋体" w:cs="Times New Roman"/>
          <w:sz w:val="24"/>
        </w:rPr>
        <w:t>累计不超过本次投资完成前公司（或其控股子公司，如适用）5%股权（根据</w:t>
      </w:r>
      <w:r>
        <w:rPr>
          <w:rFonts w:ascii="Times New Roman" w:hAnsi="Times New Roman" w:eastAsia="宋体" w:cs="Times New Roman"/>
          <w:sz w:val="24"/>
        </w:rPr>
        <w:t>公司拆分、</w:t>
      </w:r>
      <w:r>
        <w:rPr>
          <w:rFonts w:hint="eastAsia" w:ascii="Times New Roman" w:hAnsi="Times New Roman" w:eastAsia="宋体" w:cs="Times New Roman"/>
          <w:sz w:val="24"/>
        </w:rPr>
        <w:t>合并</w:t>
      </w:r>
      <w:r>
        <w:rPr>
          <w:rFonts w:ascii="Times New Roman" w:hAnsi="Times New Roman" w:eastAsia="宋体" w:cs="Times New Roman"/>
          <w:sz w:val="24"/>
        </w:rPr>
        <w:t>、转</w:t>
      </w:r>
      <w:r>
        <w:rPr>
          <w:rFonts w:hint="eastAsia" w:ascii="Times New Roman" w:hAnsi="Times New Roman" w:eastAsia="宋体" w:cs="Times New Roman"/>
          <w:sz w:val="24"/>
        </w:rPr>
        <w:t>让、</w:t>
      </w:r>
      <w:r>
        <w:rPr>
          <w:rFonts w:ascii="Times New Roman" w:hAnsi="Times New Roman" w:eastAsia="宋体" w:cs="Times New Roman"/>
          <w:sz w:val="24"/>
        </w:rPr>
        <w:t>增</w:t>
      </w:r>
      <w:r>
        <w:rPr>
          <w:rFonts w:hint="eastAsia" w:ascii="Times New Roman" w:hAnsi="Times New Roman" w:eastAsia="宋体" w:cs="Times New Roman"/>
          <w:sz w:val="24"/>
        </w:rPr>
        <w:t>加</w:t>
      </w:r>
      <w:r>
        <w:rPr>
          <w:rFonts w:ascii="Times New Roman" w:hAnsi="Times New Roman" w:eastAsia="宋体" w:cs="Times New Roman"/>
          <w:sz w:val="24"/>
        </w:rPr>
        <w:t>注册资本等情形相应调整）</w:t>
      </w:r>
      <w:r>
        <w:rPr>
          <w:rFonts w:hint="eastAsia" w:ascii="Times New Roman" w:hAnsi="Times New Roman" w:eastAsia="宋体" w:cs="Times New Roman"/>
          <w:sz w:val="24"/>
        </w:rPr>
        <w:t>的，不受本章程第6.3条第一款的限制。</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agreement.rofrAndJsrObj.ROFROption=="1"]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在遵守本章程第6.3条规定的转让限制下，创始人拟将其在公司中拥有的全部或部分股权转让给第三方的，【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】享有以与有关第三方拟购买该等股权相同的价格和条件优先购买该被转让股权的权利（“</w:t>
      </w:r>
      <w:r>
        <w:rPr>
          <w:rFonts w:hint="eastAsia" w:ascii="Times New Roman" w:hAnsi="Times New Roman" w:eastAsia="宋体" w:cs="Times New Roman"/>
          <w:sz w:val="24"/>
          <w:u w:val="single"/>
        </w:rPr>
        <w:t>优先购买权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受限于本章程规定的其他情形，</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${agreement["rofrAndJsrObj"].restrictedShareholder}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卖方</w:t>
      </w:r>
      <w:r>
        <w:rPr>
          <w:rFonts w:hint="eastAsia" w:ascii="Times New Roman" w:hAnsi="Times New Roman" w:eastAsia="宋体" w:cs="Times New Roman"/>
          <w:sz w:val="24"/>
          <w:u w:val="none"/>
        </w:rPr>
        <w:t>”）欲出售、转让或以其他方式处置其在公司中拥有的全部或部分股权（“</w:t>
      </w:r>
      <w:r>
        <w:rPr>
          <w:rFonts w:hint="eastAsia" w:ascii="Times New Roman" w:hAnsi="Times New Roman" w:eastAsia="宋体" w:cs="Times New Roman"/>
          <w:sz w:val="24"/>
          <w:u w:val="single"/>
        </w:rPr>
        <w:t>拟出售股权</w:t>
      </w:r>
      <w:r>
        <w:rPr>
          <w:rFonts w:hint="eastAsia" w:ascii="Times New Roman" w:hAnsi="Times New Roman" w:eastAsia="宋体" w:cs="Times New Roman"/>
          <w:sz w:val="24"/>
          <w:u w:val="none"/>
        </w:rPr>
        <w:t>”）的，应提前【30】日向【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优先购买方</w:t>
      </w:r>
      <w:r>
        <w:rPr>
          <w:rFonts w:hint="eastAsia" w:ascii="Times New Roman" w:hAnsi="Times New Roman" w:eastAsia="宋体" w:cs="Times New Roman"/>
          <w:sz w:val="24"/>
          <w:u w:val="none"/>
        </w:rPr>
        <w:t>”）及公司发出出售其公司股权之通知（“</w:t>
      </w:r>
      <w:r>
        <w:rPr>
          <w:rFonts w:hint="eastAsia" w:ascii="Times New Roman" w:hAnsi="Times New Roman" w:eastAsia="宋体" w:cs="Times New Roman"/>
          <w:sz w:val="24"/>
          <w:u w:val="single"/>
        </w:rPr>
        <w:t>出售通知</w:t>
      </w:r>
      <w:r>
        <w:rPr>
          <w:rFonts w:hint="eastAsia" w:ascii="Times New Roman" w:hAnsi="Times New Roman" w:eastAsia="宋体" w:cs="Times New Roman"/>
          <w:sz w:val="24"/>
          <w:u w:val="none"/>
        </w:rPr>
        <w:t>”）。出售通知应包括拟出售股权的全部条款，包括售价、付款条件以及第三方的身份。优先购买方有权按照出售通知载明的同等价格和条件，协商确定各自优先购买拟出售股权的比例。如协商不成，各优先购买方按照以下数额行使优先购买权：(i)拟出售股权，乘以(ii)一个分数，分子是该优先购买方持有的公司股权，分母是所有行使优先购买权的优先购买方持有的公司股权的总和。若任何优先购买方未行使或未完全行使其优先购买权，则其他已完全行使优先购买权的优先购买方有权利但无义务继续按照其相对持股比例购买剩余拟出售股权，最多可至所有剩余股权被优先购买方全部购买。行使优先购买权须于收到出售通知之日起【】日内通知卖方，逾期未通知的，视为放弃优先购买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6.5条规定，拟出售股权未被优先购买或未被全部优先购买的，卖方在遵守下述第6.7条规定的前提下有权将全部或剩余的拟出售股权出售给第三方，但出售条件不得优于出售通知中载明的条件。作为卖方转让股权的先决条件，卖方应促使该第三方同意遵守本章程和公司章程及其各自不时修订的条款，如同其原本就是公司的一名股东。</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为避免疑问</w:t>
      </w:r>
      <w:r>
        <w:rPr>
          <w:rFonts w:ascii="Times New Roman" w:hAnsi="Times New Roman" w:eastAsia="宋体" w:cs="Times New Roman"/>
          <w:sz w:val="24"/>
        </w:rPr>
        <w:t>，</w:t>
      </w:r>
      <w:r>
        <w:rPr>
          <w:rFonts w:hint="eastAsia" w:ascii="Times New Roman" w:hAnsi="Times New Roman" w:eastAsia="宋体" w:cs="Times New Roman"/>
          <w:sz w:val="24"/>
          <w:lang w:eastAsia="zh-CN"/>
        </w:rPr>
        <w:t>当</w:t>
      </w:r>
      <w:r>
        <w:rPr>
          <w:rFonts w:ascii="Times New Roman" w:hAnsi="Times New Roman" w:eastAsia="宋体" w:cs="Times New Roman"/>
          <w:sz w:val="24"/>
        </w:rPr>
        <w:t>卖方</w:t>
      </w:r>
      <w:r>
        <w:rPr>
          <w:rFonts w:hint="eastAsia" w:ascii="Times New Roman" w:hAnsi="Times New Roman" w:eastAsia="宋体" w:cs="Times New Roman"/>
          <w:sz w:val="24"/>
        </w:rPr>
        <w:t>为实施员工激励方案之目的而</w:t>
      </w:r>
      <w:r>
        <w:rPr>
          <w:rFonts w:ascii="Times New Roman" w:hAnsi="Times New Roman" w:eastAsia="宋体" w:cs="Times New Roman"/>
          <w:sz w:val="24"/>
        </w:rPr>
        <w:t>转让</w:t>
      </w:r>
      <w:r>
        <w:rPr>
          <w:rFonts w:hint="eastAsia" w:ascii="Times New Roman" w:hAnsi="Times New Roman" w:eastAsia="宋体" w:cs="Times New Roman"/>
          <w:sz w:val="24"/>
        </w:rPr>
        <w:t>或</w:t>
      </w:r>
      <w:r>
        <w:rPr>
          <w:rFonts w:ascii="Times New Roman" w:hAnsi="Times New Roman" w:eastAsia="宋体" w:cs="Times New Roman"/>
          <w:sz w:val="24"/>
        </w:rPr>
        <w:t>处置任何</w:t>
      </w:r>
      <w:r>
        <w:rPr>
          <w:rFonts w:hint="eastAsia" w:ascii="Times New Roman" w:hAnsi="Times New Roman" w:eastAsia="宋体" w:cs="Times New Roman"/>
          <w:sz w:val="24"/>
        </w:rPr>
        <w:t>本章程</w:t>
      </w:r>
      <w:r>
        <w:rPr>
          <w:rFonts w:ascii="Times New Roman" w:hAnsi="Times New Roman" w:eastAsia="宋体" w:cs="Times New Roman"/>
          <w:sz w:val="24"/>
        </w:rPr>
        <w:t>第12</w:t>
      </w:r>
      <w:r>
        <w:rPr>
          <w:rFonts w:hint="eastAsia" w:ascii="Times New Roman" w:hAnsi="Times New Roman" w:eastAsia="宋体" w:cs="Times New Roman"/>
          <w:sz w:val="24"/>
        </w:rPr>
        <w:t>条</w:t>
      </w:r>
      <w:r>
        <w:rPr>
          <w:rFonts w:ascii="Times New Roman" w:hAnsi="Times New Roman" w:eastAsia="宋体" w:cs="Times New Roman"/>
          <w:sz w:val="24"/>
        </w:rPr>
        <w:t>项下约定的激励股权</w:t>
      </w:r>
      <w:r>
        <w:rPr>
          <w:rFonts w:hint="eastAsia" w:ascii="Times New Roman" w:hAnsi="Times New Roman" w:eastAsia="宋体" w:cs="Times New Roman"/>
          <w:sz w:val="24"/>
        </w:rPr>
        <w:t>给任何被激励的员工时，如创始人取得</w:t>
      </w:r>
      <w:r>
        <w:rPr>
          <w:rFonts w:hint="eastAsia" w:ascii="Times New Roman" w:hAnsi="Times New Roman" w:eastAsia="宋体" w:cs="Times New Roman"/>
          <w:sz w:val="24"/>
          <w:lang w:eastAsia="zh-CN"/>
        </w:rPr>
        <w:t>任何</w:t>
      </w:r>
      <w:r>
        <w:rPr>
          <w:rFonts w:ascii="Times New Roman" w:hAnsi="Times New Roman" w:eastAsia="宋体" w:cs="Times New Roman"/>
          <w:sz w:val="24"/>
        </w:rPr>
        <w:t>收入</w:t>
      </w:r>
      <w:r>
        <w:rPr>
          <w:rFonts w:hint="eastAsia" w:ascii="Times New Roman" w:hAnsi="Times New Roman" w:eastAsia="宋体" w:cs="Times New Roman"/>
          <w:sz w:val="24"/>
          <w:lang w:eastAsia="zh-CN"/>
        </w:rPr>
        <w:t>的</w:t>
      </w:r>
      <w:r>
        <w:rPr>
          <w:rFonts w:ascii="Times New Roman" w:hAnsi="Times New Roman" w:eastAsia="宋体" w:cs="Times New Roman"/>
          <w:sz w:val="24"/>
        </w:rPr>
        <w:t>，</w:t>
      </w:r>
      <w:r>
        <w:rPr>
          <w:rFonts w:hint="eastAsia" w:ascii="Times New Roman" w:hAnsi="Times New Roman" w:eastAsia="宋体" w:cs="Times New Roman"/>
          <w:sz w:val="24"/>
        </w:rPr>
        <w:t>该等收入</w:t>
      </w:r>
      <w:r>
        <w:rPr>
          <w:rFonts w:ascii="Times New Roman" w:hAnsi="Times New Roman" w:eastAsia="宋体" w:cs="Times New Roman"/>
          <w:sz w:val="24"/>
        </w:rPr>
        <w:t>应当通过法律允许的方式无偿转让</w:t>
      </w:r>
      <w:r>
        <w:rPr>
          <w:rFonts w:hint="eastAsia" w:ascii="Times New Roman" w:hAnsi="Times New Roman" w:eastAsia="宋体" w:cs="Times New Roman"/>
          <w:sz w:val="24"/>
        </w:rPr>
        <w:t>为</w:t>
      </w:r>
      <w:r>
        <w:rPr>
          <w:rFonts w:ascii="Times New Roman" w:hAnsi="Times New Roman" w:eastAsia="宋体" w:cs="Times New Roman"/>
          <w:sz w:val="24"/>
        </w:rPr>
        <w:t>公司所有。</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如创始人拟出售股权未被优先购买或未被全部优先购买的，不行使或放弃优先购买权的【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共同出售方</w:t>
      </w:r>
      <w:r>
        <w:rPr>
          <w:rFonts w:hint="eastAsia" w:ascii="Times New Roman" w:hAnsi="Times New Roman" w:eastAsia="宋体" w:cs="Times New Roman"/>
          <w:sz w:val="24"/>
          <w:u w:val="none"/>
        </w:rPr>
        <w:t>”）有权但无义务按照出售通知载明的相同价格和条件参与出售其持有的公司股权（“</w:t>
      </w:r>
      <w:r>
        <w:rPr>
          <w:rFonts w:hint="eastAsia" w:ascii="Times New Roman" w:hAnsi="Times New Roman" w:eastAsia="宋体" w:cs="Times New Roman"/>
          <w:sz w:val="24"/>
          <w:u w:val="single"/>
        </w:rPr>
        <w:t>共同出售权</w:t>
      </w:r>
      <w:r>
        <w:rPr>
          <w:rFonts w:hint="eastAsia" w:ascii="Times New Roman" w:hAnsi="Times New Roman" w:eastAsia="宋体" w:cs="Times New Roman"/>
          <w:sz w:val="24"/>
          <w:u w:val="none"/>
        </w:rPr>
        <w:t>”）。如果共同出售方决定行使前述规定的共同出售权，则应向创始人发出参与出售的通知（“</w:t>
      </w:r>
      <w:r>
        <w:rPr>
          <w:rFonts w:hint="eastAsia" w:ascii="Times New Roman" w:hAnsi="Times New Roman" w:eastAsia="宋体" w:cs="Times New Roman"/>
          <w:sz w:val="24"/>
          <w:u w:val="single"/>
        </w:rPr>
        <w:t>共同出售通知</w:t>
      </w:r>
      <w:r>
        <w:rPr>
          <w:rFonts w:hint="eastAsia" w:ascii="Times New Roman" w:hAnsi="Times New Roman" w:eastAsia="宋体" w:cs="Times New Roman"/>
          <w:sz w:val="24"/>
          <w:u w:val="none"/>
        </w:rPr>
        <w:t>”），该通知应载明其拟参与出售的股权的数量。共同出售方可以参与出售的股权数量不超过以下各项的乘积：(i)全部拟出售股权减去被优先购买的拟出售股权（如有）后的余额，乘以(ii)一个分数，分子是该共同出售方持有的公司股权，分母是该创始人和全部拟行使共同出售权的共同出售方持有的公司股权的总和。尽管有前述约定，如创始人转让股权为其届时所持公司的全部股权，则共同出售方有权（但无义务）行使共同出售权的股权数额为投资方持有的全部公司股权。创始人接到共同出售方发出的共同出售通知后，应当采取一切合理措施保证共同出售方共同出售权的实现（包括但不限于缩减创始人出售股权数量等方式）。在共同出售方实现其共同出售权之前，创始人不得实施股权转让，除非创始人同时以出售通知载明的相同价格和条件购买共同出售方在共同出售通知中载明的拟参与共同出售的全部股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投资方】可以自由出售、转让或以其他方式处置其在公司的股权，无需经过公司和其他股东同意。【投资方】可将其持有的公司的全部或部分股权转让给第三方，股权转让后该第三方享有的各项权利应与股权转让前【投资方】所享有的各项权利相同。其他方在此不可撤销地同意投资方股权的上述转让，并应届时采取一切必要措施批准该等转让，并放弃对【投资方】转让股权的优先购买权。【尽管有上述约定，但【】不得出售和转让给本协议附件一所列清单中与公司存在竞争关系的第三方，该等清单在公司董事会认为必要时可进行更新</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u w:val="none"/>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agreement.prObj.option=="1"]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numPr>
          <w:ilvl w:val="-1"/>
          <w:numId w:val="0"/>
        </w:numPr>
        <w:tabs>
          <w:tab w:val="left" w:pos="720"/>
        </w:tabs>
        <w:spacing w:before="156" w:after="10" w:line="420" w:lineRule="atLeast"/>
        <w:ind w:left="0" w:firstLine="0"/>
        <w:rPr>
          <w:rFonts w:ascii="Times New Roman" w:hAnsi="Times New Roman" w:eastAsia="宋体" w:cs="Times New Roman"/>
          <w:sz w:val="24"/>
          <w:szCs w:val="24"/>
        </w:rPr>
      </w:pP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19" w:name="_Toc332999835"/>
      <w:r>
        <w:rPr>
          <w:rFonts w:hint="eastAsia" w:ascii="Times New Roman" w:hAnsi="Times New Roman" w:eastAsia="宋体" w:cs="Times New Roman"/>
          <w:b/>
          <w:sz w:val="24"/>
          <w:szCs w:val="22"/>
        </w:rPr>
        <w:t>优先认购权</w:t>
      </w:r>
      <w:bookmarkEnd w:id="19"/>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自交割日起至首次公开发行之日止，如果公司拟增加注册资本或发行可转换为公司股权的证券、票据，需经【】事先书面同意。公司拟增加注册资本时，应提前【30】日向【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】发出通知（“增资通知”），增资通知应包含拟新增注册资本的金额、认购新增注册资本的价格、有意认购新增注册资本的第三方的身份及其他与新增注册资本相关的内容。【</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优先认购方</w:t>
      </w:r>
      <w:r>
        <w:rPr>
          <w:rFonts w:hint="eastAsia" w:ascii="Times New Roman" w:hAnsi="Times New Roman" w:eastAsia="宋体" w:cs="Times New Roman"/>
          <w:sz w:val="24"/>
          <w:u w:val="none"/>
        </w:rPr>
        <w:t>”）在收到公司发出的增资通知后【15】个工作日（“</w:t>
      </w:r>
      <w:r>
        <w:rPr>
          <w:rFonts w:hint="eastAsia" w:ascii="Times New Roman" w:hAnsi="Times New Roman" w:eastAsia="宋体" w:cs="Times New Roman"/>
          <w:sz w:val="24"/>
          <w:u w:val="single"/>
        </w:rPr>
        <w:t>第一次认购期限</w:t>
      </w:r>
      <w:r>
        <w:rPr>
          <w:rFonts w:hint="eastAsia" w:ascii="Times New Roman" w:hAnsi="Times New Roman" w:eastAsia="宋体" w:cs="Times New Roman"/>
          <w:sz w:val="24"/>
          <w:u w:val="none"/>
        </w:rPr>
        <w:t>”）内，有权但无义务按其届时在公司所占的股权比例认购公司拟新增的注册资本（“</w:t>
      </w:r>
      <w:r>
        <w:rPr>
          <w:rFonts w:hint="eastAsia" w:ascii="Times New Roman" w:hAnsi="Times New Roman" w:eastAsia="宋体" w:cs="Times New Roman"/>
          <w:sz w:val="24"/>
          <w:u w:val="single"/>
        </w:rPr>
        <w:t>优先认购权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任一优先认购方未行使或未完全行使其优先认购权，则公司应立即向完全已行使优先认购权的优先认购方发出书面通知，说明剩余未被认购的注册资本的数额以及完全行使优先认购权的股东名单，已完全行使优先认购权的优先认购方有权利但无义务在收到该通知之日起【10】日（“</w:t>
      </w:r>
      <w:r>
        <w:rPr>
          <w:rFonts w:hint="eastAsia" w:ascii="Times New Roman" w:hAnsi="Times New Roman" w:eastAsia="宋体" w:cs="Times New Roman"/>
          <w:sz w:val="24"/>
          <w:u w:val="single"/>
        </w:rPr>
        <w:t>第二次认购期限</w:t>
      </w:r>
      <w:r>
        <w:rPr>
          <w:rFonts w:hint="eastAsia" w:ascii="Times New Roman" w:hAnsi="Times New Roman" w:eastAsia="宋体" w:cs="Times New Roman"/>
          <w:sz w:val="24"/>
          <w:u w:val="none"/>
        </w:rPr>
        <w:t>”，与第一次认购期限合称为“</w:t>
      </w:r>
      <w:r>
        <w:rPr>
          <w:rFonts w:hint="eastAsia" w:ascii="Times New Roman" w:hAnsi="Times New Roman" w:eastAsia="宋体" w:cs="Times New Roman"/>
          <w:sz w:val="24"/>
          <w:u w:val="single"/>
        </w:rPr>
        <w:t>认购期限</w:t>
      </w:r>
      <w:r>
        <w:rPr>
          <w:rFonts w:hint="eastAsia" w:ascii="Times New Roman" w:hAnsi="Times New Roman" w:eastAsia="宋体" w:cs="Times New Roman"/>
          <w:sz w:val="24"/>
          <w:u w:val="none"/>
        </w:rPr>
        <w:t>”）内继续认购其它优先认购方放弃的部分。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如果按照前述第7.1和7.2条的规定，优先认购方部分或全部行使其优先认购权后，第三方有权自公司向投资方发出增资通知之日起【120】天内，按照增资通知中载明的价格和条件认购全部或剩余的拟新增注册资本。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rPr>
        <w:t>信息权和检查权</w:t>
      </w:r>
      <w:r>
        <w:rPr>
          <w:rFonts w:hint="eastAsia" w:ascii="Times New Roman" w:hAnsi="Times New Roman" w:eastAsia="宋体" w:cs="Times New Roman"/>
          <w:b/>
          <w:bCs w:val="0"/>
          <w:sz w:val="24"/>
          <w:szCs w:val="22"/>
        </w:rPr>
        <w:fldChar w:fldCharType="begin"/>
      </w:r>
      <w:r>
        <w:rPr>
          <w:rFonts w:hint="eastAsia" w:ascii="Times New Roman" w:hAnsi="Times New Roman" w:eastAsia="宋体" w:cs="Times New Roman"/>
          <w:b/>
          <w:bCs w:val="0"/>
          <w:sz w:val="24"/>
          <w:szCs w:val="22"/>
        </w:rPr>
        <w:instrText xml:space="preserve"> MERGEFIELD [#if agreement.irObj.option=="1"] \* MERGEFORMAT </w:instrText>
      </w:r>
      <w:r>
        <w:rPr>
          <w:rFonts w:hint="eastAsia" w:ascii="Times New Roman" w:hAnsi="Times New Roman" w:eastAsia="宋体" w:cs="Times New Roman"/>
          <w:b/>
          <w:bCs w:val="0"/>
          <w:sz w:val="24"/>
          <w:szCs w:val="22"/>
        </w:rPr>
        <w:fldChar w:fldCharType="separate"/>
      </w:r>
      <w:r>
        <w:rPr>
          <w:rFonts w:hint="eastAsia" w:ascii="Times New Roman" w:hAnsi="Times New Roman" w:eastAsia="宋体" w:cs="Times New Roman"/>
          <w:b/>
          <w:bCs w:val="0"/>
          <w:sz w:val="24"/>
          <w:szCs w:val="22"/>
        </w:rPr>
        <w:t>«[#if»</w:t>
      </w:r>
      <w:r>
        <w:rPr>
          <w:rFonts w:hint="eastAsia" w:ascii="Times New Roman" w:hAnsi="Times New Roman" w:eastAsia="宋体" w:cs="Times New Roman"/>
          <w:b/>
          <w:bCs w:val="0"/>
          <w:sz w:val="24"/>
          <w:szCs w:val="22"/>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公司应按时向【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${agreement["irObj"].IRPeople}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信息权人</w:t>
      </w:r>
      <w:r>
        <w:rPr>
          <w:rFonts w:hint="eastAsia" w:ascii="Times New Roman" w:hAnsi="Times New Roman" w:eastAsia="宋体" w:cs="Times New Roman"/>
          <w:sz w:val="24"/>
          <w:u w:val="none"/>
        </w:rPr>
        <w:t>”）提供下列文件：</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agreement.irObj.IRClauseList as ir]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snapToGrid w:val="0"/>
        <w:rPr>
          <w:rFonts w:ascii="Times New Roman" w:hAnsi="Times New Roman" w:eastAsia="宋体" w:cs="Times New Roman"/>
          <w:sz w:val="24"/>
        </w:rPr>
      </w:pPr>
    </w:p>
    <w:p>
      <w:pPr>
        <w:keepNext w:val="0"/>
        <w:keepLines w:val="0"/>
        <w:pageBreakBefore w:val="0"/>
        <w:widowControl w:val="0"/>
        <w:numPr>
          <w:ilvl w:val="2"/>
          <w:numId w:val="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${ir["content"]}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ir_has_next]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lang w:val="en-GB"/>
        </w:rPr>
        <w:fldChar w:fldCharType="begin"/>
      </w:r>
      <w:r>
        <w:rPr>
          <w:rFonts w:hint="eastAsia" w:ascii="Times New Roman" w:hAnsi="Times New Roman" w:eastAsia="宋体" w:cs="Times New Roman"/>
          <w:sz w:val="24"/>
          <w:lang w:val="en-GB"/>
        </w:rPr>
        <w:instrText xml:space="preserve"> MERGEFIELD [#else] \* MERGEFORMAT </w:instrText>
      </w:r>
      <w:r>
        <w:rPr>
          <w:rFonts w:hint="eastAsia" w:ascii="Times New Roman" w:hAnsi="Times New Roman" w:eastAsia="宋体" w:cs="Times New Roman"/>
          <w:sz w:val="24"/>
          <w:lang w:val="en-GB"/>
        </w:rPr>
        <w:fldChar w:fldCharType="separate"/>
      </w:r>
      <w:r>
        <w:rPr>
          <w:rFonts w:hint="eastAsia" w:ascii="Times New Roman" w:hAnsi="Times New Roman" w:eastAsia="宋体" w:cs="Times New Roman"/>
          <w:sz w:val="24"/>
          <w:lang w:val="en-GB"/>
        </w:rPr>
        <w:t>«[#else]»</w:t>
      </w:r>
      <w:r>
        <w:rPr>
          <w:rFonts w:hint="eastAsia" w:ascii="Times New Roman" w:hAnsi="Times New Roman" w:eastAsia="宋体" w:cs="Times New Roman"/>
          <w:sz w:val="24"/>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lang w:val="en-GB" w:eastAsia="zh-CN"/>
        </w:rPr>
        <w:fldChar w:fldCharType="begin"/>
      </w:r>
      <w:r>
        <w:rPr>
          <w:rFonts w:hint="eastAsia" w:ascii="Times New Roman" w:hAnsi="Times New Roman" w:eastAsia="宋体" w:cs="Times New Roman"/>
          <w:sz w:val="24"/>
          <w:lang w:val="en-GB" w:eastAsia="zh-CN"/>
        </w:rPr>
        <w:instrText xml:space="preserve"> MERGEFIELD [/#if] \* MERGEFORMAT </w:instrText>
      </w:r>
      <w:r>
        <w:rPr>
          <w:rFonts w:hint="eastAsia" w:ascii="Times New Roman" w:hAnsi="Times New Roman" w:eastAsia="宋体" w:cs="Times New Roman"/>
          <w:sz w:val="24"/>
          <w:lang w:val="en-GB" w:eastAsia="zh-CN"/>
        </w:rPr>
        <w:fldChar w:fldCharType="separate"/>
      </w:r>
      <w:r>
        <w:rPr>
          <w:rFonts w:hint="eastAsia" w:ascii="Times New Roman" w:hAnsi="Times New Roman" w:eastAsia="宋体" w:cs="Times New Roman"/>
          <w:sz w:val="24"/>
          <w:lang w:val="en-GB" w:eastAsia="zh-CN"/>
        </w:rPr>
        <w:t>«[/#if]»</w:t>
      </w:r>
      <w:r>
        <w:rPr>
          <w:rFonts w:hint="eastAsia" w:ascii="Times New Roman" w:hAnsi="Times New Roman" w:eastAsia="宋体" w:cs="Times New Roman"/>
          <w:sz w:val="24"/>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公司所有</w:t>
      </w:r>
      <w:r>
        <w:rPr>
          <w:rFonts w:ascii="Times New Roman" w:hAnsi="Times New Roman" w:eastAsia="宋体" w:cs="Times New Roman"/>
          <w:sz w:val="24"/>
        </w:rPr>
        <w:t>依照本章程第</w:t>
      </w:r>
      <w:r>
        <w:rPr>
          <w:rFonts w:hint="eastAsia" w:ascii="Times New Roman" w:hAnsi="Times New Roman" w:eastAsia="宋体" w:cs="Times New Roman"/>
          <w:sz w:val="24"/>
        </w:rPr>
        <w:t>8.1条向投资方提供的财务报表应包含相应期间的合并后和各个分、子公司的资产负债表、损益表和现金流量表，</w:t>
      </w:r>
      <w:r>
        <w:rPr>
          <w:rFonts w:ascii="Times New Roman" w:hAnsi="Times New Roman" w:eastAsia="宋体" w:cs="Times New Roman"/>
          <w:sz w:val="24"/>
        </w:rPr>
        <w:t>且</w:t>
      </w:r>
      <w:r>
        <w:rPr>
          <w:rFonts w:hint="eastAsia" w:ascii="Times New Roman" w:hAnsi="Times New Roman" w:eastAsia="宋体" w:cs="Times New Roman"/>
          <w:sz w:val="24"/>
        </w:rPr>
        <w:t>包含年度预算和</w:t>
      </w:r>
      <w:r>
        <w:rPr>
          <w:rFonts w:ascii="Times New Roman" w:hAnsi="Times New Roman" w:eastAsia="宋体" w:cs="Times New Roman"/>
          <w:sz w:val="24"/>
        </w:rPr>
        <w:t>实际结果的比较</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信息权人有权查阅并复制公司章程、股东会会议记录、董事会会议记录、监事会会议记录（如有）和财务会计报告。公司应当在发生任何重大事宜时，于三（3）日内及时通知信息权人。</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本章程签署之日起，信息权人有权：（1）在正常工作时间，对公司以及其子公司的资产、财务账簿和其它经营记录进行查看核对，（2）在合理必要时，就公司经营方面事宜与公司董事、监事、高级管理人员或公司聘请的专业服务机构沟通，或访问其顾问、雇员、独立会计师及律师，（3）根据自身需要派出信息权人内部的审计人员或聘请独立的审计师对公司进行审计，该审计人员或审计师有权了解、查看公司以及其子公司的全部的财务报表、财务凭证、原始单据以及其它的公司资料。信息权人行使本条权利时，公司应当提供必要协助。</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agreement.lpObj["option"]=="1"]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snapToGrid w:val="0"/>
        <w:spacing w:line="420" w:lineRule="atLeast"/>
        <w:rPr>
          <w:rFonts w:ascii="Times New Roman" w:hAnsi="Times New Roman" w:eastAsia="宋体" w:cs="Times New Roman"/>
          <w:sz w:val="24"/>
          <w:szCs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bookmarkStart w:id="20" w:name="_Toc432083298"/>
      <w:bookmarkStart w:id="21" w:name="_Toc437979926"/>
      <w:bookmarkStart w:id="22" w:name="_Toc332999838"/>
      <w:r>
        <w:rPr>
          <w:rFonts w:hint="eastAsia" w:ascii="Times New Roman" w:hAnsi="Times New Roman" w:eastAsia="宋体" w:cs="Times New Roman"/>
          <w:b/>
          <w:sz w:val="24"/>
          <w:szCs w:val="22"/>
        </w:rPr>
        <w:t>清算优先权</w:t>
      </w:r>
      <w:bookmarkEnd w:id="20"/>
      <w:bookmarkEnd w:id="21"/>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为本条之目的，以下事件为清算事件：</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公司拟终止经营进行清算的；</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公司拟出售、转让全部或核心资产、业务或对其进行任何其他处置，并拟不再进行实质性经营活动的；</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因股权转让或增资、协议安排导致公司控制权归属于除本次投资完成后的全体股东以外的第三人的（与上述9.1条（</w:t>
      </w:r>
      <w:r>
        <w:rPr>
          <w:rFonts w:hint="eastAsia" w:cs="Times New Roman"/>
          <w:sz w:val="24"/>
          <w:highlight w:val="none"/>
          <w:lang w:val="en-US" w:eastAsia="zh-CN"/>
        </w:rPr>
        <w:t>2</w:t>
      </w:r>
      <w:r>
        <w:rPr>
          <w:rFonts w:hint="eastAsia" w:ascii="Times New Roman" w:hAnsi="Times New Roman" w:eastAsia="宋体" w:cs="Times New Roman"/>
          <w:sz w:val="24"/>
          <w:highlight w:val="none"/>
          <w:lang w:val="en-GB"/>
        </w:rPr>
        <w:t>）款，单独称或合称“整体出售”）；</w:t>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其他任何清算、解散或终止情形。</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若公司发生任何清算事件（不包括整体出售事项），公司的财产应当按照如下顺序进行分配：</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依照本合同第26.5条第(</w:t>
      </w:r>
      <w:r>
        <w:rPr>
          <w:rFonts w:hint="eastAsia" w:cs="Times New Roman"/>
          <w:sz w:val="24"/>
          <w:highlight w:val="none"/>
          <w:lang w:val="en-US" w:eastAsia="zh-CN"/>
        </w:rPr>
        <w:t>1</w:t>
      </w:r>
      <w:r>
        <w:rPr>
          <w:rFonts w:hint="eastAsia" w:ascii="Times New Roman" w:hAnsi="Times New Roman" w:eastAsia="宋体" w:cs="Times New Roman"/>
          <w:sz w:val="24"/>
          <w:highlight w:val="none"/>
          <w:lang w:val="en-GB"/>
        </w:rPr>
        <w:t>)-(</w:t>
      </w:r>
      <w:r>
        <w:rPr>
          <w:rFonts w:hint="eastAsia" w:cs="Times New Roman"/>
          <w:sz w:val="24"/>
          <w:highlight w:val="none"/>
          <w:lang w:val="en-US" w:eastAsia="zh-CN"/>
        </w:rPr>
        <w:t>4</w:t>
      </w:r>
      <w:r>
        <w:rPr>
          <w:rFonts w:hint="eastAsia" w:ascii="Times New Roman" w:hAnsi="Times New Roman" w:eastAsia="宋体" w:cs="Times New Roman"/>
          <w:sz w:val="24"/>
          <w:highlight w:val="none"/>
          <w:lang w:val="en-GB"/>
        </w:rPr>
        <w:t>)款支付相关费用；</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在足额支付前款的费用之后且未向任何公司其他股东分配公司剩余财产前，应首先</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agreement.lpObj.cisPositionOption=="0"]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${agreement["lpObj"].LPPeople}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«${agreement[»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优先清算额</w:t>
      </w:r>
      <w:r>
        <w:rPr>
          <w:rFonts w:hint="eastAsia" w:ascii="Times New Roman" w:hAnsi="Times New Roman" w:eastAsia="宋体" w:cs="Times New Roman"/>
          <w:sz w:val="24"/>
          <w:highlight w:val="none"/>
          <w:lang w:val="en-GB"/>
        </w:rPr>
        <w:t>”）：清算权人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清算权人】支付但尚未支付的或已宣布但未分配的股息或红利之和；若公司剩余财产不足以向所有【清算权人】支付其应当获得的全部本轮优先清算额，则剩余公司财产将按届时【清算权人】之间可获得的【</w:t>
      </w:r>
      <w:r>
        <w:rPr>
          <w:rFonts w:hint="eastAsia" w:ascii="Times New Roman" w:hAnsi="Times New Roman" w:eastAsia="宋体" w:cs="Times New Roman"/>
          <w:sz w:val="24"/>
          <w:highlight w:val="none"/>
          <w:u w:val="none"/>
          <w:lang w:val="en-GB"/>
        </w:rPr>
        <w:t>优先清算额</w:t>
      </w:r>
      <w:r>
        <w:rPr>
          <w:rFonts w:hint="eastAsia" w:ascii="Times New Roman" w:hAnsi="Times New Roman" w:eastAsia="宋体" w:cs="Times New Roman"/>
          <w:sz w:val="24"/>
          <w:highlight w:val="none"/>
          <w:lang w:val="en-GB"/>
        </w:rPr>
        <w:t>】之间的相对比例在【清算权人】之间进行分配；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agreement.lpObj.cisPositionList as cis]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cis_index==0]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第一顺位清算权人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第一顺位优先清算额</w:t>
      </w:r>
      <w:r>
        <w:rPr>
          <w:rFonts w:hint="eastAsia" w:ascii="Times New Roman" w:hAnsi="Times New Roman" w:eastAsia="宋体" w:cs="Times New Roman"/>
          <w:sz w:val="24"/>
          <w:highlight w:val="none"/>
          <w:lang w:val="en-GB"/>
        </w:rPr>
        <w:t>”）：第一顺位清算权人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第一顺位清算权人】支付但尚未支付的或已宣布但未分配的股息或红利之和；若公司剩余财产不足以向所有【第一顺位清算权人】支付其应当获得的全部本轮优先清算额，则剩余公司财产将按届时【第一顺位清算权人】之间可获得的【第一顺位优先清算额】之间的相对比例在【第一顺位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[#elseif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在足额支付前述各条款约定的款项之后，任何剩余的公司财产将按届时公司全体股东的出资比例在包括清算权人在内的全体股东之间进行分配。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若公司发生上述整体出售，届时公司和/或公司股东获得的所有金额（“</w:t>
      </w:r>
      <w:r>
        <w:rPr>
          <w:rFonts w:hint="eastAsia" w:ascii="Times New Roman" w:hAnsi="Times New Roman" w:eastAsia="宋体" w:cs="Times New Roman"/>
          <w:sz w:val="24"/>
          <w:u w:val="single"/>
        </w:rPr>
        <w:t>待分配金额</w:t>
      </w:r>
      <w:r>
        <w:rPr>
          <w:rFonts w:hint="eastAsia" w:ascii="Times New Roman" w:hAnsi="Times New Roman" w:eastAsia="宋体" w:cs="Times New Roman"/>
          <w:sz w:val="24"/>
          <w:u w:val="none"/>
        </w:rPr>
        <w:t>”），应当按照上述第9.2条的（</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）款的顺序进行分配。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若根据届时适用法律的要求，公司全部财产或者待分配金额，在支付上述第9.2条（</w:t>
      </w:r>
      <w:r>
        <w:rPr>
          <w:rFonts w:hint="eastAsia" w:cs="Times New Roman"/>
          <w:sz w:val="24"/>
          <w:u w:val="none"/>
          <w:lang w:val="en-US" w:eastAsia="zh-CN"/>
        </w:rPr>
        <w:t>1</w:t>
      </w:r>
      <w:r>
        <w:rPr>
          <w:rFonts w:hint="eastAsia" w:ascii="Times New Roman" w:hAnsi="Times New Roman" w:eastAsia="宋体" w:cs="Times New Roman"/>
          <w:sz w:val="24"/>
          <w:u w:val="none"/>
        </w:rPr>
        <w:t>）款所述款项后（如适用），必须按照各股东的出资比例进行分配，则公司及创始人应保证投资方足额获得其根据上述第9.2条（</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）款各自所应获得的款项（包括但不限于创始人应将其从公司所获取的全部或部分财产无偿转让给各清算权人</w:t>
      </w:r>
      <w:bookmarkStart w:id="23" w:name="_DV_C205"/>
      <w:r>
        <w:rPr>
          <w:rFonts w:hint="eastAsia" w:ascii="Times New Roman" w:hAnsi="Times New Roman" w:eastAsia="宋体" w:cs="Times New Roman"/>
          <w:sz w:val="24"/>
          <w:u w:val="none"/>
        </w:rPr>
        <w:t>；为免疑义，创始人的上述义务以其届时实际分得的清算财产为限</w:t>
      </w:r>
      <w:bookmarkEnd w:id="23"/>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agreement.rpObj.option=="1"]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rPr>
        <w:t>回购权</w:t>
      </w:r>
    </w:p>
    <w:p>
      <w:pPr>
        <w:pStyle w:val="5"/>
        <w:rPr>
          <w:rFonts w:ascii="Times New Roman" w:hAnsi="Times New Roman" w:eastAsia="宋体" w:cs="Times New Roman"/>
        </w:rPr>
      </w:pP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bookmarkStart w:id="24" w:name="_Ref9344"/>
      <w:r>
        <w:rPr>
          <w:rFonts w:hint="eastAsia" w:ascii="Times New Roman" w:hAnsi="Times New Roman" w:eastAsia="宋体" w:cs="Times New Roman"/>
          <w:sz w:val="24"/>
          <w:u w:val="none"/>
        </w:rPr>
        <w:t>如发生以下任一情形</w:t>
      </w:r>
      <w:bookmarkEnd w:id="24"/>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agreement.rpTermList as rp]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${rp["content"]}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«${rp[»</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rp_has_next]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680"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任一投资</w:t>
      </w:r>
      <w:r>
        <w:rPr>
          <w:rFonts w:hint="eastAsia" w:ascii="Times New Roman" w:hAnsi="Times New Roman" w:eastAsia="宋体" w:cs="Times New Roman"/>
          <w:sz w:val="24"/>
          <w:lang w:val="en-US" w:eastAsia="zh-CN"/>
        </w:rPr>
        <w:t>方</w:t>
      </w:r>
      <w:r>
        <w:rPr>
          <w:rFonts w:hint="eastAsia" w:ascii="Times New Roman" w:hAnsi="Times New Roman" w:eastAsia="宋体" w:cs="Times New Roman"/>
          <w:sz w:val="24"/>
        </w:rPr>
        <w:t>（简称“</w:t>
      </w:r>
      <w:r>
        <w:rPr>
          <w:rFonts w:hint="eastAsia" w:ascii="Times New Roman" w:hAnsi="Times New Roman" w:eastAsia="宋体" w:cs="Times New Roman"/>
          <w:sz w:val="24"/>
          <w:u w:val="single"/>
        </w:rPr>
        <w:t>回购权人</w:t>
      </w:r>
      <w:r>
        <w:rPr>
          <w:rFonts w:hint="eastAsia" w:ascii="Times New Roman" w:hAnsi="Times New Roman" w:eastAsia="宋体" w:cs="Times New Roman"/>
          <w:sz w:val="24"/>
        </w:rPr>
        <w:t>”）有权要求公司和创始</w:t>
      </w:r>
      <w:r>
        <w:rPr>
          <w:rFonts w:hint="eastAsia" w:ascii="Times New Roman" w:hAnsi="Times New Roman" w:eastAsia="宋体" w:cs="Times New Roman"/>
          <w:sz w:val="24"/>
          <w:lang w:val="en-US" w:eastAsia="zh-CN"/>
        </w:rPr>
        <w:t>人</w:t>
      </w:r>
      <w:r>
        <w:rPr>
          <w:rFonts w:hint="eastAsia" w:ascii="Times New Roman" w:hAnsi="Times New Roman" w:eastAsia="宋体" w:cs="Times New Roman"/>
          <w:sz w:val="24"/>
        </w:rPr>
        <w:t>连带地（与公司合称为“</w:t>
      </w:r>
      <w:r>
        <w:rPr>
          <w:rFonts w:hint="eastAsia" w:ascii="Times New Roman" w:hAnsi="Times New Roman" w:eastAsia="宋体" w:cs="Times New Roman"/>
          <w:sz w:val="24"/>
          <w:u w:val="single"/>
        </w:rPr>
        <w:t>回购义务人</w:t>
      </w:r>
      <w:r>
        <w:rPr>
          <w:rFonts w:hint="eastAsia" w:ascii="Times New Roman" w:hAnsi="Times New Roman" w:eastAsia="宋体" w:cs="Times New Roman"/>
          <w:sz w:val="24"/>
        </w:rPr>
        <w:t>”）按照下述约定的回购价格购买该回购权人所持有的全部或部分公司股权（简称“</w:t>
      </w:r>
      <w:r>
        <w:rPr>
          <w:rFonts w:hint="eastAsia" w:ascii="Times New Roman" w:hAnsi="Times New Roman" w:eastAsia="宋体" w:cs="Times New Roman"/>
          <w:sz w:val="24"/>
          <w:u w:val="single"/>
        </w:rPr>
        <w:t>拟回购股权</w:t>
      </w:r>
      <w:r>
        <w:rPr>
          <w:rFonts w:hint="eastAsia" w:ascii="Times New Roman" w:hAnsi="Times New Roman" w:eastAsia="宋体" w:cs="Times New Roman"/>
          <w:sz w:val="24"/>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回购价格</w:t>
      </w:r>
    </w:p>
    <w:p>
      <w:pPr>
        <w:keepNext w:val="0"/>
        <w:keepLines w:val="0"/>
        <w:pageBreakBefore w:val="0"/>
        <w:widowControl w:val="0"/>
        <w:kinsoku/>
        <w:wordWrap/>
        <w:overflowPunct/>
        <w:topLinePunct w:val="0"/>
        <w:autoSpaceDE/>
        <w:autoSpaceDN/>
        <w:bidi w:val="0"/>
        <w:adjustRightInd/>
        <w:snapToGrid w:val="0"/>
        <w:spacing w:line="420" w:lineRule="atLeast"/>
        <w:ind w:left="680" w:leftChars="0" w:right="0" w:rightChars="0" w:firstLine="0" w:firstLineChars="0"/>
        <w:jc w:val="both"/>
        <w:textAlignment w:val="auto"/>
        <w:outlineLvl w:val="9"/>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拟回购股权的回购价格（简称“</w:t>
      </w:r>
      <w:r>
        <w:rPr>
          <w:rFonts w:hint="eastAsia" w:ascii="Times New Roman" w:hAnsi="Times New Roman" w:eastAsia="宋体" w:cs="Times New Roman"/>
          <w:sz w:val="24"/>
          <w:u w:val="single"/>
          <w:lang w:val="en-US" w:eastAsia="zh-CN"/>
        </w:rPr>
        <w:t>回购价格</w:t>
      </w:r>
      <w:r>
        <w:rPr>
          <w:rFonts w:hint="eastAsia" w:ascii="Times New Roman" w:hAnsi="Times New Roman" w:eastAsia="宋体" w:cs="Times New Roman"/>
          <w:sz w:val="24"/>
          <w:lang w:val="en-US" w:eastAsia="zh-CN"/>
        </w:rPr>
        <w:t>”）应当按照以下公式进行计算:</w:t>
      </w:r>
      <w:r>
        <w:rPr>
          <w:rFonts w:hint="eastAsia" w:ascii="Times New Roman" w:hAnsi="Times New Roman" w:eastAsia="宋体" w:cs="Times New Roman"/>
          <w:sz w:val="24"/>
          <w:highlight w:val="red"/>
          <w:lang w:val="en-US" w:eastAsia="zh-CN"/>
        </w:rPr>
        <w:fldChar w:fldCharType="begin"/>
      </w:r>
      <w:r>
        <w:rPr>
          <w:rFonts w:hint="eastAsia" w:ascii="Times New Roman" w:hAnsi="Times New Roman" w:eastAsia="宋体" w:cs="Times New Roman"/>
          <w:sz w:val="24"/>
          <w:highlight w:val="red"/>
          <w:lang w:val="en-US" w:eastAsia="zh-CN"/>
        </w:rPr>
        <w:instrText xml:space="preserve"> MERGEFIELD [#if agreement.rpTermList1?size gt 0] \* MERGEFORMAT </w:instrText>
      </w:r>
      <w:r>
        <w:rPr>
          <w:rFonts w:hint="eastAsia" w:ascii="Times New Roman" w:hAnsi="Times New Roman" w:eastAsia="宋体" w:cs="Times New Roman"/>
          <w:sz w:val="24"/>
          <w:highlight w:val="red"/>
          <w:lang w:val="en-US" w:eastAsia="zh-CN"/>
        </w:rPr>
        <w:fldChar w:fldCharType="separate"/>
      </w:r>
      <w:r>
        <w:rPr>
          <w:rFonts w:hint="eastAsia" w:ascii="Times New Roman" w:hAnsi="Times New Roman" w:eastAsia="宋体" w:cs="Times New Roman"/>
          <w:sz w:val="24"/>
          <w:highlight w:val="red"/>
          <w:lang w:val="en-US" w:eastAsia="zh-CN"/>
        </w:rPr>
        <w:t>«[#if»</w:t>
      </w:r>
      <w:r>
        <w:rPr>
          <w:rFonts w:hint="eastAsia" w:ascii="Times New Roman" w:hAnsi="Times New Roman" w:eastAsia="宋体" w:cs="Times New Roman"/>
          <w:sz w:val="24"/>
          <w:highlight w:val="red"/>
          <w:lang w:val="en-US" w:eastAsia="zh-CN"/>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[#list agreement.rpTermList as rp]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«[#list»</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[#if rp["option"]=="1"]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«[#if»</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t>(</w:t>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${rp["index"]}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«${rp[»</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t>)</w:t>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[/#if]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«[/#if]»</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yellow"/>
          <w:lang w:val="en-US" w:eastAsia="zh-CN"/>
        </w:rPr>
        <w:fldChar w:fldCharType="begin"/>
      </w:r>
      <w:r>
        <w:rPr>
          <w:rFonts w:hint="eastAsia" w:ascii="Times New Roman" w:hAnsi="Times New Roman" w:eastAsia="宋体" w:cs="Times New Roman"/>
          <w:sz w:val="24"/>
          <w:highlight w:val="yellow"/>
          <w:lang w:val="en-US" w:eastAsia="zh-CN"/>
        </w:rPr>
        <w:instrText xml:space="preserve"> MERGEFIELD [/#list] \* MERGEFORMAT </w:instrText>
      </w:r>
      <w:r>
        <w:rPr>
          <w:rFonts w:hint="eastAsia" w:ascii="Times New Roman" w:hAnsi="Times New Roman" w:eastAsia="宋体" w:cs="Times New Roman"/>
          <w:sz w:val="24"/>
          <w:highlight w:val="yellow"/>
          <w:lang w:val="en-US" w:eastAsia="zh-CN"/>
        </w:rPr>
        <w:fldChar w:fldCharType="separate"/>
      </w:r>
      <w:r>
        <w:rPr>
          <w:rFonts w:hint="eastAsia" w:ascii="Times New Roman" w:hAnsi="Times New Roman" w:eastAsia="宋体" w:cs="Times New Roman"/>
          <w:sz w:val="24"/>
          <w:highlight w:val="yellow"/>
          <w:lang w:val="en-US" w:eastAsia="zh-CN"/>
        </w:rPr>
        <w:t>«[/#list]»</w:t>
      </w:r>
      <w:r>
        <w:rPr>
          <w:rFonts w:hint="eastAsia" w:ascii="Times New Roman" w:hAnsi="Times New Roman" w:eastAsia="宋体" w:cs="Times New Roman"/>
          <w:sz w:val="24"/>
          <w:highlight w:val="yellow"/>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vertAlign w:val="superscript"/>
        </w:rPr>
        <w:t xml:space="preserve"> N</w:t>
      </w:r>
      <w:r>
        <w:rPr>
          <w:rFonts w:ascii="Times New Roman" w:hAnsi="Times New Roman" w:eastAsia="宋体" w:cs="Times New Roman"/>
          <w:sz w:val="24"/>
        </w:rPr>
        <w:t xml:space="preserve"> +A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${agreement["rpTermList1"][0].param}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agreement.rpTermList1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9"/>
        </w:numPr>
        <w:tabs>
          <w:tab w:val="left" w:pos="2100"/>
        </w:tabs>
        <w:kinsoku/>
        <w:wordWrap/>
        <w:overflowPunct/>
        <w:topLinePunct w:val="0"/>
        <w:autoSpaceDE/>
        <w:autoSpaceDN/>
        <w:bidi w:val="0"/>
        <w:adjustRightInd/>
        <w:snapToGrid w:val="0"/>
        <w:spacing w:before="156" w:after="50" w:line="300" w:lineRule="auto"/>
        <w:ind w:left="1973" w:leftChars="0" w:right="0" w:rightChars="0" w:hanging="624" w:firstLineChars="0"/>
        <w:jc w:val="both"/>
        <w:textAlignment w:val="auto"/>
        <w:outlineLvl w:val="9"/>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如发生上述第</w:t>
      </w:r>
      <w:r>
        <w:rPr>
          <w:rFonts w:hint="eastAsia" w:ascii="Times New Roman" w:hAnsi="Times New Roman" w:eastAsia="宋体" w:cs="Times New Roman"/>
          <w:sz w:val="24"/>
          <w:szCs w:val="22"/>
          <w:lang w:eastAsia="zh-CN"/>
        </w:rPr>
        <w:t>【</w:t>
      </w:r>
      <w:r>
        <w:rPr>
          <w:rFonts w:hint="eastAsia" w:ascii="Times New Roman" w:hAnsi="Times New Roman" w:eastAsia="宋体" w:cs="Times New Roman"/>
          <w:sz w:val="24"/>
          <w:szCs w:val="22"/>
          <w:lang w:val="en-US" w:eastAsia="zh-CN"/>
        </w:rPr>
        <w:t>10.1</w:t>
      </w:r>
      <w:r>
        <w:rPr>
          <w:rFonts w:hint="eastAsia" w:ascii="Times New Roman" w:hAnsi="Times New Roman" w:eastAsia="宋体" w:cs="Times New Roman"/>
          <w:sz w:val="24"/>
          <w:szCs w:val="22"/>
          <w:lang w:eastAsia="zh-CN"/>
        </w:rPr>
        <w:t>】</w:t>
      </w:r>
      <w:r>
        <w:rPr>
          <w:rFonts w:hint="eastAsia" w:ascii="Times New Roman" w:hAnsi="Times New Roman" w:eastAsia="宋体" w:cs="Times New Roman"/>
          <w:sz w:val="24"/>
          <w:szCs w:val="22"/>
        </w:rPr>
        <w:t>条第（</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${rp["index"]}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«${rp[»</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）项的情形时应为【</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${rp["param"]}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«${rp[»</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[/#list]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«[/#list]»</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[/#if]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«[/#if]»</w:t>
      </w:r>
      <w:r>
        <w:rPr>
          <w:rFonts w:hint="eastAsia" w:ascii="Times New Roman" w:hAnsi="Times New Roman" w:eastAsia="宋体" w:cs="Times New Roman"/>
          <w:sz w:val="24"/>
          <w:szCs w:val="22"/>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agreement.rpTermList2?size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rp["option"]=="2"]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回购价格＝I×(1+R×N) +A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agreement.rpTermList2?size==1]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val="en-US" w:eastAsia="zh-CN"/>
        </w:rPr>
        <w:t>即</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${agreement["rpTermList2"][0].param}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«${agreement[»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[#list agreement.rpTermList2 as rp]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«[#list»</w:t>
      </w:r>
      <w:r>
        <w:rPr>
          <w:rFonts w:hint="eastAsia" w:ascii="Times New Roman" w:hAnsi="Times New Roman" w:eastAsia="宋体" w:cs="Times New Roman"/>
          <w:sz w:val="24"/>
          <w:lang w:eastAsia="zh-CN"/>
        </w:rPr>
        <w:fldChar w:fldCharType="end"/>
      </w:r>
    </w:p>
    <w:p>
      <w:pPr>
        <w:pStyle w:val="29"/>
        <w:keepNext w:val="0"/>
        <w:keepLines w:val="0"/>
        <w:pageBreakBefore w:val="0"/>
        <w:widowControl w:val="0"/>
        <w:numPr>
          <w:ilvl w:val="0"/>
          <w:numId w:val="10"/>
        </w:numPr>
        <w:tabs>
          <w:tab w:val="left" w:pos="2100"/>
        </w:tabs>
        <w:kinsoku/>
        <w:wordWrap/>
        <w:overflowPunct/>
        <w:topLinePunct w:val="0"/>
        <w:autoSpaceDE/>
        <w:autoSpaceDN/>
        <w:bidi w:val="0"/>
        <w:adjustRightInd/>
        <w:snapToGrid w:val="0"/>
        <w:spacing w:before="156" w:after="50" w:line="300" w:lineRule="auto"/>
        <w:ind w:left="1973" w:leftChars="0" w:right="0" w:rightChars="0" w:hanging="624"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10.1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hint="eastAsia" w:ascii="Times New Roman" w:hAnsi="Times New Roman" w:eastAsia="宋体" w:cs="Times New Roman"/>
          <w:sz w:val="24"/>
          <w:highlight w:val="yellow"/>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agreement.rpTermList3?size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rp["option"]=="3"]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rPr>
        <w:t>×</w:t>
      </w:r>
      <w:r>
        <w:rPr>
          <w:rFonts w:hint="eastAsia" w:ascii="Times New Roman" w:hAnsi="Times New Roman" w:eastAsia="宋体" w:cs="Times New Roman"/>
          <w:szCs w:val="24"/>
          <w:lang w:val="en-US" w:eastAsia="zh-CN"/>
        </w:rPr>
        <w:t>%</w:t>
      </w:r>
      <w:r>
        <w:rPr>
          <w:rFonts w:ascii="Times New Roman" w:hAnsi="Times New Roman" w:eastAsia="宋体" w:cs="Times New Roman"/>
          <w:sz w:val="24"/>
        </w:rPr>
        <w:t>)</w:t>
      </w:r>
      <w:r>
        <w:rPr>
          <w:rFonts w:ascii="Times New Roman" w:hAnsi="Times New Roman" w:eastAsia="宋体" w:cs="Times New Roman"/>
          <w:szCs w:val="24"/>
          <w:vertAlign w:val="superscript"/>
        </w:rPr>
        <w:t xml:space="preserve"> </w:t>
      </w:r>
      <w:r>
        <w:rPr>
          <w:rFonts w:ascii="Times New Roman" w:hAnsi="Times New Roman" w:eastAsia="宋体" w:cs="Times New Roman"/>
          <w:sz w:val="24"/>
        </w:rPr>
        <w:t>+A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34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agreement.rpTermList3?size==1]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${agreement["rpTermList3"][0].param}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agreement.rpTermList3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11"/>
        </w:numPr>
        <w:tabs>
          <w:tab w:val="left" w:pos="2100"/>
        </w:tabs>
        <w:kinsoku/>
        <w:wordWrap/>
        <w:overflowPunct/>
        <w:topLinePunct w:val="0"/>
        <w:autoSpaceDE/>
        <w:autoSpaceDN/>
        <w:bidi w:val="0"/>
        <w:adjustRightInd/>
        <w:snapToGrid w:val="0"/>
        <w:spacing w:before="156" w:after="50" w:line="300" w:lineRule="auto"/>
        <w:ind w:left="1973" w:leftChars="0" w:right="0" w:rightChars="0" w:hanging="624"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10.1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lang w:eastAsia="zh-CN"/>
        </w:rPr>
        <w:t>在回购权人向回购义务人发出回购通知后，回购义务人应该在</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${agreement.p19RedemptionPeriod}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«${agreement.p19RedemptionPeriod}»</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日内（简称“回购期限”）按照回购价格购买拟回购股权。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如果在回购权人同时行使回购权，但回购义务人届时资金不足无法完全按照上述约定回购回购权人的拟回购股权时，则回购义务人应：</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(agreement.p19RepoHolderNum=="0")]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按照回购权人</w:t>
      </w:r>
      <w:r>
        <w:rPr>
          <w:rFonts w:hint="eastAsia" w:ascii="Times New Roman" w:hAnsi="Times New Roman" w:eastAsia="宋体" w:cs="Times New Roman"/>
          <w:sz w:val="24"/>
          <w:u w:val="none"/>
          <w:lang w:val="en-US" w:eastAsia="zh-CN"/>
        </w:rPr>
        <w:t>应获得的回购价格之间的</w:t>
      </w:r>
      <w:r>
        <w:rPr>
          <w:rFonts w:hint="eastAsia" w:ascii="Times New Roman" w:hAnsi="Times New Roman" w:eastAsia="宋体" w:cs="Times New Roman"/>
          <w:sz w:val="24"/>
          <w:u w:val="none"/>
          <w:lang w:eastAsia="zh-CN"/>
        </w:rPr>
        <w:t>相对比例回购该回购权人的拟回购股权。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如有未能回购的拟回购股权的，则应在回购义务人有资金时立即回购。</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agreement.rpObj.cisPositionList as cis]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p>
    <w:p>
      <w:pPr>
        <w:keepNext w:val="0"/>
        <w:keepLines w:val="0"/>
        <w:pageBreakBefore w:val="0"/>
        <w:widowControl w:val="0"/>
        <w:numPr>
          <w:ilvl w:val="0"/>
          <w:numId w:val="0"/>
        </w:numPr>
        <w:tabs>
          <w:tab w:val="left" w:pos="693"/>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cis_index==0]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首先回购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cis as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«${name}»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name_index lt(cis?size-2)]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[#elseif name_index==(cis?size-2)]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val="en-US" w:eastAsia="zh-CN"/>
        </w:rPr>
        <w:t>与</w:t>
      </w:r>
      <w:r>
        <w:rPr>
          <w:rFonts w:hint="eastAsia" w:ascii="Times New Roman" w:hAnsi="Times New Roman" w:eastAsia="宋体" w:cs="Times New Roman"/>
          <w:sz w:val="24"/>
          <w:highlight w:val="yellow"/>
          <w:u w:val="none"/>
          <w:lang w:val="en-US" w:eastAsia="zh-CN"/>
        </w:rPr>
        <w:fldChar w:fldCharType="begin"/>
      </w:r>
      <w:r>
        <w:rPr>
          <w:rFonts w:hint="eastAsia" w:ascii="Times New Roman" w:hAnsi="Times New Roman" w:eastAsia="宋体" w:cs="Times New Roman"/>
          <w:sz w:val="24"/>
          <w:highlight w:val="yellow"/>
          <w:u w:val="none"/>
          <w:lang w:val="en-US" w:eastAsia="zh-CN"/>
        </w:rPr>
        <w:instrText xml:space="preserve"> MERGEFIELD [/#if] \* MERGEFORMAT </w:instrText>
      </w:r>
      <w:r>
        <w:rPr>
          <w:rFonts w:hint="eastAsia" w:ascii="Times New Roman" w:hAnsi="Times New Roman" w:eastAsia="宋体" w:cs="Times New Roman"/>
          <w:sz w:val="24"/>
          <w:highlight w:val="yellow"/>
          <w:u w:val="none"/>
          <w:lang w:val="en-US" w:eastAsia="zh-CN"/>
        </w:rPr>
        <w:fldChar w:fldCharType="separate"/>
      </w:r>
      <w:r>
        <w:rPr>
          <w:rFonts w:hint="eastAsia" w:ascii="Times New Roman" w:hAnsi="Times New Roman" w:eastAsia="宋体" w:cs="Times New Roman"/>
          <w:sz w:val="24"/>
          <w:highlight w:val="yellow"/>
          <w:u w:val="none"/>
          <w:lang w:val="en-US" w:eastAsia="zh-CN"/>
        </w:rPr>
        <w:t>«[/#if]»</w:t>
      </w:r>
      <w:r>
        <w:rPr>
          <w:rFonts w:hint="eastAsia" w:ascii="Times New Roman" w:hAnsi="Times New Roman" w:eastAsia="宋体" w:cs="Times New Roman"/>
          <w:sz w:val="24"/>
          <w:highlight w:val="yellow"/>
          <w:u w:val="none"/>
          <w:lang w:val="en-US" w:eastAsia="zh-CN"/>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（简称“</w:t>
      </w:r>
      <w:r>
        <w:rPr>
          <w:rFonts w:hint="eastAsia" w:ascii="Times New Roman" w:hAnsi="Times New Roman" w:eastAsia="宋体" w:cs="Times New Roman"/>
          <w:sz w:val="24"/>
          <w:u w:val="single"/>
        </w:rPr>
        <w:t>第一顺位回购权人</w:t>
      </w:r>
      <w:r>
        <w:rPr>
          <w:rFonts w:hint="eastAsia" w:ascii="Times New Roman" w:hAnsi="Times New Roman" w:eastAsia="宋体" w:cs="Times New Roman"/>
          <w:sz w:val="24"/>
          <w:u w:val="none"/>
        </w:rPr>
        <w:t>”）的拟回购股权，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(cis?size==0)]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w:t>
      </w:r>
      <w:r>
        <w:rPr>
          <w:rFonts w:hint="eastAsia" w:ascii="Times New Roman" w:hAnsi="Times New Roman" w:eastAsia="宋体" w:cs="Times New Roman"/>
          <w:sz w:val="24"/>
          <w:u w:val="none"/>
          <w:lang w:eastAsia="zh-CN"/>
        </w:rPr>
        <w:t>回购义务人</w:t>
      </w:r>
      <w:r>
        <w:rPr>
          <w:rFonts w:hint="eastAsia" w:ascii="Times New Roman" w:hAnsi="Times New Roman" w:eastAsia="宋体" w:cs="Times New Roman"/>
          <w:sz w:val="24"/>
          <w:u w:val="none"/>
        </w:rPr>
        <w:t>无法完全回购第一顺位回购权人的拟回购股权，则应按照第一顺位回购权人</w:t>
      </w:r>
      <w:r>
        <w:rPr>
          <w:rFonts w:hint="eastAsia" w:ascii="Times New Roman" w:hAnsi="Times New Roman" w:eastAsia="宋体" w:cs="Times New Roman"/>
          <w:sz w:val="24"/>
          <w:u w:val="none"/>
          <w:lang w:val="en-US" w:eastAsia="zh-CN"/>
        </w:rPr>
        <w:t>应获得的回购价格之间</w:t>
      </w:r>
      <w:r>
        <w:rPr>
          <w:rFonts w:hint="eastAsia" w:ascii="Times New Roman" w:hAnsi="Times New Roman" w:eastAsia="宋体" w:cs="Times New Roman"/>
          <w:sz w:val="24"/>
          <w:u w:val="none"/>
        </w:rPr>
        <w:t>的相互比例回购第一顺位回购权人的拟回购股权，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如有未能回购的第一顺位回购权人的拟回购股权的，则应在公司有资金时立即回购；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[#else]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«[#else]»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如公司回购完第</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agreement.numberList as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«${num}»</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rPr>
        <w:t>顺位回购权人的全部拟回购股权且第</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agreement.numberList as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${num}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«${num}»</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num_index lt (cis_index-1)]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rPr>
        <w:t>顺位回购权人已经获得全部回购价款后，公司仍有剩余资金的，则公司应回购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cis as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${name}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«${name}»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name_index lt (cis?size-2)]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[#elseif name_index==(cis?size-2)]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rPr>
        <w:t>和</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（简称“</w:t>
      </w:r>
      <w:r>
        <w:rPr>
          <w:rFonts w:hint="eastAsia" w:ascii="Times New Roman" w:hAnsi="Times New Roman" w:eastAsia="宋体" w:cs="Times New Roman"/>
          <w:sz w:val="24"/>
          <w:u w:val="single"/>
        </w:rPr>
        <w:t>第</w:t>
      </w:r>
      <w:r>
        <w:rPr>
          <w:rFonts w:hint="eastAsia" w:ascii="Times New Roman" w:hAnsi="Times New Roman" w:eastAsia="宋体" w:cs="Times New Roman"/>
          <w:sz w:val="24"/>
          <w:highlight w:val="yellow"/>
          <w:u w:val="single"/>
        </w:rPr>
        <w:fldChar w:fldCharType="begin"/>
      </w:r>
      <w:r>
        <w:rPr>
          <w:rFonts w:hint="eastAsia" w:ascii="Times New Roman" w:hAnsi="Times New Roman" w:eastAsia="宋体" w:cs="Times New Roman"/>
          <w:sz w:val="24"/>
          <w:highlight w:val="yellow"/>
          <w:u w:val="single"/>
        </w:rPr>
        <w:instrText xml:space="preserve"> MERGEFIELD ${agreement["numberList"][cis_index]} \* MERGEFORMAT </w:instrText>
      </w:r>
      <w:r>
        <w:rPr>
          <w:rFonts w:hint="eastAsia" w:ascii="Times New Roman" w:hAnsi="Times New Roman" w:eastAsia="宋体" w:cs="Times New Roman"/>
          <w:sz w:val="24"/>
          <w:highlight w:val="yellow"/>
          <w:u w:val="single"/>
        </w:rPr>
        <w:fldChar w:fldCharType="separate"/>
      </w:r>
      <w:r>
        <w:rPr>
          <w:rFonts w:hint="eastAsia" w:ascii="Times New Roman" w:hAnsi="Times New Roman" w:eastAsia="宋体" w:cs="Times New Roman"/>
          <w:sz w:val="24"/>
          <w:highlight w:val="yellow"/>
          <w:u w:val="single"/>
        </w:rPr>
        <w:t>«${agreement[»</w:t>
      </w:r>
      <w:r>
        <w:rPr>
          <w:rFonts w:hint="eastAsia" w:ascii="Times New Roman" w:hAnsi="Times New Roman" w:eastAsia="宋体" w:cs="Times New Roman"/>
          <w:sz w:val="24"/>
          <w:highlight w:val="yellow"/>
          <w:u w:val="single"/>
        </w:rPr>
        <w:fldChar w:fldCharType="end"/>
      </w:r>
      <w:r>
        <w:rPr>
          <w:rFonts w:hint="eastAsia" w:ascii="Times New Roman" w:hAnsi="Times New Roman" w:eastAsia="宋体" w:cs="Times New Roman"/>
          <w:sz w:val="24"/>
          <w:u w:val="single"/>
        </w:rPr>
        <w:t>顺位回购权人</w:t>
      </w:r>
      <w:r>
        <w:rPr>
          <w:rFonts w:hint="eastAsia" w:ascii="Times New Roman" w:hAnsi="Times New Roman" w:eastAsia="宋体" w:cs="Times New Roman"/>
          <w:sz w:val="24"/>
          <w:u w:val="none"/>
        </w:rPr>
        <w:t>”）的拟回购股权，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(cis?size==0)]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w:t>
      </w:r>
      <w:r>
        <w:rPr>
          <w:rFonts w:hint="eastAsia" w:ascii="Times New Roman" w:hAnsi="Times New Roman" w:eastAsia="宋体" w:cs="Times New Roman"/>
          <w:sz w:val="24"/>
          <w:u w:val="none"/>
          <w:lang w:eastAsia="zh-CN"/>
        </w:rPr>
        <w:t>回购义务人</w:t>
      </w:r>
      <w:r>
        <w:rPr>
          <w:rFonts w:hint="eastAsia" w:ascii="Times New Roman" w:hAnsi="Times New Roman" w:eastAsia="宋体" w:cs="Times New Roman"/>
          <w:sz w:val="24"/>
          <w:u w:val="none"/>
        </w:rPr>
        <w:t>无法完全回购第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顺位回购权人的拟回购股权，则应按照第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w:t>
      </w:r>
      <w:r>
        <w:rPr>
          <w:rFonts w:hint="eastAsia" w:ascii="Times New Roman" w:hAnsi="Times New Roman" w:eastAsia="宋体" w:cs="Times New Roman"/>
          <w:sz w:val="24"/>
          <w:u w:val="none"/>
          <w:lang w:val="en-US" w:eastAsia="zh-CN"/>
        </w:rPr>
        <w:t>应获得的回购价格之间</w:t>
      </w:r>
      <w:r>
        <w:rPr>
          <w:rFonts w:hint="eastAsia" w:ascii="Times New Roman" w:hAnsi="Times New Roman" w:eastAsia="宋体" w:cs="Times New Roman"/>
          <w:sz w:val="24"/>
          <w:u w:val="none"/>
        </w:rPr>
        <w:t>的相互比例回购第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顺位回购权人的拟回购股权，</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如有未能回购的第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${agreement["numberList"][cis_index]}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顺位回购权人的拟回购股权，则应在公司有资金时立即回购。</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果回购义务人无法在回购期限内履行上述回购义务，则回购权人有权要求回购义务人自回购期限届满之日起按照相当于回购价格的每日【万分之五】比率向该回购权人支付违约金，回购义务人向该回购权人全额支付违约金后，仍需继续履行其回购义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回购义务人未能履行其回购义务，回购权人有权要求公司通过变卖资产、分红的方式筹集资金以履行其回购义务。现有股东应批准，且应努力促使公司和其提名的董事（如有）批准该等资产变卖、分红的方式执行来筹措回购资金，并应签署，且应努力促使公司和其提名的董事（如有）签署确保该等执行所要求的全部法律文件。</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pStyle w:val="4"/>
        <w:spacing w:line="420" w:lineRule="atLeast"/>
        <w:ind w:left="900"/>
        <w:rPr>
          <w:rFonts w:ascii="Times New Roman" w:hAnsi="Times New Roman" w:eastAsia="宋体" w:cs="Times New Roman"/>
          <w:b/>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rPr>
        <w:t>反稀释保护权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lang w:eastAsia="zh-CN"/>
        </w:rPr>
        <w:t>交割日后，若公司发生任何新融资，且新融资中的增资方（简称“新增资方”）认购公司新增发的每一元注册资本的单位认购价格（“新每单位认购价格”）低于【</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${agreement.arObj["ARPeople"]}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«${agreement.arObj[»</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简称“反稀释权人”）以其在公司此前任一轮融资（简称“前轮融资”）中所投入的投资额（简称“原始投资额”）认购该轮增发的每一元注册资本的单位认购价格（简称“原始每单位认购价格”）的，则该反稀释权人有权要求公司按照如下方式调整原始每单位认购价格（简称“调整后每单位认购价格”）：</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agreement.arObj.priceRegulation==""]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rPr>
        <w:t>完全棘轮方式，亦即在按照完全棘轮方式进行调整，调整后每单位认购价格应等于新每单位认购价格。</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广义加权平均方式，亦即在按照广义加权平均方式进行调整，调整后每单位认购价格应等于按如下公式确定的价格：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szCs w:val="24"/>
          <w:lang w:val="en-GB"/>
        </w:rPr>
        <w:t>P2 = P1 * (A + B) / (A + C)</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为上述公式之目的，各字母的含义如下：</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P2</w:t>
      </w:r>
      <w:r>
        <w:rPr>
          <w:rFonts w:hint="eastAsia" w:ascii="Times New Roman" w:hAnsi="Times New Roman" w:eastAsia="宋体" w:cs="Times New Roman"/>
          <w:sz w:val="24"/>
          <w:szCs w:val="24"/>
        </w:rPr>
        <w:t>为调整后每单位认购价格；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P1</w:t>
      </w:r>
      <w:r>
        <w:rPr>
          <w:rFonts w:hint="eastAsia" w:ascii="Times New Roman" w:hAnsi="Times New Roman" w:eastAsia="宋体" w:cs="Times New Roman"/>
          <w:sz w:val="24"/>
          <w:szCs w:val="24"/>
        </w:rPr>
        <w:t>为原始每单位认购价格（若公司以资本公积金为全体股东同比例转增注册资本，则该等价格应按比例稀释递减）；</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rPr>
        <w:t>为公司新融资之前的注册</w:t>
      </w:r>
      <w:r>
        <w:rPr>
          <w:rFonts w:ascii="Times New Roman" w:hAnsi="Times New Roman" w:eastAsia="宋体" w:cs="Times New Roman"/>
          <w:sz w:val="24"/>
          <w:szCs w:val="24"/>
        </w:rPr>
        <w:t>资本总额</w:t>
      </w:r>
      <w:r>
        <w:rPr>
          <w:rFonts w:hint="eastAsia" w:ascii="Times New Roman" w:hAnsi="Times New Roman" w:eastAsia="宋体" w:cs="Times New Roman"/>
          <w:sz w:val="24"/>
          <w:szCs w:val="24"/>
        </w:rPr>
        <w:t>（在完全稀释的基础上）；</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B</w:t>
      </w:r>
      <w:r>
        <w:rPr>
          <w:rFonts w:hint="eastAsia" w:ascii="Times New Roman" w:hAnsi="Times New Roman" w:eastAsia="宋体" w:cs="Times New Roman"/>
          <w:sz w:val="24"/>
          <w:szCs w:val="24"/>
        </w:rPr>
        <w:t>为假设公司新融资采用</w:t>
      </w:r>
      <w:r>
        <w:rPr>
          <w:rFonts w:ascii="Times New Roman" w:hAnsi="Times New Roman" w:eastAsia="宋体" w:cs="Times New Roman"/>
          <w:sz w:val="24"/>
          <w:szCs w:val="24"/>
        </w:rPr>
        <w:t>P1</w:t>
      </w:r>
      <w:r>
        <w:rPr>
          <w:rFonts w:hint="eastAsia" w:ascii="Times New Roman" w:hAnsi="Times New Roman" w:eastAsia="宋体" w:cs="Times New Roman"/>
          <w:sz w:val="24"/>
          <w:szCs w:val="24"/>
        </w:rPr>
        <w:t>作为认购每一元</w:t>
      </w:r>
      <w:r>
        <w:rPr>
          <w:rFonts w:ascii="Times New Roman" w:hAnsi="Times New Roman" w:eastAsia="宋体" w:cs="Times New Roman"/>
          <w:sz w:val="24"/>
          <w:szCs w:val="24"/>
        </w:rPr>
        <w:t>注册资本的</w:t>
      </w:r>
      <w:r>
        <w:rPr>
          <w:rFonts w:hint="eastAsia" w:ascii="Times New Roman" w:hAnsi="Times New Roman" w:eastAsia="宋体" w:cs="Times New Roman"/>
          <w:sz w:val="24"/>
          <w:szCs w:val="24"/>
        </w:rPr>
        <w:t>价格的情况下，所增加或发行的注册资本数额；</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C</w:t>
      </w:r>
      <w:r>
        <w:rPr>
          <w:rFonts w:hint="eastAsia" w:ascii="Times New Roman" w:hAnsi="Times New Roman" w:eastAsia="宋体" w:cs="Times New Roman"/>
          <w:sz w:val="24"/>
          <w:szCs w:val="24"/>
        </w:rPr>
        <w:t>为公司新融资中实际增加或发行的注册资本数额。</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680"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为本第</w:t>
      </w:r>
      <w:r>
        <w:rPr>
          <w:rFonts w:hint="eastAsia" w:ascii="Times New Roman" w:hAnsi="Times New Roman" w:eastAsia="宋体" w:cs="Times New Roman"/>
          <w:sz w:val="24"/>
          <w:szCs w:val="24"/>
          <w:lang w:val="en-US" w:eastAsia="zh-CN"/>
        </w:rPr>
        <w:t>11</w:t>
      </w:r>
      <w:r>
        <w:rPr>
          <w:rFonts w:hint="eastAsia" w:ascii="Times New Roman" w:hAnsi="Times New Roman" w:eastAsia="宋体" w:cs="Times New Roman"/>
          <w:sz w:val="24"/>
          <w:szCs w:val="24"/>
        </w:rPr>
        <w:t>条之目的，“</w:t>
      </w:r>
      <w:r>
        <w:rPr>
          <w:rFonts w:hint="eastAsia" w:ascii="Times New Roman" w:hAnsi="Times New Roman" w:eastAsia="宋体" w:cs="Times New Roman"/>
          <w:b w:val="0"/>
          <w:bCs/>
          <w:sz w:val="24"/>
          <w:szCs w:val="24"/>
          <w:u w:val="single"/>
        </w:rPr>
        <w:t>新融资</w:t>
      </w:r>
      <w:r>
        <w:rPr>
          <w:rFonts w:hint="eastAsia" w:ascii="Times New Roman" w:hAnsi="Times New Roman" w:eastAsia="宋体" w:cs="Times New Roman"/>
          <w:sz w:val="24"/>
          <w:szCs w:val="24"/>
        </w:rPr>
        <w:t>”，是指公司增加注册资本、</w:t>
      </w:r>
      <w:r>
        <w:rPr>
          <w:rFonts w:ascii="Times New Roman" w:hAnsi="Times New Roman" w:eastAsia="宋体" w:cs="Times New Roman"/>
          <w:sz w:val="24"/>
          <w:szCs w:val="24"/>
        </w:rPr>
        <w:t>发行可转换债券</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股</w:t>
      </w:r>
      <w:r>
        <w:rPr>
          <w:rFonts w:hint="eastAsia" w:ascii="Times New Roman" w:hAnsi="Times New Roman" w:eastAsia="宋体" w:cs="Times New Roman"/>
          <w:sz w:val="24"/>
          <w:szCs w:val="24"/>
        </w:rPr>
        <w:t>份的情形，但根据董事会批准（包括投资方董事的同意）的员工股权/期权激励、全体股东均适用的股份拆分或者公司首次公开发行而进行的增资除外。</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反稀释权人有权要求公司按照调整后每单位认购价格重新确定其在前轮融资中所应获得的公司注册资本金额（“</w:t>
      </w:r>
      <w:r>
        <w:rPr>
          <w:rFonts w:hint="eastAsia" w:ascii="Times New Roman" w:hAnsi="Times New Roman" w:eastAsia="宋体" w:cs="Times New Roman"/>
          <w:sz w:val="24"/>
          <w:u w:val="single"/>
          <w:lang w:val="en-US" w:eastAsia="zh-CN"/>
        </w:rPr>
        <w:t>调整后注册资本额</w:t>
      </w:r>
      <w:r>
        <w:rPr>
          <w:rFonts w:hint="eastAsia" w:ascii="Times New Roman" w:hAnsi="Times New Roman" w:eastAsia="宋体" w:cs="Times New Roman"/>
          <w:sz w:val="24"/>
          <w:u w:val="none"/>
          <w:lang w:val="en-US" w:eastAsia="zh-CN"/>
        </w:rPr>
        <w:t>”），即，调整后注册资本额=原始投资额</w:t>
      </w:r>
      <w:r>
        <w:rPr>
          <w:rFonts w:hint="eastAsia" w:ascii="Times New Roman" w:hAnsi="Times New Roman" w:eastAsia="宋体" w:cs="Times New Roman"/>
          <w:sz w:val="24"/>
          <w:u w:val="none"/>
          <w:lang w:val="en-US" w:eastAsia="zh-CN"/>
        </w:rPr>
        <w:sym w:font="Symbol" w:char="F0B8"/>
      </w:r>
      <w:r>
        <w:rPr>
          <w:rFonts w:hint="eastAsia" w:ascii="Times New Roman" w:hAnsi="Times New Roman" w:eastAsia="宋体" w:cs="Times New Roman"/>
          <w:sz w:val="24"/>
          <w:u w:val="none"/>
          <w:lang w:val="en-US" w:eastAsia="zh-CN"/>
        </w:rPr>
        <w:t>调整后每单位认购价格。公司应以无偿或象征性价格向反稀释权人增发股权，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agreement.jvObj.lawyerRepresentativeOption=="1"]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val="en-US" w:eastAsia="zh-CN"/>
        </w:rPr>
        <w:t>或由创始人以无偿或象征性价格向反稀释权人转让股权，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val="en-US" w:eastAsia="zh-CN"/>
        </w:rPr>
        <w:t>以使该反稀释权人在前轮融资中所应获得的公司注册资本金额达到调整后注册资本额。为避免疑义，如因上述反稀释调整而导致反稀释权人实际向公司支付了任何价款或承担任何税费，则公司【及创始人】应当对反稀释权人进行相应补偿。</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在上述反稀释调整完成前，公司不得实施该次新增注册资本或增发新的与股权相关的任何证券（包括但不限于可转债）。</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agreement.dragAlongRightObj.option=="1"]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snapToGrid w:val="0"/>
        <w:spacing w:before="156" w:after="10" w:line="420" w:lineRule="atLeast"/>
        <w:ind w:left="709"/>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rPr>
      </w:pPr>
      <w:r>
        <w:rPr>
          <w:rFonts w:hint="eastAsia" w:ascii="Times New Roman" w:hAnsi="Times New Roman" w:eastAsia="宋体" w:cs="Times New Roman"/>
          <w:b/>
          <w:sz w:val="24"/>
          <w:szCs w:val="22"/>
          <w:lang w:eastAsia="zh-CN"/>
        </w:rPr>
        <w:t>领</w:t>
      </w:r>
      <w:r>
        <w:rPr>
          <w:rFonts w:hint="eastAsia" w:ascii="Times New Roman" w:hAnsi="Times New Roman" w:eastAsia="宋体" w:cs="Times New Roman"/>
          <w:b/>
          <w:sz w:val="24"/>
          <w:szCs w:val="22"/>
        </w:rPr>
        <w:t>售权</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szCs w:val="23"/>
        </w:rPr>
        <w:t>在【投资方】 持有公司股权期间，</w:t>
      </w:r>
      <w:r>
        <w:rPr>
          <w:rFonts w:hint="eastAsia" w:ascii="Times New Roman" w:hAnsi="Times New Roman" w:eastAsia="宋体" w:cs="Times New Roman"/>
          <w:sz w:val="24"/>
          <w:szCs w:val="23"/>
          <w:highlight w:val="yellow"/>
        </w:rPr>
        <w:t>【如公司于交割日（</w:t>
      </w:r>
      <w:r>
        <w:rPr>
          <w:rFonts w:ascii="Times New Roman" w:hAnsi="Times New Roman" w:eastAsia="宋体" w:cs="Times New Roman"/>
          <w:sz w:val="24"/>
          <w:szCs w:val="23"/>
          <w:highlight w:val="yellow"/>
        </w:rPr>
        <w:t>定义见增资协议）</w:t>
      </w:r>
      <w:r>
        <w:rPr>
          <w:rFonts w:hint="eastAsia" w:ascii="Times New Roman" w:hAnsi="Times New Roman" w:eastAsia="宋体" w:cs="Times New Roman"/>
          <w:sz w:val="24"/>
          <w:szCs w:val="23"/>
          <w:highlight w:val="yellow"/>
        </w:rPr>
        <w:t>后【】年内未实现首次公开发行的】，</w:t>
      </w:r>
      <w:r>
        <w:rPr>
          <w:rFonts w:hint="eastAsia" w:ascii="Times New Roman" w:hAnsi="Times New Roman" w:eastAsia="宋体" w:cs="Times New Roman"/>
          <w:sz w:val="24"/>
        </w:rPr>
        <w:t>若有第三方</w:t>
      </w:r>
      <w:r>
        <w:rPr>
          <w:rFonts w:ascii="Times New Roman" w:hAnsi="Times New Roman" w:eastAsia="宋体" w:cs="Times New Roman"/>
          <w:sz w:val="24"/>
        </w:rPr>
        <w:t>拟通过合并</w:t>
      </w:r>
      <w:r>
        <w:rPr>
          <w:rFonts w:hint="eastAsia" w:ascii="Times New Roman" w:hAnsi="Times New Roman" w:eastAsia="宋体" w:cs="Times New Roman"/>
          <w:sz w:val="24"/>
        </w:rPr>
        <w:t>、</w:t>
      </w:r>
      <w:r>
        <w:rPr>
          <w:rFonts w:ascii="Times New Roman" w:hAnsi="Times New Roman" w:eastAsia="宋体" w:cs="Times New Roman"/>
          <w:sz w:val="24"/>
        </w:rPr>
        <w:t>股权收购或类似交易使得公司</w:t>
      </w:r>
      <w:r>
        <w:rPr>
          <w:rFonts w:hint="eastAsia" w:ascii="Times New Roman" w:hAnsi="Times New Roman" w:eastAsia="宋体" w:cs="Times New Roman"/>
          <w:sz w:val="24"/>
        </w:rPr>
        <w:t>50%的投票权或者全部或者绝大部分资产转移至该第三方（统称为</w:t>
      </w:r>
      <w:r>
        <w:rPr>
          <w:rFonts w:ascii="Times New Roman" w:hAnsi="Times New Roman" w:eastAsia="宋体" w:cs="Times New Roman"/>
          <w:sz w:val="24"/>
        </w:rPr>
        <w:t>“</w:t>
      </w:r>
      <w:r>
        <w:rPr>
          <w:rFonts w:hint="eastAsia" w:ascii="Times New Roman" w:hAnsi="Times New Roman" w:eastAsia="宋体" w:cs="Times New Roman"/>
          <w:sz w:val="24"/>
          <w:u w:val="single"/>
        </w:rPr>
        <w:t>整体出售</w:t>
      </w:r>
      <w:r>
        <w:rPr>
          <w:rFonts w:ascii="Times New Roman" w:hAnsi="Times New Roman" w:eastAsia="宋体" w:cs="Times New Roman"/>
          <w:sz w:val="24"/>
        </w:rPr>
        <w:t>”</w:t>
      </w:r>
      <w:r>
        <w:rPr>
          <w:rFonts w:hint="eastAsia" w:ascii="Times New Roman" w:hAnsi="Times New Roman" w:eastAsia="宋体" w:cs="Times New Roman"/>
          <w:sz w:val="24"/>
        </w:rPr>
        <w:t>）</w:t>
      </w:r>
      <w:r>
        <w:rPr>
          <w:rFonts w:hint="eastAsia" w:ascii="Times New Roman" w:hAnsi="Times New Roman" w:eastAsia="宋体" w:cs="Times New Roman"/>
          <w:sz w:val="24"/>
          <w:szCs w:val="23"/>
          <w:highlight w:val="yellow"/>
        </w:rPr>
        <w:t>【且该等整体出售对公司的估值不低于人民币【】元时】</w:t>
      </w:r>
      <w:r>
        <w:rPr>
          <w:rFonts w:hint="eastAsia" w:ascii="Times New Roman" w:hAnsi="Times New Roman" w:eastAsia="宋体" w:cs="Times New Roman"/>
          <w:sz w:val="24"/>
        </w:rPr>
        <w:t>，</w:t>
      </w:r>
      <w:r>
        <w:rPr>
          <w:rFonts w:hint="eastAsia" w:cs="Times New Roman"/>
          <w:sz w:val="24"/>
          <w:lang w:eastAsia="zh-CN"/>
        </w:rPr>
        <w:t>【</w:t>
      </w:r>
      <w:r>
        <w:rPr>
          <w:rFonts w:hint="eastAsia" w:ascii="Times New Roman" w:hAnsi="Times New Roman" w:eastAsia="宋体" w:cs="Times New Roman"/>
          <w:sz w:val="24"/>
        </w:rPr>
        <w:t>而</w:t>
      </w:r>
      <w:r>
        <w:rPr>
          <w:rFonts w:ascii="Times New Roman" w:hAnsi="Times New Roman" w:eastAsia="宋体" w:cs="Times New Roman"/>
          <w:sz w:val="24"/>
        </w:rPr>
        <w:t>公司董事会</w:t>
      </w:r>
      <w:r>
        <w:rPr>
          <w:rFonts w:hint="eastAsia" w:ascii="Times New Roman" w:hAnsi="Times New Roman" w:eastAsia="宋体" w:cs="Times New Roman"/>
          <w:sz w:val="24"/>
        </w:rPr>
        <w:t>大多数成员（必须包括【投资方】董事）</w:t>
      </w:r>
      <w:r>
        <w:rPr>
          <w:rFonts w:ascii="Times New Roman" w:hAnsi="Times New Roman" w:eastAsia="宋体" w:cs="Times New Roman"/>
          <w:sz w:val="24"/>
        </w:rPr>
        <w:t>以及</w:t>
      </w:r>
      <w:r>
        <w:rPr>
          <w:rFonts w:hint="eastAsia" w:ascii="Times New Roman" w:hAnsi="Times New Roman" w:eastAsia="宋体" w:cs="Times New Roman"/>
          <w:sz w:val="24"/>
        </w:rPr>
        <w:t>任何在届时</w:t>
      </w:r>
      <w:r>
        <w:rPr>
          <w:rFonts w:hint="eastAsia" w:ascii="Times New Roman" w:hAnsi="Times New Roman" w:eastAsia="宋体" w:cs="Times New Roman"/>
          <w:sz w:val="24"/>
          <w:lang w:eastAsia="zh-CN"/>
        </w:rPr>
        <w:t>【投资方】</w:t>
      </w:r>
      <w:r>
        <w:rPr>
          <w:rFonts w:hint="eastAsia" w:ascii="Times New Roman" w:hAnsi="Times New Roman" w:eastAsia="宋体" w:cs="Times New Roman"/>
          <w:sz w:val="24"/>
        </w:rPr>
        <w:t>持有的公司股权中超过【</w:t>
      </w:r>
      <w:r>
        <w:rPr>
          <w:rFonts w:ascii="Times New Roman" w:hAnsi="Times New Roman" w:eastAsia="宋体" w:cs="Times New Roman"/>
          <w:sz w:val="24"/>
        </w:rPr>
        <w:t>50</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以上的</w:t>
      </w:r>
      <w:r>
        <w:rPr>
          <w:rFonts w:hint="eastAsia" w:ascii="Times New Roman" w:hAnsi="Times New Roman" w:eastAsia="宋体" w:cs="Times New Roman"/>
          <w:sz w:val="24"/>
          <w:lang w:eastAsia="zh-CN"/>
        </w:rPr>
        <w:t>【投资方】</w:t>
      </w:r>
      <w:r>
        <w:rPr>
          <w:rFonts w:hint="eastAsia" w:ascii="Times New Roman" w:hAnsi="Times New Roman" w:eastAsia="宋体" w:cs="Times New Roman"/>
          <w:sz w:val="24"/>
        </w:rPr>
        <w:t>同意前述交易</w:t>
      </w:r>
      <w:r>
        <w:rPr>
          <w:rFonts w:hint="eastAsia" w:cs="Times New Roman"/>
          <w:sz w:val="24"/>
          <w:lang w:eastAsia="zh-CN"/>
        </w:rPr>
        <w:t>】</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且</w:t>
      </w:r>
      <w:r>
        <w:rPr>
          <w:rFonts w:ascii="Times New Roman" w:hAnsi="Times New Roman" w:eastAsia="宋体" w:cs="Times New Roman"/>
          <w:sz w:val="24"/>
        </w:rPr>
        <w:t>任何在</w:t>
      </w:r>
      <w:r>
        <w:rPr>
          <w:rFonts w:hint="eastAsia" w:ascii="Times New Roman" w:hAnsi="Times New Roman" w:eastAsia="宋体" w:cs="Times New Roman"/>
          <w:sz w:val="24"/>
        </w:rPr>
        <w:t>届时</w:t>
      </w:r>
      <w:r>
        <w:rPr>
          <w:rFonts w:ascii="Times New Roman" w:hAnsi="Times New Roman" w:eastAsia="宋体" w:cs="Times New Roman"/>
          <w:sz w:val="24"/>
        </w:rPr>
        <w:t>【</w:t>
      </w:r>
      <w:r>
        <w:rPr>
          <w:rFonts w:hint="eastAsia" w:ascii="Times New Roman" w:hAnsi="Times New Roman" w:eastAsia="宋体" w:cs="Times New Roman"/>
          <w:sz w:val="24"/>
        </w:rPr>
        <w:t>创始人</w:t>
      </w:r>
      <w:r>
        <w:rPr>
          <w:rFonts w:ascii="Times New Roman" w:hAnsi="Times New Roman" w:eastAsia="宋体" w:cs="Times New Roman"/>
          <w:sz w:val="24"/>
        </w:rPr>
        <w:t>】</w:t>
      </w:r>
      <w:r>
        <w:rPr>
          <w:rFonts w:hint="eastAsia" w:ascii="Times New Roman" w:hAnsi="Times New Roman" w:eastAsia="宋体" w:cs="Times New Roman"/>
          <w:sz w:val="24"/>
        </w:rPr>
        <w:t>持有的</w:t>
      </w:r>
      <w:r>
        <w:rPr>
          <w:rFonts w:ascii="Times New Roman" w:hAnsi="Times New Roman" w:eastAsia="宋体" w:cs="Times New Roman"/>
          <w:sz w:val="24"/>
        </w:rPr>
        <w:t>公司股权中超过</w:t>
      </w:r>
      <w:r>
        <w:rPr>
          <w:rFonts w:hint="eastAsia" w:ascii="Times New Roman" w:hAnsi="Times New Roman" w:eastAsia="宋体" w:cs="Times New Roman"/>
          <w:sz w:val="24"/>
        </w:rPr>
        <w:t>【50】%</w:t>
      </w:r>
      <w:r>
        <w:rPr>
          <w:rFonts w:ascii="Times New Roman" w:hAnsi="Times New Roman" w:eastAsia="宋体" w:cs="Times New Roman"/>
          <w:sz w:val="24"/>
        </w:rPr>
        <w:t>以上的创始人</w:t>
      </w:r>
      <w:r>
        <w:rPr>
          <w:rFonts w:hint="eastAsia" w:ascii="Times New Roman" w:hAnsi="Times New Roman" w:eastAsia="宋体" w:cs="Times New Roman"/>
          <w:sz w:val="24"/>
        </w:rPr>
        <w:t>同意前述交易】（“</w:t>
      </w:r>
      <w:r>
        <w:rPr>
          <w:rFonts w:hint="eastAsia" w:ascii="Times New Roman" w:hAnsi="Times New Roman" w:eastAsia="宋体" w:cs="Times New Roman"/>
          <w:sz w:val="24"/>
          <w:u w:val="single"/>
        </w:rPr>
        <w:t>合格并购</w:t>
      </w:r>
      <w:r>
        <w:rPr>
          <w:rFonts w:hint="eastAsia" w:ascii="Times New Roman" w:hAnsi="Times New Roman" w:eastAsia="宋体" w:cs="Times New Roman"/>
          <w:sz w:val="24"/>
        </w:rPr>
        <w:t>”），</w:t>
      </w:r>
      <w:r>
        <w:rPr>
          <w:rFonts w:ascii="Times New Roman" w:hAnsi="Times New Roman" w:eastAsia="宋体" w:cs="Times New Roman"/>
          <w:sz w:val="24"/>
        </w:rPr>
        <w:t>则</w:t>
      </w:r>
      <w:r>
        <w:rPr>
          <w:rFonts w:hint="eastAsia" w:ascii="Times New Roman" w:hAnsi="Times New Roman" w:eastAsia="宋体" w:cs="Times New Roman"/>
          <w:sz w:val="24"/>
        </w:rPr>
        <w:t>公司其他所有股东</w:t>
      </w:r>
      <w:r>
        <w:rPr>
          <w:rFonts w:ascii="Times New Roman" w:hAnsi="Times New Roman" w:eastAsia="宋体" w:cs="Times New Roman"/>
          <w:sz w:val="24"/>
        </w:rPr>
        <w:t>届时应该同意并参与该项交易</w:t>
      </w:r>
      <w:r>
        <w:rPr>
          <w:rFonts w:hint="eastAsia" w:ascii="Times New Roman" w:hAnsi="Times New Roman" w:eastAsia="宋体" w:cs="Times New Roman"/>
          <w:sz w:val="24"/>
        </w:rPr>
        <w:t>，并促使其提名的董事通过或相关股东会通过</w:t>
      </w:r>
      <w:r>
        <w:rPr>
          <w:rFonts w:ascii="Times New Roman" w:hAnsi="Times New Roman" w:eastAsia="宋体" w:cs="Times New Roman"/>
          <w:sz w:val="24"/>
        </w:rPr>
        <w:t>与该项交易</w:t>
      </w:r>
      <w:r>
        <w:rPr>
          <w:rFonts w:hint="eastAsia" w:ascii="Times New Roman" w:hAnsi="Times New Roman" w:eastAsia="宋体" w:cs="Times New Roman"/>
          <w:sz w:val="24"/>
        </w:rPr>
        <w:t>相关的决议，并对该项</w:t>
      </w:r>
      <w:r>
        <w:rPr>
          <w:rFonts w:ascii="Times New Roman" w:hAnsi="Times New Roman" w:eastAsia="宋体" w:cs="Times New Roman"/>
          <w:sz w:val="24"/>
        </w:rPr>
        <w:t>交易</w:t>
      </w:r>
      <w:r>
        <w:rPr>
          <w:rFonts w:hint="eastAsia" w:ascii="Times New Roman" w:hAnsi="Times New Roman" w:eastAsia="宋体" w:cs="Times New Roman"/>
          <w:sz w:val="24"/>
        </w:rPr>
        <w:t>予以配</w:t>
      </w:r>
      <w:r>
        <w:rPr>
          <w:rFonts w:ascii="Times New Roman" w:hAnsi="Times New Roman" w:eastAsia="宋体" w:cs="Times New Roman"/>
          <w:sz w:val="24"/>
        </w:rPr>
        <w:t>合（包括签署相关协议文件）。如任何股东或其提名的董事不同意</w:t>
      </w:r>
      <w:r>
        <w:rPr>
          <w:rFonts w:hint="eastAsia" w:ascii="Times New Roman" w:hAnsi="Times New Roman" w:eastAsia="宋体" w:cs="Times New Roman"/>
          <w:sz w:val="24"/>
        </w:rPr>
        <w:t>整体出售，则其应按照第三方提出的价格收购拖售权人的全部股权，不收购的视为同意。不同意上述安排的创始人，应有义务按第三方提出的收购价格购买拖售权人持有的公司全部股权。</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snapToGrid w:val="0"/>
        <w:spacing w:before="156" w:after="10" w:line="420" w:lineRule="atLeast"/>
        <w:ind w:firstLine="480" w:firstLineChars="200"/>
        <w:rPr>
          <w:rFonts w:hint="eastAsia"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需经批准的事项</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以下事项须经</w:t>
      </w:r>
      <w:r>
        <w:rPr>
          <w:rFonts w:hint="eastAsia" w:ascii="Times New Roman" w:hAnsi="Times New Roman" w:eastAsia="宋体" w:cs="Times New Roman"/>
          <w:sz w:val="24"/>
          <w:lang w:eastAsia="zh-CN"/>
        </w:rPr>
        <w:t>【本轮投资人】或【本轮投资人】委派的董事</w:t>
      </w:r>
      <w:r>
        <w:rPr>
          <w:rFonts w:hint="eastAsia" w:ascii="Times New Roman" w:hAnsi="Times New Roman" w:eastAsia="宋体" w:cs="Times New Roman"/>
          <w:sz w:val="24"/>
        </w:rPr>
        <w:t>事先书面同意，否则</w:t>
      </w:r>
      <w:r>
        <w:rPr>
          <w:rFonts w:ascii="Times New Roman" w:hAnsi="Times New Roman" w:eastAsia="宋体" w:cs="Times New Roman"/>
          <w:sz w:val="24"/>
        </w:rPr>
        <w:t>，公司和</w:t>
      </w:r>
      <w:r>
        <w:rPr>
          <w:rFonts w:hint="eastAsia" w:ascii="Times New Roman" w:hAnsi="Times New Roman" w:eastAsia="宋体" w:cs="Times New Roman"/>
          <w:sz w:val="24"/>
        </w:rPr>
        <w:t>/或</w:t>
      </w:r>
      <w:r>
        <w:rPr>
          <w:rFonts w:ascii="Times New Roman" w:hAnsi="Times New Roman" w:eastAsia="宋体" w:cs="Times New Roman"/>
          <w:sz w:val="24"/>
        </w:rPr>
        <w:t>创始</w:t>
      </w:r>
      <w:r>
        <w:rPr>
          <w:rFonts w:hint="eastAsia" w:ascii="Times New Roman" w:hAnsi="Times New Roman" w:eastAsia="宋体" w:cs="Times New Roman"/>
          <w:sz w:val="24"/>
        </w:rPr>
        <w:t>人</w:t>
      </w:r>
      <w:r>
        <w:rPr>
          <w:rFonts w:ascii="Times New Roman" w:hAnsi="Times New Roman" w:eastAsia="宋体" w:cs="Times New Roman"/>
          <w:sz w:val="24"/>
        </w:rPr>
        <w:t>不得</w:t>
      </w:r>
      <w:r>
        <w:rPr>
          <w:rFonts w:hint="eastAsia" w:ascii="Times New Roman" w:hAnsi="Times New Roman" w:eastAsia="宋体" w:cs="Times New Roman"/>
          <w:sz w:val="24"/>
        </w:rPr>
        <w:t>进行</w:t>
      </w:r>
      <w:r>
        <w:rPr>
          <w:rFonts w:ascii="Times New Roman" w:hAnsi="Times New Roman" w:eastAsia="宋体" w:cs="Times New Roman"/>
          <w:sz w:val="24"/>
        </w:rPr>
        <w:t>以下事项</w:t>
      </w:r>
      <w:r>
        <w:rPr>
          <w:rFonts w:hint="eastAsia" w:ascii="Times New Roman" w:hAnsi="Times New Roman" w:eastAsia="宋体" w:cs="Times New Roman"/>
          <w:sz w:val="24"/>
        </w:rPr>
        <w:t>。</w:t>
      </w:r>
      <w:r>
        <w:rPr>
          <w:rFonts w:ascii="Times New Roman" w:hAnsi="Times New Roman" w:eastAsia="宋体" w:cs="Times New Roman"/>
          <w:sz w:val="24"/>
        </w:rPr>
        <w:t>为避免异议，</w:t>
      </w:r>
      <w:r>
        <w:rPr>
          <w:rFonts w:hint="eastAsia" w:ascii="Times New Roman" w:hAnsi="Times New Roman" w:eastAsia="宋体" w:cs="Times New Roman"/>
          <w:sz w:val="24"/>
        </w:rPr>
        <w:t>为本条之目的，“公司”包括公司及其子公司、分公司、办事处等所有下属机构（如有）：</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公司的合并、分立、清算、解散或以各种形式终止经营业务；公司对外投资设立子公司、出售子公司或出售兼并其他企业；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修改公司章程，增加或减少公司注册资本，变更公司组织形式或主营业务；或从事主营业务不同的新业务；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删减、变更【投资方】的优先权利；</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变更公司董事会的构成及人数；</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公司进行任何形式的后续融资（无论股权融资或债权融资），包括该等融资的任何条款或条件以及投资人的选定；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公司回购或回赎公司股东持有的任何股权；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宣布、支付或以其他形式分配股利；</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制定、批准或实施任何股权/期权激励计划；</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任何清算优先权的设置或行使；</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决定公司付给创始人的薪酬；对关键管理人员进行任命、免职或设定任命条件；</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聘请或更换进行年度审计的会计师事务所；修改公司之前采用的会计政策或改变公司的财务年度；指定或变更公司的审计师；</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设定或修改任何利润分配、员工期权、股份激励计划的条款；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公司在任何财务年度中，寻求任何投资的项目单笔交易金额超过【50】万人民币（或等值的其他币种），或在该财务年度中的一系列相关交易的金额合计超过【100】万人民币（或等值的其他币种）；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除在正常业务中从银行或其他金融机构取得贸易贷款外，进行任何单笔或累计超过【50】万人民币（或等值的其他币种）的借贷或其他任何金融贷款工具；</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创设或许可发行任何在公司的全部或部分业务、资产或权利上设定抵押、留置权或质押（不论是以固定或浮动抵押、质押或其他任何形式）的债券；</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对公司的任何重大的商标、专利或其他知识产权进行出售、转让、许可使用、质押、设定任何权利负担或者另行处分；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做出任何通过终止公司主营业务，或承诺任何集团公司的合并、重组或清算，或适用于接管人、管理人、法务管理人或类似人员指定的决议；</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批准、调整或修改任何涉及公司的董事或股东权益的交易条款，包括但不限于直接或间接为公司的任何董事或股东提供贷款或预借款，或为其债务提供任何担保、补偿或保证；</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对任何其他实体进行单笔或累计超过【50】万人民币（或等值的其他币种）的股权投资，或者建立其它品牌；</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处分或稀释公司在其它任何公司中的直接或间接股权；</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批准公司的年度预算；</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在任何十二个月内，公司任何五位薪酬最高的员工的薪酬涨幅超过百分之一百；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与公司股东、董事、高级管理人员或其关联方之间进行任何关联交易；</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为任何第三方提供担保；</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创始人累计间接转让或处置超过本次投资完成前公司【5】%的股权（根据公司拆分、合并、转让、增加注册资本等情形相应调整）；</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公司首次公开发行或其他上市行为（包括为上述发行活动选择承销商）；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其它经创始人及多数【投资方】共同认可的任何重大事项。</w:t>
      </w:r>
    </w:p>
    <w:p>
      <w:pPr>
        <w:tabs>
          <w:tab w:val="left" w:pos="2520"/>
        </w:tabs>
        <w:spacing w:before="156" w:after="120" w:afterLines="50" w:line="420" w:lineRule="atLeast"/>
        <w:rPr>
          <w:rFonts w:ascii="Times New Roman" w:hAnsi="Times New Roman" w:eastAsia="宋体" w:cs="Times New Roman"/>
          <w:kern w:val="0"/>
          <w:sz w:val="24"/>
          <w:szCs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股权/期权激励</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次投资完成后，创始人应当促使公司尽快制定具体的员工股权/期权激励计划。为此，【创始人【】】/【员工持股平台】确认并承诺其持有的本次投资交割后共计【】%的公司股权（对应公司注册资本【】元人民币）（“</w:t>
      </w:r>
      <w:r>
        <w:rPr>
          <w:rFonts w:hint="eastAsia" w:ascii="Times New Roman" w:hAnsi="Times New Roman" w:eastAsia="宋体" w:cs="Times New Roman"/>
          <w:sz w:val="24"/>
          <w:u w:val="single"/>
          <w:lang w:val="en-US" w:eastAsia="zh-CN"/>
        </w:rPr>
        <w:t>激励股权</w:t>
      </w:r>
      <w:r>
        <w:rPr>
          <w:rFonts w:hint="eastAsia" w:ascii="Times New Roman" w:hAnsi="Times New Roman" w:eastAsia="宋体" w:cs="Times New Roman"/>
          <w:sz w:val="24"/>
          <w:u w:val="none"/>
          <w:lang w:val="en-US" w:eastAsia="zh-CN"/>
        </w:rPr>
        <w:t>”）将全部用于实施公司董事会批准的员工股权/期权激励计划。创始人【】进一步承诺，未经多数【】事先书面同意，其不得将激励股权用于除激励员工之外的其他目的，亦不得以转让或其他任何方式直接或间接地处置或在该等激励股权之上设置质押等任何权利负担。</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员工股权/期权激励计划应以符合届时相关法律、法规的方式发行，公司董事会可制定具体的员工股权/期权激励计划对转让时间、价格、条件、形式等进行约定，并应获得投资方董事的事先书面同意。除非经多数投资方书面同意，每一参与员工期权/期权激励计划员工的期权应在不低于【4】年的时间内逐步实现。为避免疑问，激励股权在未实际发放给公司员工并被该员工行权后持有的情况下，其对应的表决权应当全部由【】行使。尽管有前述约定，公司及创始人应当采取一切必要措施促使通过员工股权/期权激励计划获得任何公司股权权益的员工遵守本章程第6.4条至第6.7条项下有关股权转让的约定。[</w:t>
      </w:r>
      <w:r>
        <w:rPr>
          <w:rFonts w:hint="eastAsia" w:ascii="Times New Roman" w:hAnsi="Times New Roman" w:eastAsia="宋体" w:cs="Times New Roman"/>
          <w:b/>
          <w:bCs/>
          <w:i/>
          <w:iCs/>
          <w:sz w:val="24"/>
          <w:highlight w:val="yellow"/>
          <w:u w:val="none"/>
          <w:lang w:val="en-US" w:eastAsia="zh-CN"/>
        </w:rPr>
        <w:t>SH Note:请公司确认关于激励股权的安排</w:t>
      </w:r>
      <w:r>
        <w:rPr>
          <w:rFonts w:hint="eastAsia" w:ascii="Times New Roman" w:hAnsi="Times New Roman" w:eastAsia="宋体" w:cs="Times New Roman"/>
          <w:sz w:val="24"/>
          <w:u w:val="none"/>
          <w:lang w:val="en-US" w:eastAsia="zh-CN"/>
        </w:rPr>
        <w:t>]</w:t>
      </w:r>
    </w:p>
    <w:p>
      <w:pPr>
        <w:snapToGrid w:val="0"/>
        <w:spacing w:before="156" w:after="10" w:line="420" w:lineRule="atLeast"/>
        <w:ind w:left="567"/>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利润分配</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在按照法律法规的相关规定弥补亏损和提取公积金后所余税后利润，如公司董事会同意（其中需包括投资方董事的同意）进行分配的，应当在全体股东之间按持股比例予以分配。尽管有前述约定，在投资方全额获得其应当被分配的股息或红利之前，公司其他股东不得以现金、财产、公司股权或其他形式获得分红。</w:t>
      </w:r>
    </w:p>
    <w:p>
      <w:pPr>
        <w:tabs>
          <w:tab w:val="left" w:pos="1570"/>
          <w:tab w:val="left" w:pos="2040"/>
        </w:tabs>
        <w:spacing w:before="156" w:after="120" w:afterLines="50" w:line="420" w:lineRule="atLeast"/>
        <w:ind w:left="566"/>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创始人责任</w:t>
      </w:r>
      <w:bookmarkEnd w:id="22"/>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single"/>
          <w:lang w:val="en-US" w:eastAsia="zh-CN"/>
        </w:rPr>
        <w:t>创始人的责任</w:t>
      </w:r>
      <w:r>
        <w:rPr>
          <w:rFonts w:hint="eastAsia" w:ascii="Times New Roman" w:hAnsi="Times New Roman" w:eastAsia="宋体" w:cs="Times New Roman"/>
          <w:sz w:val="24"/>
          <w:u w:val="single"/>
          <w:lang w:val="en-US" w:eastAsia="zh-CN"/>
        </w:rPr>
        <w:br w:type="textWrapping"/>
      </w:r>
      <w:r>
        <w:rPr>
          <w:rFonts w:hint="eastAsia" w:ascii="Times New Roman" w:hAnsi="Times New Roman" w:eastAsia="宋体" w:cs="Times New Roman"/>
          <w:sz w:val="24"/>
          <w:u w:val="none"/>
          <w:lang w:val="en-US" w:eastAsia="zh-CN"/>
        </w:rPr>
        <w:t>在合资期限内，创始人应负责以下事项：</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在任何时候，诚信地处理并促使其董事诚信地处理与公司经营、本章程以及根据本章程订立的任何其他合同或协议有关的所有事项；</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协助公司购买各项设备、原材料，招聘人员，开展技术研发，搭建采购、营销网络，使公司在成立之后的最短时间内能够开展经营活动；</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协助公司申请任何开展生产经营活动所需要的批准、许可或备案；协助公司在法律及国家政策允许范围内取得外商投资企业可以享受的各项税收减免优惠待遇；</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在职权范围内，处理本章程中规定，以及公司可能不时委托之其他合法合理事宜；</w:t>
      </w:r>
    </w:p>
    <w:p>
      <w:pPr>
        <w:keepNext w:val="0"/>
        <w:keepLines w:val="0"/>
        <w:pageBreakBefore w:val="0"/>
        <w:widowControl w:val="0"/>
        <w:numPr>
          <w:ilvl w:val="2"/>
          <w:numId w:val="1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根据公司的需要和标准，协助公司招聘各类合格的员工。</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r>
        <w:rPr>
          <w:rFonts w:hint="eastAsia" w:ascii="Times New Roman" w:hAnsi="Times New Roman" w:eastAsia="宋体" w:cs="Times New Roman"/>
          <w:b/>
          <w:sz w:val="24"/>
          <w:szCs w:val="22"/>
          <w:lang w:eastAsia="zh-CN"/>
        </w:rPr>
        <w:t>董事会、监事</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董事会组成</w:t>
      </w:r>
    </w:p>
    <w:p>
      <w:pPr>
        <w:keepNext w:val="0"/>
        <w:keepLines w:val="0"/>
        <w:pageBreakBefore w:val="0"/>
        <w:widowControl w:val="0"/>
        <w:kinsoku/>
        <w:wordWrap/>
        <w:overflowPunct/>
        <w:topLinePunct w:val="0"/>
        <w:autoSpaceDE/>
        <w:autoSpaceDN/>
        <w:bidi w:val="0"/>
        <w:adjustRightInd/>
        <w:snapToGrid/>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董事会应由【</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${agreement["newDirectorateObj"].directorsNum}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】人组成，其中，创始人</w:t>
      </w:r>
      <w:r>
        <w:rPr>
          <w:rFonts w:ascii="Times New Roman" w:hAnsi="Times New Roman" w:eastAsia="宋体" w:cs="Times New Roman"/>
          <w:sz w:val="24"/>
        </w:rPr>
        <w:t>有权委派</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${agreement["newDirectorateObj"].founderDirectorNum}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rPr>
        <w:t>名董事</w:t>
      </w:r>
      <w:r>
        <w:rPr>
          <w:rFonts w:hint="eastAsia" w:ascii="Times New Roman" w:hAnsi="Times New Roman" w:eastAsia="宋体" w:cs="Times New Roman"/>
          <w:sz w:val="24"/>
        </w:rPr>
        <w:t>（其中</w:t>
      </w:r>
      <w:r>
        <w:rPr>
          <w:rFonts w:ascii="Times New Roman" w:hAnsi="Times New Roman" w:eastAsia="宋体" w:cs="Times New Roman"/>
          <w:sz w:val="24"/>
        </w:rPr>
        <w:t>应包括一名董事长）</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agreement.newDirectorateObj.investorDirectorsList?size gt 0]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u w:val="single"/>
        </w:rPr>
        <w:t>投资人董事</w:t>
      </w:r>
      <w:r>
        <w:rPr>
          <w:rFonts w:hint="eastAsia" w:cs="Times New Roman"/>
          <w:sz w:val="24"/>
          <w:u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highlight w:val="yellow"/>
          <w:u w:val="single"/>
        </w:rPr>
        <w:fldChar w:fldCharType="begin"/>
      </w:r>
      <w:r>
        <w:rPr>
          <w:rFonts w:hint="eastAsia" w:ascii="Times New Roman" w:hAnsi="Times New Roman" w:eastAsia="宋体" w:cs="Times New Roman"/>
          <w:sz w:val="24"/>
          <w:highlight w:val="yellow"/>
          <w:u w:val="single"/>
        </w:rPr>
        <w:instrText xml:space="preserve"> MERGEFIELD ${inve[""]} \* MERGEFORMAT </w:instrText>
      </w:r>
      <w:r>
        <w:rPr>
          <w:rFonts w:hint="eastAsia" w:ascii="Times New Roman" w:hAnsi="Times New Roman" w:eastAsia="宋体" w:cs="Times New Roman"/>
          <w:sz w:val="24"/>
          <w:highlight w:val="yellow"/>
          <w:u w:val="single"/>
        </w:rPr>
        <w:fldChar w:fldCharType="separate"/>
      </w:r>
      <w:r>
        <w:rPr>
          <w:rFonts w:hint="eastAsia" w:ascii="Times New Roman" w:hAnsi="Times New Roman" w:eastAsia="宋体" w:cs="Times New Roman"/>
          <w:sz w:val="24"/>
          <w:highlight w:val="yellow"/>
          <w:u w:val="single"/>
        </w:rPr>
        <w:t>«${inve[»</w:t>
      </w:r>
      <w:r>
        <w:rPr>
          <w:rFonts w:hint="eastAsia" w:ascii="Times New Roman" w:hAnsi="Times New Roman" w:eastAsia="宋体" w:cs="Times New Roman"/>
          <w:sz w:val="24"/>
          <w:highlight w:val="yellow"/>
          <w:u w:val="single"/>
        </w:rPr>
        <w:fldChar w:fldCharType="end"/>
      </w:r>
      <w:r>
        <w:rPr>
          <w:rFonts w:hint="eastAsia" w:ascii="Times New Roman" w:hAnsi="Times New Roman" w:eastAsia="宋体" w:cs="Times New Roman"/>
          <w:sz w:val="24"/>
          <w:u w:val="single"/>
        </w:rPr>
        <w:t>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inve_has_next]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hint="eastAsia" w:cs="Times New Roman"/>
          <w:sz w:val="24"/>
          <w:lang w:eastAsia="zh-CN"/>
        </w:rPr>
        <w:t>，</w:t>
      </w:r>
      <w:r>
        <w:rPr>
          <w:rFonts w:hint="eastAsia" w:cs="Times New Roman"/>
          <w:sz w:val="24"/>
          <w:lang w:eastAsia="zh-CN"/>
        </w:rPr>
        <w:fldChar w:fldCharType="begin"/>
      </w:r>
      <w:r>
        <w:rPr>
          <w:rFonts w:hint="eastAsia" w:cs="Times New Roman"/>
          <w:sz w:val="24"/>
          <w:lang w:eastAsia="zh-CN"/>
        </w:rPr>
        <w:instrText xml:space="preserve"> MERGEFIELD [#else] \* MERGEFORMAT </w:instrText>
      </w:r>
      <w:r>
        <w:rPr>
          <w:rFonts w:hint="eastAsia" w:cs="Times New Roman"/>
          <w:sz w:val="24"/>
          <w:lang w:eastAsia="zh-CN"/>
        </w:rPr>
        <w:fldChar w:fldCharType="separate"/>
      </w:r>
      <w:r>
        <w:rPr>
          <w:rFonts w:hint="eastAsia" w:cs="Times New Roman"/>
          <w:sz w:val="24"/>
          <w:lang w:eastAsia="zh-CN"/>
        </w:rPr>
        <w:t>«[#else]»</w:t>
      </w:r>
      <w:r>
        <w:rPr>
          <w:rFonts w:hint="eastAsia" w:cs="Times New Roman"/>
          <w:sz w:val="24"/>
          <w:lang w:eastAsia="zh-CN"/>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与</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cs="Times New Roman"/>
          <w:sz w:val="24"/>
          <w:highlight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合称“</w:t>
      </w:r>
      <w:r>
        <w:rPr>
          <w:rFonts w:hint="eastAsia" w:ascii="Times New Roman" w:hAnsi="Times New Roman" w:eastAsia="宋体" w:cs="Times New Roman"/>
          <w:sz w:val="24"/>
          <w:u w:val="single"/>
        </w:rPr>
        <w:t>投资方董事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。董事、董事长任期为四（</w:t>
      </w:r>
      <w:r>
        <w:rPr>
          <w:rFonts w:ascii="Times New Roman" w:hAnsi="Times New Roman" w:eastAsia="宋体" w:cs="Times New Roman"/>
          <w:sz w:val="24"/>
        </w:rPr>
        <w:t>4</w:t>
      </w:r>
      <w:r>
        <w:rPr>
          <w:rFonts w:hint="eastAsia" w:ascii="Times New Roman" w:hAnsi="Times New Roman" w:eastAsia="宋体" w:cs="Times New Roman"/>
          <w:sz w:val="24"/>
        </w:rPr>
        <w:t>）年，但期满经原委派方再次委派，可以连任。若董事会出现空缺，原委派方应立即将缺任董事的职位补足。任何一方均可随时有因或无因替换其委派的任何董事，并委派任何其他人代替被撤换之董事出任剩余任期董事。</w:t>
      </w:r>
    </w:p>
    <w:p>
      <w:pPr>
        <w:keepNext w:val="0"/>
        <w:keepLines w:val="0"/>
        <w:pageBreakBefore w:val="0"/>
        <w:widowControl w:val="0"/>
        <w:tabs>
          <w:tab w:val="left" w:pos="144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董事长为公司的法定代表人，有权代表公司并以公司名义进行活动。若董事长不能或未能履行其职责，应授权其他董事代表公司并履行董事长之职责。</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董事会职权</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董事会为公司最高权力机构，有权就公司全部重大事件作出决定。</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受限于本章程的其它规定，有关下列事项的决议，应由出席合法召集的董事会会议的全体董事一致同意方可表决通过：</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公司章程的修改；</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公司的中止、解散；</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公司注册资本的增加、减少；</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公司的合并、分立。</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董事会会议</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会议每季度至少召开一次。除董事会另有决定，董事会会议应在公司的法定地址举行。三分之二（2/3）以上的董事（其中包括投资方董事）出席构成董事会会议的合法召开人数。在任何合法召集的董事会上，若未能达到法定人数，董事会应在一周后的同一时间和地点再次召开，除非董事长或其他召集人另有通知。</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如不少于三分之一（1/3）以上的董事要求召开临时会议，需在一（1）个月前书面提出，并说明拟讨论的事项，董事长应召集临时会议，并将会议的日程及议题书面通知全体董事。</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长应制定董事会议事日程，并应负责召集和主持会议。如董事长因故无法召集和/或主持董事会会议，则董事长可以书面委托其他董事召集和/或主持。如董事长无故拒绝召集和/或主持议事日程当中的会议，则提议召开会议的董事有权自行召集和/或主持董事会会议。</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董事长或其他董事会召集人应在正常董事会召开前至少十五（15）日、临时董事会召开前至少七（7）日向全体董事发出书面通知，写明会议议事日程以及会议时间和地点。</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董事因任何原因无法出席董事会会议，必须通过信件、传真或专人送达的方式书面委托一名代理人以该董事名义出席董事会并代为投票。一名代理人可代表一名董事。代理人具有与委托董事相同的权利和权力。</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决议亦可通过交换信件（包括电子邮件）或传真的形式书面传阅表决通过。上述书面决议应备案于董事会会议记录，并应与董事当面出席会议作出的表决具有同等效力和作用。董事会决议由出席董事会的董事签字。</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董事会决议亦可通过电话或其他电子视听方式进行，上述方式应使各位董事在任何时候均可互相听到。董事或其代理人参加此种形式的董事会会议即构成该董事或其代理人本人出席了董事会会议。</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非董事会另行批准，出任董事不计报酬。但任何董事或其代理人为出席董事会会议以及履行董事会分配的职责而发生的全部合理费用，包括往返机票和合理的住宿费，应由公司负担。公司不负担董事的报酬及其与公司业务无关的其他费用。若董事同时兼任公司经理或职员，公司应按该职位支付报酬。</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每位董事有一票表决权。</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会议记录应由所有亲自出席、或通过电话或代理人出席会议的董事签名。为便于顺利开展公司业务，董事长，或当董事长缺席时，由董事长指定并代表他的其他董事，可以为任何一次董事会会议指定董事会秘书。董事会秘书的职责应包括：做会议记录、翻译或安排翻译文件以及将与会议有关的文件送达给董事。董事会会议记录应采用中文书写，并存档于公司总部。董事会会议记录的复印件应送至各方。</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公司不设监事会，设一名监事，由创始人共同委派。监事的任期为三年，可连选连任。监事行使下列职权：</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检查公司财务；</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对董事、高级管理人员执行公司职务的行为进行监督，对违反法律、行政法规、公司章程或者公司决议的董事、高级管理人员提出罢免的建议；</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当董事、高级管理人员的行为损害公司的利益时，要求董事、高级管理人员予以纠正；</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依照《公司法》第一百五十一条的规定，对董事、高级管理人员提起诉讼。</w:t>
      </w:r>
    </w:p>
    <w:p>
      <w:pPr>
        <w:keepNext w:val="0"/>
        <w:keepLines w:val="0"/>
        <w:pageBreakBefore w:val="0"/>
        <w:widowControl w:val="0"/>
        <w:numPr>
          <w:ilvl w:val="2"/>
          <w:numId w:val="1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监事必须根据本章程、合资合同及相关法律法规的规定行使职权，擅自行使职权的行为无效。</w:t>
      </w: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5" w:name="_Toc332999840"/>
      <w:r>
        <w:rPr>
          <w:rFonts w:hint="eastAsia" w:ascii="Times New Roman" w:hAnsi="Times New Roman" w:eastAsia="宋体" w:cs="Times New Roman"/>
          <w:b/>
          <w:sz w:val="24"/>
          <w:szCs w:val="22"/>
          <w:lang w:eastAsia="zh-CN"/>
        </w:rPr>
        <w:t>管理机构</w:t>
      </w:r>
      <w:bookmarkEnd w:id="25"/>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管理机构</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公司董事会应建立管理机构，该机构应对董事会负责并在其领导下负责公司的日常经营管理。</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董事可同时兼任高级公司职员以及担任公司的其他职务。</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高级公司职员的责任和权力</w:t>
      </w:r>
    </w:p>
    <w:p>
      <w:pPr>
        <w:keepNext w:val="0"/>
        <w:keepLines w:val="0"/>
        <w:pageBreakBefore w:val="0"/>
        <w:widowControl w:val="0"/>
        <w:kinsoku/>
        <w:wordWrap/>
        <w:overflowPunct/>
        <w:topLinePunct w:val="0"/>
        <w:autoSpaceDE/>
        <w:autoSpaceDN/>
        <w:bidi w:val="0"/>
        <w:adjustRightInd/>
        <w:snapToGrid/>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公司设总经理一名</w:t>
      </w:r>
      <w:r>
        <w:rPr>
          <w:rFonts w:ascii="Times New Roman" w:hAnsi="Times New Roman" w:eastAsia="宋体" w:cs="Times New Roman"/>
          <w:sz w:val="24"/>
        </w:rPr>
        <w:t>，</w:t>
      </w:r>
      <w:r>
        <w:rPr>
          <w:rFonts w:hint="eastAsia" w:ascii="Times New Roman" w:hAnsi="Times New Roman" w:eastAsia="宋体" w:cs="Times New Roman"/>
          <w:sz w:val="24"/>
        </w:rPr>
        <w:t>由</w:t>
      </w:r>
      <w:r>
        <w:rPr>
          <w:rFonts w:ascii="Times New Roman" w:hAnsi="Times New Roman" w:eastAsia="宋体" w:cs="Times New Roman"/>
          <w:sz w:val="24"/>
        </w:rPr>
        <w:t>董事会决定聘任或者解聘。</w:t>
      </w:r>
      <w:r>
        <w:rPr>
          <w:rFonts w:hint="eastAsia" w:ascii="Times New Roman" w:hAnsi="Times New Roman" w:eastAsia="宋体" w:cs="Times New Roman"/>
          <w:sz w:val="24"/>
        </w:rPr>
        <w:t>总</w:t>
      </w:r>
      <w:r>
        <w:rPr>
          <w:rFonts w:ascii="Times New Roman" w:hAnsi="Times New Roman" w:eastAsia="宋体" w:cs="Times New Roman"/>
          <w:sz w:val="24"/>
        </w:rPr>
        <w:t>经理对董事会负责，行使下列职权：</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主持公司的生产经营管理工作，组织实施董事会决议；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组织实施公司年度经营计划和投资方案；</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拟订公司内部管理机构设置方案；</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拟订公司的基本管理制度；</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制定公司的具体规章；</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决定聘任或者解聘除应由董事会决定聘任或者解聘以外的负责管理人员；</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董事会授予的其他职权。</w:t>
      </w:r>
    </w:p>
    <w:p>
      <w:pPr>
        <w:tabs>
          <w:tab w:val="left" w:pos="1440"/>
        </w:tabs>
        <w:snapToGrid w:val="0"/>
        <w:spacing w:line="420" w:lineRule="atLeast"/>
        <w:ind w:left="720"/>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6" w:name="_Toc332999842"/>
      <w:r>
        <w:rPr>
          <w:rFonts w:hint="eastAsia" w:ascii="Times New Roman" w:hAnsi="Times New Roman" w:eastAsia="宋体" w:cs="Times New Roman"/>
          <w:b/>
          <w:sz w:val="24"/>
          <w:szCs w:val="22"/>
          <w:lang w:eastAsia="zh-CN"/>
        </w:rPr>
        <w:t>场地和办公场所</w:t>
      </w:r>
      <w:bookmarkEnd w:id="26"/>
    </w:p>
    <w:p>
      <w:pPr>
        <w:pStyle w:val="8"/>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rPr>
      </w:pPr>
      <w:r>
        <w:rPr>
          <w:rFonts w:hint="eastAsia" w:ascii="Times New Roman" w:hAnsi="Times New Roman" w:eastAsia="宋体" w:cs="Times New Roman"/>
        </w:rPr>
        <w:t>公司的生产及办公场所由董事会决定。</w:t>
      </w:r>
    </w:p>
    <w:p>
      <w:pPr>
        <w:pStyle w:val="8"/>
        <w:spacing w:before="156" w:after="10" w:line="420" w:lineRule="atLeast"/>
        <w:rPr>
          <w:rFonts w:ascii="Times New Roman" w:hAnsi="Times New Roman" w:eastAsia="宋体" w:cs="Times New Roman"/>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7" w:name="_Toc332999843"/>
      <w:r>
        <w:rPr>
          <w:rFonts w:hint="eastAsia" w:ascii="Times New Roman" w:hAnsi="Times New Roman" w:eastAsia="宋体" w:cs="Times New Roman"/>
          <w:b/>
          <w:sz w:val="24"/>
          <w:szCs w:val="22"/>
          <w:lang w:eastAsia="zh-CN"/>
        </w:rPr>
        <w:t>材料和服务的购买</w:t>
      </w:r>
      <w:bookmarkEnd w:id="27"/>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公司所需的设备、原材料、燃料、运输工具和办公用品，有权自行决定在中国购买或向国外购买。</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8" w:name="_Toc332999844"/>
      <w:r>
        <w:rPr>
          <w:rFonts w:hint="eastAsia" w:ascii="Times New Roman" w:hAnsi="Times New Roman" w:eastAsia="宋体" w:cs="Times New Roman"/>
          <w:b/>
          <w:sz w:val="24"/>
          <w:szCs w:val="22"/>
          <w:lang w:eastAsia="zh-CN"/>
        </w:rPr>
        <w:t>劳动管</w:t>
      </w:r>
      <w:bookmarkEnd w:id="28"/>
      <w:r>
        <w:rPr>
          <w:rFonts w:hint="eastAsia" w:ascii="Times New Roman" w:hAnsi="Times New Roman" w:eastAsia="宋体" w:cs="Times New Roman"/>
          <w:b/>
          <w:sz w:val="24"/>
          <w:szCs w:val="22"/>
          <w:lang w:eastAsia="zh-CN"/>
        </w:rPr>
        <w:t>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管理原则</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公司具有外商投资企业所应享有的全部企业自主权，并有聘任和解聘职工的全部职权。公司雇员的招聘、聘用、处罚、开除和辞职及其工资、保险、福利和其他事宜应依照有关的中国法律处理。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劳动合同</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none"/>
          <w:lang w:val="en-US" w:eastAsia="zh-CN"/>
        </w:rPr>
        <w:t>公司应按照相关中国法律的规定与员工签订劳动合同。</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劳动和用人政策</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下述事宜应由董事会决定并在公司的劳动和用人政策以及公司与职工或代表职工的工会签订的劳动合同中加以规定：公司职员和工人的聘用、开除、辞职、工资、保险、福利、奖惩，及其在聘用期间取得及申请版权、专利权和其他与发明和著作有关的保护权。</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对于公司所有中国雇员应执行择优录用的招聘政策。为此，在得到必要批准后，公司可以在中国境内任何地方，以及必要时从国外雇用合格的员工。</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公司应按照本章程的原则与其核心员工签订保密、竞业禁止协议。</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29" w:name="_Toc332999845"/>
      <w:r>
        <w:rPr>
          <w:rFonts w:hint="eastAsia" w:ascii="Times New Roman" w:hAnsi="Times New Roman" w:eastAsia="宋体" w:cs="Times New Roman"/>
          <w:b/>
          <w:sz w:val="24"/>
          <w:szCs w:val="22"/>
          <w:lang w:eastAsia="zh-CN"/>
        </w:rPr>
        <w:t>财务，税收，审计和利润分配</w:t>
      </w:r>
      <w:bookmarkEnd w:id="29"/>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税收</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公司应根据中国的有关法律、法规纳税。公司应申请根据中国法律可享受的一切税收和关税的优惠待遇。</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在创始人的协助下，公司应申请根据中国法律和法规现在或将来适用于类似公司的在华合资企业或各方中的任何一方在税收、关税和其他税赋方面所能享受的一切减免待遇。</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财务</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公司的财政年度应自每公历年1月1日至同年12月31日。公司最后一个财政年度应自公司终止或期满之年的1月1日至公司经营期限终止或期满日。</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采用国际通用的权责发生制和借贷记账法记账。公司的一切会计记录、凭证账簿和报表应用中文书写。公司应采用人民币为其财务报表的本位币。年度、季度和月度报告应由总经理和财务总监批准并联合签名，并应用中文书写。财务总监应负责编制有关公司财务的会计和管理标准，并提交董事会批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审计</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每个会计年度结束后四十五（45</w:t>
      </w:r>
      <w:r>
        <w:rPr>
          <w:rFonts w:ascii="Times New Roman" w:hAnsi="Times New Roman" w:eastAsia="宋体" w:cs="Times New Roman"/>
          <w:sz w:val="24"/>
        </w:rPr>
        <w:t>）</w:t>
      </w:r>
      <w:r>
        <w:rPr>
          <w:rFonts w:hint="eastAsia" w:ascii="Times New Roman" w:hAnsi="Times New Roman" w:eastAsia="宋体" w:cs="Times New Roman"/>
          <w:sz w:val="24"/>
        </w:rPr>
        <w:t>天内，公司应聘请一家由公司和多数投资方共同选定的有资质的会计师事务所对公司账目和账簿进行审计。该事务所出具的年度审计报告应提交给董事会。</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提取三项基金</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每年缴纳所得税以及其他适用税款后，董事会应根据中国法律和法规决定从税后净利润中提取公司储备基金、企业发展基金以及职工奖励及福利基金的金额。董事会应根据公司的经营和财务状况决定每年从税后净利润中提留上述基金的数额及上述基金的最高限额。</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利润分配</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公司每年的利润分配方案由董事会决定，其中应包括投资方董事的同意。</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公司在上一年度发生亏损，公司本年度的利润应首先用于弥补亏损。在上一年或前几年亏损全部弥补前，不得分配利润或用其再投资。公司保留并从上年度结转的未用于再投资的可分配利润可与本年度的可分配利润一起分配。</w:t>
      </w:r>
    </w:p>
    <w:p>
      <w:pPr>
        <w:keepNext w:val="0"/>
        <w:keepLines w:val="0"/>
        <w:pageBreakBefore w:val="0"/>
        <w:widowControl w:val="0"/>
        <w:numPr>
          <w:ilvl w:val="0"/>
          <w:numId w:val="0"/>
        </w:numPr>
        <w:kinsoku/>
        <w:wordWrap/>
        <w:overflowPunct/>
        <w:topLinePunct w:val="0"/>
        <w:autoSpaceDE/>
        <w:autoSpaceDN/>
        <w:bidi w:val="0"/>
        <w:adjustRightInd/>
        <w:snapToGrid w:val="0"/>
        <w:spacing w:before="156" w:after="10" w:line="420" w:lineRule="atLeast"/>
        <w:ind w:left="720" w:leftChars="0" w:right="0" w:rightChars="0"/>
        <w:jc w:val="both"/>
        <w:textAlignment w:val="auto"/>
        <w:outlineLvl w:val="9"/>
        <w:rPr>
          <w:rFonts w:hint="eastAsia" w:ascii="Times New Roman" w:hAnsi="Times New Roman" w:eastAsia="宋体" w:cs="Times New Roman"/>
          <w:sz w:val="24"/>
          <w:szCs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0" w:name="_Toc332999846"/>
      <w:r>
        <w:rPr>
          <w:rFonts w:hint="eastAsia" w:ascii="Times New Roman" w:hAnsi="Times New Roman" w:eastAsia="宋体" w:cs="Times New Roman"/>
          <w:b/>
          <w:sz w:val="24"/>
          <w:szCs w:val="22"/>
          <w:lang w:eastAsia="zh-CN"/>
        </w:rPr>
        <w:t>银行账户和外汇</w:t>
      </w:r>
      <w:bookmarkEnd w:id="30"/>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账户</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公司应在中国的金融机构开设人民币账户和外汇账户。若需要，经审批机关批准，公司可在境外金融机构开设外汇账户。</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外汇</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公司应根据中国的有关外汇法律、法规的规定处理公司一切外汇事宜。</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为平衡公司的外汇需求，经董事会批准（应包含投资方董事的同意），公司可采取中国法律允许的方法和从事中国法律允许的活动。</w:t>
      </w:r>
    </w:p>
    <w:p>
      <w:pPr>
        <w:numPr>
          <w:ilvl w:val="0"/>
          <w:numId w:val="0"/>
        </w:numPr>
        <w:tabs>
          <w:tab w:val="left" w:pos="1155"/>
        </w:tabs>
        <w:spacing w:before="156" w:after="10" w:line="420" w:lineRule="atLeast"/>
        <w:ind w:left="525" w:leftChars="0"/>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1" w:name="_Toc332999847"/>
      <w:r>
        <w:rPr>
          <w:rFonts w:hint="eastAsia" w:ascii="Times New Roman" w:hAnsi="Times New Roman" w:eastAsia="宋体" w:cs="Times New Roman"/>
          <w:b/>
          <w:sz w:val="24"/>
          <w:szCs w:val="22"/>
          <w:lang w:eastAsia="zh-CN"/>
        </w:rPr>
        <w:t>合资期限</w:t>
      </w:r>
      <w:bookmarkEnd w:id="31"/>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合资期限</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除非出现本章程中规定的提前终止的情况，公司的经营期限为长期。</w:t>
      </w:r>
      <w:r>
        <w:rPr>
          <w:rFonts w:hint="eastAsia" w:ascii="Times New Roman" w:hAnsi="Times New Roman" w:eastAsia="宋体" w:cs="Times New Roman"/>
          <w:b/>
          <w:i/>
          <w:sz w:val="24"/>
          <w:highlight w:val="yellow"/>
        </w:rPr>
        <w:t>[SH Note:请确认上述合资期限</w:t>
      </w:r>
      <w:r>
        <w:rPr>
          <w:rFonts w:ascii="Times New Roman" w:hAnsi="Times New Roman" w:eastAsia="宋体" w:cs="Times New Roman"/>
          <w:b/>
          <w:i/>
          <w:sz w:val="24"/>
          <w:highlight w:val="yellow"/>
        </w:rPr>
        <w:t>]</w:t>
      </w:r>
    </w:p>
    <w:p>
      <w:pPr>
        <w:snapToGrid w:val="0"/>
        <w:spacing w:before="156" w:after="10" w:line="420" w:lineRule="atLeast"/>
        <w:rPr>
          <w:rFonts w:ascii="Times New Roman" w:hAnsi="Times New Roman" w:eastAsia="宋体" w:cs="Times New Roman"/>
          <w:sz w:val="24"/>
          <w:u w:val="single"/>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2" w:name="_Toc332999848"/>
      <w:r>
        <w:rPr>
          <w:rFonts w:hint="eastAsia" w:ascii="Times New Roman" w:hAnsi="Times New Roman" w:eastAsia="宋体" w:cs="Times New Roman"/>
          <w:b/>
          <w:sz w:val="24"/>
          <w:szCs w:val="22"/>
          <w:lang w:eastAsia="zh-CN"/>
        </w:rPr>
        <w:t>提前终止</w:t>
      </w:r>
      <w:bookmarkEnd w:id="32"/>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终止事件</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68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当发生下列任何事件时，被提及的一方有权请求提前终止公司。除非各方另有协议，公司应按照本章程第</w:t>
      </w:r>
      <w:r>
        <w:rPr>
          <w:rFonts w:ascii="Times New Roman" w:hAnsi="Times New Roman" w:eastAsia="宋体" w:cs="Times New Roman"/>
          <w:sz w:val="24"/>
        </w:rPr>
        <w:t>2</w:t>
      </w:r>
      <w:r>
        <w:rPr>
          <w:rFonts w:hint="eastAsia" w:ascii="Times New Roman" w:hAnsi="Times New Roman" w:eastAsia="宋体" w:cs="Times New Roman"/>
          <w:sz w:val="24"/>
        </w:rPr>
        <w:t>3.2条的规定终止：</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若发生了对本章程的重大违约，且该重大违约在守约方发出书面通知之日起六十（60）日内仍未能得以补救，则守约方有权行使该权利；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公司发生严重亏损，无力继续经营，则多数投资方有权行使该权利；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若因某一方的不可抗力事件而导致本章程全部或部分无法履行持续九十(90)日，则履行本章程未受阻止的一方有权行使该权利；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任何一方违反本章程规定转让其在公司的股权，则守约方有权行使该权利；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公司的全部或任何重要部分的资产被任何政府部门征用（在这种情况下公司应按照法律争取合理赔偿），则多数投资方有权行使该权利；</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若各方一致决定终止合资经营，则任何一方均有权行使该权利。</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single"/>
          <w:lang w:val="en-US" w:eastAsia="zh-CN"/>
        </w:rPr>
      </w:pPr>
      <w:r>
        <w:rPr>
          <w:rFonts w:hint="eastAsia" w:ascii="Times New Roman" w:hAnsi="Times New Roman" w:eastAsia="宋体" w:cs="Times New Roman"/>
          <w:sz w:val="24"/>
          <w:u w:val="single"/>
          <w:lang w:val="en-US" w:eastAsia="zh-CN"/>
        </w:rPr>
        <w:t>终止</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若一方根据本章程第23.1条选择终止公司，应为此向董事长提出书面通知。自收到上述通知后三十（30）日内，董事长（或由董事长委任并代表他的其他董事）应为此召开董事会。</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各方应促使各自委派的董事在按照上述第23.2（1）条召开的董事会会议上一致通过解散公司的决议。</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若法律要求，公司终止应取得审批机关的批准。</w:t>
      </w:r>
    </w:p>
    <w:p>
      <w:pPr>
        <w:snapToGrid w:val="0"/>
        <w:spacing w:before="156" w:after="10" w:line="420" w:lineRule="atLeast"/>
        <w:ind w:left="720"/>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3" w:name="_Toc332999849"/>
      <w:r>
        <w:rPr>
          <w:rFonts w:hint="eastAsia" w:ascii="Times New Roman" w:hAnsi="Times New Roman" w:eastAsia="宋体" w:cs="Times New Roman"/>
          <w:b/>
          <w:sz w:val="24"/>
          <w:szCs w:val="22"/>
          <w:lang w:eastAsia="zh-CN"/>
        </w:rPr>
        <w:t>清算</w:t>
      </w:r>
      <w:bookmarkEnd w:id="33"/>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若合资期限按计划期满、发生本章程第9.1条规定的清算事件（但不包括9.1条的（2）和（3）项）、或根据本章程第23条的规定公司提前终止时，董事会应立即一致通过清算公司的决议，制定清算程序，成立清算委员会并将公司的清算通知审批机关。</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公司应依法组成清算委员会（其中必须包括各投资方指派的人员），由清算委员会负责清算事宜。</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清算委员会应尽其最大努力为资产争取最高的价格并最大限度地获取外汇付款。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当公司清算终结时，清算委员会应将清算程序终结报告提交董事会批准并由其提交给审批机关批准/备案（如适用），清算委员会还应办理注销公司税务登记、公司登记、归还营业执照以及海关登记手续。</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公司应用其全部资产承担其债务和责任。在清算时，除非法律另有要求，公司的资产应按照如下顺序进行处置：</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支付清算费用；</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支付公司应支付给工人和雇员的全部工资、保险和福利；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支付公司应支付的各项税款；</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支付公司全部未付债务，包括公司欠各方的债务；</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按照本章程第9.2条规定的清算顺序进行清算。</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清算期间，清算委员会应代表公司参加任何法律诉讼。</w:t>
      </w:r>
    </w:p>
    <w:p>
      <w:pPr>
        <w:snapToGrid w:val="0"/>
        <w:spacing w:before="156" w:after="10"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4" w:name="_Toc332999851"/>
      <w:r>
        <w:rPr>
          <w:rFonts w:hint="eastAsia" w:ascii="Times New Roman" w:hAnsi="Times New Roman" w:eastAsia="宋体" w:cs="Times New Roman"/>
          <w:b/>
          <w:sz w:val="24"/>
          <w:szCs w:val="22"/>
          <w:lang w:eastAsia="zh-CN"/>
        </w:rPr>
        <w:t>保险</w:t>
      </w:r>
      <w:bookmarkEnd w:id="34"/>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限于中国有关法律法规允许的程度，公司应在其整个经营期间购买并保持此类企业出于谨慎而应购买的充足的保险。公司的各项保险应该向中国境内的保险公司购买。</w:t>
      </w:r>
    </w:p>
    <w:p>
      <w:pPr>
        <w:snapToGrid w:val="0"/>
        <w:spacing w:line="420" w:lineRule="atLeast"/>
        <w:rPr>
          <w:rFonts w:ascii="Times New Roman" w:hAnsi="Times New Roman" w:eastAsia="宋体" w:cs="Times New Roman"/>
          <w:sz w:val="24"/>
        </w:rPr>
      </w:pPr>
    </w:p>
    <w:p>
      <w:pPr>
        <w:pStyle w:val="4"/>
        <w:keepNext/>
        <w:keepLines w:val="0"/>
        <w:pageBreakBefore w:val="0"/>
        <w:widowControl w:val="0"/>
        <w:numPr>
          <w:ilvl w:val="0"/>
          <w:numId w:val="1"/>
        </w:numPr>
        <w:tabs>
          <w:tab w:val="left" w:pos="1470"/>
          <w:tab w:val="clear" w:pos="420"/>
        </w:tabs>
        <w:kinsoku/>
        <w:wordWrap/>
        <w:overflowPunct/>
        <w:topLinePunct w:val="0"/>
        <w:autoSpaceDE/>
        <w:autoSpaceDN/>
        <w:bidi w:val="0"/>
        <w:adjustRightInd/>
        <w:snapToGrid/>
        <w:spacing w:line="420" w:lineRule="atLeast"/>
        <w:ind w:left="0" w:leftChars="0" w:right="-108" w:rightChars="0" w:firstLine="402" w:firstLineChars="0"/>
        <w:jc w:val="center"/>
        <w:textAlignment w:val="auto"/>
        <w:outlineLvl w:val="2"/>
        <w:rPr>
          <w:rFonts w:hint="eastAsia" w:ascii="Times New Roman" w:hAnsi="Times New Roman" w:eastAsia="宋体" w:cs="Times New Roman"/>
          <w:b/>
          <w:sz w:val="24"/>
          <w:szCs w:val="22"/>
          <w:lang w:eastAsia="zh-CN"/>
        </w:rPr>
      </w:pPr>
      <w:bookmarkStart w:id="35" w:name="_Toc332999856"/>
      <w:r>
        <w:rPr>
          <w:rFonts w:hint="eastAsia" w:ascii="Times New Roman" w:hAnsi="Times New Roman" w:eastAsia="宋体" w:cs="Times New Roman"/>
          <w:b/>
          <w:sz w:val="24"/>
          <w:szCs w:val="22"/>
          <w:lang w:eastAsia="zh-CN"/>
        </w:rPr>
        <w:t>其他</w:t>
      </w:r>
      <w:bookmarkEnd w:id="35"/>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本章程的任何修改须经各方正式授权的代表签署书面协议。若法律要求，上述修改自审批机关批准后生效。</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各方在本章程项下的权利和义务应在合资期限内持续，并不应受设立公司、通过章程或签署任何附件的影响。若本章程与合资合同有任何冲突或不一致之处，以合资合同为准。</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如果按照任何有关法律，本章程任何一项或多项条款或任何一份或多份本次投资所涉及的其它法律文件被认定为无效、非法或无法执行，则</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本章程其他条款的效力、合法性与可执行性不受影响或妨碍，并完全有效，除被认定为无效、非法或无法执行的协议之外，本次投资所涉及的其他协议的效力、合法性与可执行性不受影响或妨碍，并完全有效；</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349" w:leftChars="0" w:right="0" w:rightChars="0" w:hanging="66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各方应立即将上述无效、非法或不可执行的条款或协议代之以合法、有效且可执行的条款或协议，而该等替代条款或协议的意图应最接近上述无效、非法或不可执行的条款或协议的意图。</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章程一式【】份中文原件，每方各保留【】份，每一份具有同等法律效力。[</w:t>
      </w:r>
      <w:r>
        <w:rPr>
          <w:rFonts w:hint="eastAsia" w:ascii="Times New Roman" w:hAnsi="Times New Roman" w:eastAsia="宋体" w:cs="Times New Roman"/>
          <w:b/>
          <w:bCs/>
          <w:i/>
          <w:iCs/>
          <w:sz w:val="24"/>
          <w:highlight w:val="yellow"/>
          <w:u w:val="none"/>
          <w:lang w:val="en-US" w:eastAsia="zh-CN"/>
        </w:rPr>
        <w:t>SH Note:请各方确认并告知所需原件份数</w:t>
      </w:r>
      <w:r>
        <w:rPr>
          <w:rFonts w:hint="eastAsia" w:ascii="Times New Roman" w:hAnsi="Times New Roman" w:eastAsia="宋体" w:cs="Times New Roman"/>
          <w:sz w:val="24"/>
          <w:u w:val="none"/>
          <w:lang w:val="en-US" w:eastAsia="zh-CN"/>
        </w:rPr>
        <w:t>]</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本章程的标题只为参考，不应视为本章程的一部分或影响本章程的含义或解释。</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本章程以中文书写，自各方或其授权代表签署（并盖章）之日起生效。</w:t>
      </w:r>
    </w:p>
    <w:p>
      <w:pPr>
        <w:keepNext w:val="0"/>
        <w:keepLines w:val="0"/>
        <w:pageBreakBefore w:val="0"/>
        <w:widowControl w:val="0"/>
        <w:numPr>
          <w:ilvl w:val="1"/>
          <w:numId w:val="1"/>
        </w:numPr>
        <w:tabs>
          <w:tab w:val="left" w:pos="693"/>
          <w:tab w:val="clear" w:pos="0"/>
        </w:tabs>
        <w:kinsoku/>
        <w:wordWrap/>
        <w:overflowPunct/>
        <w:topLinePunct w:val="0"/>
        <w:autoSpaceDE/>
        <w:autoSpaceDN/>
        <w:bidi w:val="0"/>
        <w:adjustRightInd/>
        <w:snapToGrid w:val="0"/>
        <w:spacing w:before="156" w:after="10" w:line="420" w:lineRule="atLeast"/>
        <w:ind w:left="680" w:leftChars="0" w:right="0" w:rightChars="0" w:hanging="680" w:firstLineChars="0"/>
        <w:jc w:val="both"/>
        <w:textAlignment w:val="auto"/>
        <w:outlineLvl w:val="9"/>
        <w:rPr>
          <w:rFonts w:hint="eastAsia" w:ascii="Times New Roman" w:hAnsi="Times New Roman" w:eastAsia="宋体" w:cs="Times New Roman"/>
          <w:sz w:val="24"/>
          <w:u w:val="none"/>
          <w:lang w:val="en-US" w:eastAsia="zh-CN"/>
        </w:rPr>
      </w:pPr>
      <w:r>
        <w:rPr>
          <w:rFonts w:hint="eastAsia" w:ascii="Times New Roman" w:hAnsi="Times New Roman" w:eastAsia="宋体" w:cs="Times New Roman"/>
          <w:sz w:val="24"/>
          <w:u w:val="none"/>
          <w:lang w:val="en-US" w:eastAsia="zh-CN"/>
        </w:rPr>
        <w:t>本章程由各方正式授权的代表于本章程首部写明的日期签署，谨此为证。</w:t>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[本页以下无正文]</w:t>
      </w:r>
    </w:p>
    <w:p>
      <w:pPr>
        <w:snapToGrid w:val="0"/>
        <w:spacing w:line="420" w:lineRule="atLeast"/>
        <w:rPr>
          <w:rFonts w:ascii="Times New Roman" w:hAnsi="Times New Roman" w:eastAsia="宋体" w:cs="Times New Roman"/>
          <w:sz w:val="24"/>
        </w:rPr>
        <w:sectPr>
          <w:footerReference r:id="rId3" w:type="default"/>
          <w:footerReference r:id="rId4" w:type="even"/>
          <w:pgSz w:w="11905" w:h="16840"/>
          <w:pgMar w:top="840" w:right="1165" w:bottom="940" w:left="1660" w:header="720" w:footer="720" w:gutter="0"/>
          <w:cols w:space="720" w:num="1"/>
          <w:titlePg/>
        </w:sectPr>
      </w:pP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partNum=agreement.afosPersonalList?size+agreement.afosDcList?size+agreement.afosOcList?size,index=0]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partNum gt 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agreement.afosPersonalList as afos]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napToGrid w:val="0"/>
        <w:spacing w:line="420" w:lineRule="atLeast"/>
        <w:jc w:val="center"/>
        <w:rPr>
          <w:rFonts w:hint="eastAsia" w:ascii="Times New Roman" w:hAnsi="Times New Roman" w:eastAsia="宋体" w:cs="Times New Roman"/>
          <w:sz w:val="24"/>
        </w:rPr>
      </w:pPr>
    </w:p>
    <w:p>
      <w:pPr>
        <w:spacing w:before="156" w:after="156" w:line="420" w:lineRule="atLeast"/>
        <w:rPr>
          <w:rFonts w:ascii="Times New Roman" w:hAnsi="Times New Roman" w:eastAsia="宋体" w:cs="Times New Roman"/>
          <w:sz w:val="32"/>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${afos[""]}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«${afos[»</w:t>
      </w:r>
      <w:r>
        <w:rPr>
          <w:rFonts w:ascii="Times New Roman" w:hAnsi="Times New Roman" w:eastAsia="宋体" w:cs="Times New Roman"/>
          <w:sz w:val="24"/>
          <w:szCs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pacing w:before="156" w:after="156" w:line="420" w:lineRule="atLeast"/>
        <w:rPr>
          <w:rFonts w:hint="eastAsia" w:ascii="Times New Roman" w:hAnsi="Times New Roman" w:eastAsia="宋体" w:cs="Times New Roman"/>
          <w:b w:val="0"/>
          <w:bCs/>
          <w:sz w:val="24"/>
          <w:lang w:eastAsia="zh-CN"/>
        </w:rPr>
      </w:pP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[#assign index=index+1]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«[#assign»</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index%4==0]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 lt partNum]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p>
    <w:p>
      <w:pPr>
        <w:spacing w:before="156" w:after="156" w:line="420" w:lineRule="atLeast"/>
        <w:rPr>
          <w:rFonts w:hint="eastAsia" w:ascii="Times New Roman" w:hAnsi="Times New Roman" w:eastAsia="宋体" w:cs="Times New Roman"/>
          <w:b w:val="0"/>
          <w:bCs/>
          <w:sz w:val="24"/>
          <w:lang w:eastAsia="zh-CN"/>
        </w:rPr>
      </w:pPr>
      <w:r>
        <w:rPr>
          <w:rFonts w:hint="eastAsia" w:ascii="Times New Roman" w:hAnsi="Times New Roman" w:eastAsia="宋体" w:cs="Times New Roman"/>
          <w:b w:val="0"/>
          <w:bCs/>
          <w:sz w:val="24"/>
          <w:lang w:eastAsia="zh-CN"/>
        </w:rPr>
        <w:br w:type="page"/>
      </w:r>
    </w:p>
    <w:p>
      <w:pPr>
        <w:spacing w:before="156" w:after="156"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agreement.afosOcList as afos]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pacing w:before="156" w:after="156" w:line="420" w:lineRule="atLeast"/>
        <w:jc w:val="center"/>
        <w:rPr>
          <w:rFonts w:hint="eastAsia" w:ascii="Times New Roman" w:hAnsi="Times New Roman" w:eastAsia="宋体" w:cs="Times New Roman"/>
          <w:sz w:val="24"/>
          <w:lang w:eastAsia="zh-CN"/>
        </w:rPr>
      </w:pPr>
    </w:p>
    <w:p>
      <w:pPr>
        <w:spacing w:before="156" w:after="156" w:line="420" w:lineRule="atLeast"/>
        <w:rPr>
          <w:rFonts w:ascii="Times New Roman" w:hAnsi="Times New Roman" w:eastAsia="宋体" w:cs="Times New Roman"/>
          <w:sz w:val="32"/>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${afos[""]}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«${afos[»</w:t>
      </w:r>
      <w:r>
        <w:rPr>
          <w:rFonts w:ascii="Times New Roman" w:hAnsi="Times New Roman" w:eastAsia="宋体" w:cs="Times New Roman"/>
          <w:sz w:val="24"/>
          <w:szCs w:val="24"/>
        </w:rPr>
        <w:fldChar w:fldCharType="end"/>
      </w:r>
    </w:p>
    <w:p>
      <w:pPr>
        <w:snapToGrid w:val="0"/>
        <w:spacing w:line="420" w:lineRule="atLeast"/>
        <w:rPr>
          <w:rFonts w:ascii="Times New Roman" w:hAnsi="Times New Roman" w:eastAsia="宋体" w:cs="Times New Roman"/>
          <w:b/>
          <w:sz w:val="24"/>
        </w:rPr>
      </w:pPr>
    </w:p>
    <w:p>
      <w:pPr>
        <w:spacing w:before="156" w:after="156"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pacing w:before="156" w:after="156" w:line="420" w:lineRule="atLeast"/>
        <w:rPr>
          <w:rFonts w:ascii="Times New Roman" w:hAnsi="Times New Roman" w:eastAsia="宋体" w:cs="Times New Roman"/>
          <w:sz w:val="24"/>
        </w:rPr>
      </w:pPr>
      <w:r>
        <w:rPr>
          <w:rFonts w:hint="eastAsia" w:ascii="Times New Roman" w:hAnsi="Times New Roman" w:eastAsia="宋体" w:cs="Times New Roman"/>
          <w:sz w:val="24"/>
        </w:rPr>
        <w:t>董事：【 】</w:t>
      </w:r>
    </w:p>
    <w:p>
      <w:pPr>
        <w:spacing w:before="156" w:after="156" w:line="420" w:lineRule="atLeast"/>
        <w:rPr>
          <w:rFonts w:ascii="Times New Roman" w:hAnsi="Times New Roman" w:eastAsia="宋体" w:cs="Times New Roman"/>
          <w:b/>
          <w:sz w:val="24"/>
        </w:rPr>
      </w:pP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[#assign index=index+1]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«[#assign»</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index%4==0]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 lt partNum]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p>
    <w:p>
      <w:pPr>
        <w:spacing w:before="156" w:after="156" w:line="420" w:lineRule="atLeast"/>
        <w:jc w:val="center"/>
        <w:rPr>
          <w:rFonts w:ascii="Times New Roman" w:hAnsi="Times New Roman" w:eastAsia="宋体" w:cs="Times New Roman"/>
          <w:b/>
          <w:sz w:val="24"/>
        </w:rPr>
      </w:pPr>
      <w:r>
        <w:rPr>
          <w:rFonts w:ascii="Times New Roman" w:hAnsi="Times New Roman" w:eastAsia="宋体" w:cs="Times New Roman"/>
          <w:b/>
          <w:sz w:val="24"/>
        </w:rPr>
        <w:br w:type="page"/>
      </w:r>
    </w:p>
    <w:p>
      <w:pPr>
        <w:spacing w:before="156" w:after="156" w:line="420" w:lineRule="atLeast"/>
        <w:rPr>
          <w:rFonts w:ascii="Times New Roman" w:hAnsi="Times New Roman" w:eastAsia="宋体" w:cs="Times New Roman"/>
          <w:b/>
          <w:sz w:val="24"/>
        </w:rPr>
      </w:pP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agreement.afosOcList as afos]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${afos[""]}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«${afos[»</w:t>
      </w:r>
      <w:r>
        <w:rPr>
          <w:rFonts w:ascii="Times New Roman" w:hAnsi="Times New Roman" w:eastAsia="宋体" w:cs="Times New Roman"/>
          <w:sz w:val="24"/>
          <w:szCs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法定代表人/授权签字人：【 】</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[#assign index=index+1]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«[#assign»</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index%4==0]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r>
        <w:rPr>
          <w:rFonts w:hint="eastAsia" w:ascii="Times New Roman" w:hAnsi="Times New Roman" w:eastAsia="宋体" w:cs="Times New Roman"/>
          <w:b w:val="0"/>
          <w:bCs/>
          <w:sz w:val="24"/>
          <w:lang w:eastAsia="zh-CN"/>
        </w:rPr>
        <w:fldChar w:fldCharType="begin"/>
      </w:r>
      <w:r>
        <w:rPr>
          <w:rFonts w:hint="eastAsia" w:ascii="Times New Roman" w:hAnsi="Times New Roman" w:eastAsia="宋体" w:cs="Times New Roman"/>
          <w:b w:val="0"/>
          <w:bCs/>
          <w:sz w:val="24"/>
          <w:lang w:eastAsia="zh-CN"/>
        </w:rPr>
        <w:instrText xml:space="preserve"> MERGEFIELD [#if index lt partNum] \* MERGEFORMAT </w:instrText>
      </w:r>
      <w:r>
        <w:rPr>
          <w:rFonts w:hint="eastAsia" w:ascii="Times New Roman" w:hAnsi="Times New Roman" w:eastAsia="宋体" w:cs="Times New Roman"/>
          <w:b w:val="0"/>
          <w:bCs/>
          <w:sz w:val="24"/>
          <w:lang w:eastAsia="zh-CN"/>
        </w:rPr>
        <w:fldChar w:fldCharType="separate"/>
      </w:r>
      <w:r>
        <w:rPr>
          <w:rFonts w:hint="eastAsia" w:ascii="Times New Roman" w:hAnsi="Times New Roman" w:eastAsia="宋体" w:cs="Times New Roman"/>
          <w:b w:val="0"/>
          <w:bCs/>
          <w:sz w:val="24"/>
          <w:lang w:eastAsia="zh-CN"/>
        </w:rPr>
        <w:t>«[#if»</w:t>
      </w:r>
      <w:r>
        <w:rPr>
          <w:rFonts w:hint="eastAsia" w:ascii="Times New Roman" w:hAnsi="Times New Roman" w:eastAsia="宋体" w:cs="Times New Roman"/>
          <w:b w:val="0"/>
          <w:bCs/>
          <w:sz w:val="24"/>
          <w:lang w:eastAsia="zh-CN"/>
        </w:rPr>
        <w:fldChar w:fldCharType="end"/>
      </w:r>
    </w:p>
    <w:p>
      <w:pPr>
        <w:snapToGrid w:val="0"/>
        <w:spacing w:line="420" w:lineRule="atLeast"/>
        <w:jc w:val="center"/>
        <w:rPr>
          <w:rFonts w:ascii="Times New Roman" w:hAnsi="Times New Roman" w:eastAsia="宋体" w:cs="Times New Roman"/>
          <w:b/>
          <w:sz w:val="24"/>
        </w:rPr>
      </w:pPr>
      <w:r>
        <w:rPr>
          <w:rFonts w:ascii="Times New Roman" w:hAnsi="Times New Roman" w:eastAsia="宋体" w:cs="Times New Roman"/>
          <w:sz w:val="24"/>
        </w:rPr>
        <w:br w:type="page"/>
      </w: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章程签字页]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公司：</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${agreement["jvObj"].JVName}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«${agreement[»</w:t>
      </w:r>
      <w:r>
        <w:rPr>
          <w:rFonts w:hint="eastAsia" w:ascii="Times New Roman" w:hAnsi="Times New Roman" w:eastAsia="宋体" w:cs="Times New Roman"/>
          <w:sz w:val="24"/>
        </w:rPr>
        <w:fldChar w:fldCharType="end"/>
      </w:r>
      <w:r>
        <w:rPr>
          <w:rFonts w:hint="eastAsia" w:ascii="Times New Roman" w:hAnsi="Times New Roman" w:eastAsia="宋体" w:cs="Times New Roman"/>
          <w:b/>
          <w:sz w:val="24"/>
        </w:rPr>
        <w:t>（盖章）</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法定代表人：【】</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p>
    <w:sectPr>
      <w:footerReference r:id="rId5" w:type="default"/>
      <w:pgSz w:w="11905" w:h="16840"/>
      <w:pgMar w:top="840" w:right="1165" w:bottom="940" w:left="1660" w:header="420" w:footer="720" w:gutter="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Yu Gothic UI">
    <w:altName w:val="Meiryo UI"/>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Meiryo UI">
    <w:panose1 w:val="020B0604030504040204"/>
    <w:charset w:val="80"/>
    <w:family w:val="auto"/>
    <w:pitch w:val="default"/>
    <w:sig w:usb0="E00002FF" w:usb1="6AC7FFFF" w:usb2="08000012" w:usb3="00000000" w:csb0="6002009F" w:csb1="DFD7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es New">
    <w:altName w:val="Times New Roman"/>
    <w:panose1 w:val="00000000000000000000"/>
    <w:charset w:val="00"/>
    <w:family w:val="auto"/>
    <w:pitch w:val="default"/>
    <w:sig w:usb0="00000000" w:usb1="00000000" w:usb2="00000000" w:usb3="00000000" w:csb0="00000000" w:csb1="00000000"/>
  </w:font>
  <w:font w:name="Time New Rom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5763"/>
    <w:multiLevelType w:val="multilevel"/>
    <w:tmpl w:val="59ED5763"/>
    <w:lvl w:ilvl="0" w:tentative="0">
      <w:start w:val="1"/>
      <w:numFmt w:val="decimal"/>
      <w:lvlText w:val="第%1条"/>
      <w:lvlJc w:val="left"/>
      <w:pPr>
        <w:tabs>
          <w:tab w:val="left" w:pos="420"/>
        </w:tabs>
        <w:ind w:left="0" w:firstLine="402"/>
      </w:pPr>
      <w:rPr>
        <w:rFonts w:hint="default" w:ascii="宋体" w:hAnsi="宋体" w:eastAsia="宋体" w:cs="宋体"/>
      </w:rPr>
    </w:lvl>
    <w:lvl w:ilvl="1" w:tentative="0">
      <w:start w:val="1"/>
      <w:numFmt w:val="decimal"/>
      <w:lvlText w:val="%1.%2"/>
      <w:lvlJc w:val="left"/>
      <w:pPr>
        <w:tabs>
          <w:tab w:val="left" w:pos="0"/>
        </w:tabs>
        <w:ind w:left="0" w:firstLine="0"/>
      </w:pPr>
      <w:rPr>
        <w:rFonts w:hint="default" w:ascii="Times New Roman" w:hAnsi="Times New Roman" w:eastAsia="宋体" w:cs="Times New Roman"/>
      </w:rPr>
    </w:lvl>
    <w:lvl w:ilvl="2" w:tentative="0">
      <w:start w:val="1"/>
      <w:numFmt w:val="decimal"/>
      <w:suff w:val="nothing"/>
      <w:lvlText w:val="%3．"/>
      <w:lvlJc w:val="left"/>
      <w:pPr>
        <w:tabs>
          <w:tab w:val="left" w:pos="0"/>
        </w:tabs>
        <w:ind w:left="0" w:firstLine="402"/>
      </w:pPr>
      <w:rPr>
        <w:rFonts w:hint="default"/>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59EEA156"/>
    <w:multiLevelType w:val="multilevel"/>
    <w:tmpl w:val="59EEA15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9EEA3EB"/>
    <w:multiLevelType w:val="multilevel"/>
    <w:tmpl w:val="59EEA3E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9EEA404"/>
    <w:multiLevelType w:val="multilevel"/>
    <w:tmpl w:val="59EEA4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9EEDB0D"/>
    <w:multiLevelType w:val="multilevel"/>
    <w:tmpl w:val="59EEDB0D"/>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5">
    <w:nsid w:val="59EEDB1E"/>
    <w:multiLevelType w:val="multilevel"/>
    <w:tmpl w:val="59EEDB1E"/>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6">
    <w:nsid w:val="59EEDC9C"/>
    <w:multiLevelType w:val="multilevel"/>
    <w:tmpl w:val="59EEDC9C"/>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9EEDCAB"/>
    <w:multiLevelType w:val="multilevel"/>
    <w:tmpl w:val="59EEDCA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8">
    <w:nsid w:val="59EEDCBB"/>
    <w:multiLevelType w:val="multilevel"/>
    <w:tmpl w:val="59EEDCB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9">
    <w:nsid w:val="59EEDCCA"/>
    <w:multiLevelType w:val="multilevel"/>
    <w:tmpl w:val="59EEDCCA"/>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59EEDCD9"/>
    <w:multiLevelType w:val="multilevel"/>
    <w:tmpl w:val="59EEDCD9"/>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1">
    <w:nsid w:val="59EEDCE7"/>
    <w:multiLevelType w:val="multilevel"/>
    <w:tmpl w:val="59EEDCE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2">
    <w:nsid w:val="59EEDCF6"/>
    <w:multiLevelType w:val="multilevel"/>
    <w:tmpl w:val="59EEDCF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3">
    <w:nsid w:val="59EEDD04"/>
    <w:multiLevelType w:val="multilevel"/>
    <w:tmpl w:val="59EEDD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4">
    <w:nsid w:val="59EEDD12"/>
    <w:multiLevelType w:val="multilevel"/>
    <w:tmpl w:val="59EEDD12"/>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5">
    <w:nsid w:val="59EEDD21"/>
    <w:multiLevelType w:val="multilevel"/>
    <w:tmpl w:val="59EEDD21"/>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6">
    <w:nsid w:val="59EEDD2F"/>
    <w:multiLevelType w:val="multilevel"/>
    <w:tmpl w:val="59EEDD2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7">
    <w:nsid w:val="59EEDD3F"/>
    <w:multiLevelType w:val="multilevel"/>
    <w:tmpl w:val="59EEDD3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8">
    <w:nsid w:val="59EEDD4D"/>
    <w:multiLevelType w:val="multilevel"/>
    <w:tmpl w:val="59EEDD4D"/>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59EEDD5C"/>
    <w:multiLevelType w:val="multilevel"/>
    <w:tmpl w:val="59EEDD5C"/>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0">
    <w:nsid w:val="59EEDD7C"/>
    <w:multiLevelType w:val="multilevel"/>
    <w:tmpl w:val="59EEDD7C"/>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1">
    <w:nsid w:val="59EEDDAB"/>
    <w:multiLevelType w:val="multilevel"/>
    <w:tmpl w:val="59EEDDA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2">
    <w:nsid w:val="59EEE945"/>
    <w:multiLevelType w:val="multilevel"/>
    <w:tmpl w:val="59EEE945"/>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3">
    <w:nsid w:val="59F061CF"/>
    <w:multiLevelType w:val="multilevel"/>
    <w:tmpl w:val="59F061C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4">
    <w:nsid w:val="6B887FAC"/>
    <w:multiLevelType w:val="multilevel"/>
    <w:tmpl w:val="6B887FAC"/>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num w:numId="1">
    <w:abstractNumId w:val="0"/>
  </w:num>
  <w:num w:numId="2">
    <w:abstractNumId w:val="2"/>
  </w:num>
  <w:num w:numId="3">
    <w:abstractNumId w:val="22"/>
  </w:num>
  <w:num w:numId="4">
    <w:abstractNumId w:val="21"/>
  </w:num>
  <w:num w:numId="5">
    <w:abstractNumId w:val="1"/>
  </w:num>
  <w:num w:numId="6">
    <w:abstractNumId w:val="23"/>
  </w:num>
  <w:num w:numId="7">
    <w:abstractNumId w:val="20"/>
  </w:num>
  <w:num w:numId="8">
    <w:abstractNumId w:val="3"/>
  </w:num>
  <w:num w:numId="9">
    <w:abstractNumId w:val="24"/>
  </w:num>
  <w:num w:numId="10">
    <w:abstractNumId w:val="4"/>
  </w:num>
  <w:num w:numId="11">
    <w:abstractNumId w:val="5"/>
  </w:num>
  <w:num w:numId="12">
    <w:abstractNumId w:val="19"/>
  </w:num>
  <w:num w:numId="13">
    <w:abstractNumId w:val="18"/>
  </w:num>
  <w:num w:numId="14">
    <w:abstractNumId w:val="17"/>
  </w:num>
  <w:num w:numId="15">
    <w:abstractNumId w:val="16"/>
  </w:num>
  <w:num w:numId="16">
    <w:abstractNumId w:val="15"/>
  </w:num>
  <w:num w:numId="17">
    <w:abstractNumId w:val="14"/>
  </w:num>
  <w:num w:numId="18">
    <w:abstractNumId w:val="13"/>
  </w:num>
  <w:num w:numId="19">
    <w:abstractNumId w:val="12"/>
  </w:num>
  <w:num w:numId="20">
    <w:abstractNumId w:val="11"/>
  </w:num>
  <w:num w:numId="21">
    <w:abstractNumId w:val="10"/>
  </w:num>
  <w:num w:numId="22">
    <w:abstractNumId w:val="9"/>
  </w:num>
  <w:num w:numId="23">
    <w:abstractNumId w:val="8"/>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45"/>
    <w:rsid w:val="000000D5"/>
    <w:rsid w:val="0000041F"/>
    <w:rsid w:val="00001487"/>
    <w:rsid w:val="00001593"/>
    <w:rsid w:val="00001762"/>
    <w:rsid w:val="00002761"/>
    <w:rsid w:val="00003265"/>
    <w:rsid w:val="000033CB"/>
    <w:rsid w:val="00003FC9"/>
    <w:rsid w:val="00004573"/>
    <w:rsid w:val="00004F9C"/>
    <w:rsid w:val="000055AC"/>
    <w:rsid w:val="00005A42"/>
    <w:rsid w:val="00005BC9"/>
    <w:rsid w:val="000067EF"/>
    <w:rsid w:val="00006EE7"/>
    <w:rsid w:val="00007901"/>
    <w:rsid w:val="000105D4"/>
    <w:rsid w:val="00010CF0"/>
    <w:rsid w:val="00011179"/>
    <w:rsid w:val="000111C0"/>
    <w:rsid w:val="000117B0"/>
    <w:rsid w:val="00011B82"/>
    <w:rsid w:val="00011E49"/>
    <w:rsid w:val="00011E9B"/>
    <w:rsid w:val="00012C0A"/>
    <w:rsid w:val="00012C1C"/>
    <w:rsid w:val="00012DBD"/>
    <w:rsid w:val="00013130"/>
    <w:rsid w:val="00013819"/>
    <w:rsid w:val="00013B15"/>
    <w:rsid w:val="00014656"/>
    <w:rsid w:val="000149F3"/>
    <w:rsid w:val="00014AD2"/>
    <w:rsid w:val="00014AE0"/>
    <w:rsid w:val="00015A89"/>
    <w:rsid w:val="00015D34"/>
    <w:rsid w:val="00016DA1"/>
    <w:rsid w:val="00017620"/>
    <w:rsid w:val="000179FC"/>
    <w:rsid w:val="0002097B"/>
    <w:rsid w:val="00020B57"/>
    <w:rsid w:val="00020DB9"/>
    <w:rsid w:val="000214D5"/>
    <w:rsid w:val="0002169E"/>
    <w:rsid w:val="000218A3"/>
    <w:rsid w:val="0002334F"/>
    <w:rsid w:val="0002347C"/>
    <w:rsid w:val="00024213"/>
    <w:rsid w:val="00024804"/>
    <w:rsid w:val="00024E72"/>
    <w:rsid w:val="00024ECA"/>
    <w:rsid w:val="00025095"/>
    <w:rsid w:val="00025504"/>
    <w:rsid w:val="00025A3B"/>
    <w:rsid w:val="00025AD9"/>
    <w:rsid w:val="00025DC5"/>
    <w:rsid w:val="00025E95"/>
    <w:rsid w:val="00026581"/>
    <w:rsid w:val="0002662C"/>
    <w:rsid w:val="00026A75"/>
    <w:rsid w:val="00027954"/>
    <w:rsid w:val="00027B42"/>
    <w:rsid w:val="000300D1"/>
    <w:rsid w:val="0003111F"/>
    <w:rsid w:val="000319B0"/>
    <w:rsid w:val="00032074"/>
    <w:rsid w:val="00032D1E"/>
    <w:rsid w:val="00033652"/>
    <w:rsid w:val="00033705"/>
    <w:rsid w:val="00033C6E"/>
    <w:rsid w:val="000340CC"/>
    <w:rsid w:val="000343C7"/>
    <w:rsid w:val="0003478F"/>
    <w:rsid w:val="00035363"/>
    <w:rsid w:val="000354B9"/>
    <w:rsid w:val="0003636C"/>
    <w:rsid w:val="0003639C"/>
    <w:rsid w:val="00036C74"/>
    <w:rsid w:val="00036FF2"/>
    <w:rsid w:val="000400B8"/>
    <w:rsid w:val="00040110"/>
    <w:rsid w:val="000404B2"/>
    <w:rsid w:val="0004056B"/>
    <w:rsid w:val="0004109D"/>
    <w:rsid w:val="00041854"/>
    <w:rsid w:val="00041B25"/>
    <w:rsid w:val="00041D4B"/>
    <w:rsid w:val="00041D4D"/>
    <w:rsid w:val="00041F96"/>
    <w:rsid w:val="0004252C"/>
    <w:rsid w:val="000426E0"/>
    <w:rsid w:val="00042FB0"/>
    <w:rsid w:val="00042FBE"/>
    <w:rsid w:val="0004455A"/>
    <w:rsid w:val="00045092"/>
    <w:rsid w:val="00045822"/>
    <w:rsid w:val="00045A3D"/>
    <w:rsid w:val="000463E9"/>
    <w:rsid w:val="000468C0"/>
    <w:rsid w:val="0004691A"/>
    <w:rsid w:val="00046CBB"/>
    <w:rsid w:val="00047F5E"/>
    <w:rsid w:val="000501C7"/>
    <w:rsid w:val="000509B3"/>
    <w:rsid w:val="00050DC8"/>
    <w:rsid w:val="00051073"/>
    <w:rsid w:val="0005118D"/>
    <w:rsid w:val="00051504"/>
    <w:rsid w:val="0005179C"/>
    <w:rsid w:val="00051B2F"/>
    <w:rsid w:val="000524A9"/>
    <w:rsid w:val="00052864"/>
    <w:rsid w:val="000528A8"/>
    <w:rsid w:val="00052A11"/>
    <w:rsid w:val="00052EBE"/>
    <w:rsid w:val="000531E6"/>
    <w:rsid w:val="000531EE"/>
    <w:rsid w:val="00053786"/>
    <w:rsid w:val="00054D4D"/>
    <w:rsid w:val="00054F98"/>
    <w:rsid w:val="000556E5"/>
    <w:rsid w:val="0005585F"/>
    <w:rsid w:val="000558AD"/>
    <w:rsid w:val="0005632C"/>
    <w:rsid w:val="000565EB"/>
    <w:rsid w:val="00056646"/>
    <w:rsid w:val="00056D51"/>
    <w:rsid w:val="00056EB2"/>
    <w:rsid w:val="00056F86"/>
    <w:rsid w:val="00056FC7"/>
    <w:rsid w:val="0005793C"/>
    <w:rsid w:val="00057950"/>
    <w:rsid w:val="00060334"/>
    <w:rsid w:val="000607B9"/>
    <w:rsid w:val="00060E18"/>
    <w:rsid w:val="0006121B"/>
    <w:rsid w:val="0006166E"/>
    <w:rsid w:val="00061722"/>
    <w:rsid w:val="000617F5"/>
    <w:rsid w:val="00061BA8"/>
    <w:rsid w:val="00061DE7"/>
    <w:rsid w:val="00062776"/>
    <w:rsid w:val="000627CE"/>
    <w:rsid w:val="00062858"/>
    <w:rsid w:val="000628BF"/>
    <w:rsid w:val="00063219"/>
    <w:rsid w:val="00063288"/>
    <w:rsid w:val="00064B7D"/>
    <w:rsid w:val="00064D27"/>
    <w:rsid w:val="00064D29"/>
    <w:rsid w:val="00064DAA"/>
    <w:rsid w:val="00064DAC"/>
    <w:rsid w:val="00064E8E"/>
    <w:rsid w:val="00065B49"/>
    <w:rsid w:val="0006677A"/>
    <w:rsid w:val="000668B2"/>
    <w:rsid w:val="00067C21"/>
    <w:rsid w:val="00070704"/>
    <w:rsid w:val="00070966"/>
    <w:rsid w:val="000710EE"/>
    <w:rsid w:val="0007159A"/>
    <w:rsid w:val="000718ED"/>
    <w:rsid w:val="00071AB2"/>
    <w:rsid w:val="00072FD8"/>
    <w:rsid w:val="000731DE"/>
    <w:rsid w:val="000734EF"/>
    <w:rsid w:val="00073C41"/>
    <w:rsid w:val="00074857"/>
    <w:rsid w:val="00074A65"/>
    <w:rsid w:val="000751D4"/>
    <w:rsid w:val="00075654"/>
    <w:rsid w:val="00075C10"/>
    <w:rsid w:val="00075C91"/>
    <w:rsid w:val="00075E4B"/>
    <w:rsid w:val="00075F34"/>
    <w:rsid w:val="00075F64"/>
    <w:rsid w:val="00076160"/>
    <w:rsid w:val="00076801"/>
    <w:rsid w:val="00076D5F"/>
    <w:rsid w:val="00076F63"/>
    <w:rsid w:val="0007735A"/>
    <w:rsid w:val="00077361"/>
    <w:rsid w:val="000776C2"/>
    <w:rsid w:val="000778E9"/>
    <w:rsid w:val="000779BD"/>
    <w:rsid w:val="00077A62"/>
    <w:rsid w:val="0008010E"/>
    <w:rsid w:val="0008083A"/>
    <w:rsid w:val="000809DB"/>
    <w:rsid w:val="00080A03"/>
    <w:rsid w:val="00080F11"/>
    <w:rsid w:val="00081145"/>
    <w:rsid w:val="00081397"/>
    <w:rsid w:val="00081788"/>
    <w:rsid w:val="00081853"/>
    <w:rsid w:val="00082AFF"/>
    <w:rsid w:val="00082F20"/>
    <w:rsid w:val="00083451"/>
    <w:rsid w:val="0008422A"/>
    <w:rsid w:val="000847E4"/>
    <w:rsid w:val="00084975"/>
    <w:rsid w:val="00084A4A"/>
    <w:rsid w:val="00084F7A"/>
    <w:rsid w:val="00085730"/>
    <w:rsid w:val="00085754"/>
    <w:rsid w:val="00085F7E"/>
    <w:rsid w:val="0008608B"/>
    <w:rsid w:val="00086106"/>
    <w:rsid w:val="00086F8D"/>
    <w:rsid w:val="00087419"/>
    <w:rsid w:val="0008741C"/>
    <w:rsid w:val="00090088"/>
    <w:rsid w:val="0009061F"/>
    <w:rsid w:val="00090DF0"/>
    <w:rsid w:val="00090FB7"/>
    <w:rsid w:val="00090FD5"/>
    <w:rsid w:val="00090FF8"/>
    <w:rsid w:val="000918BA"/>
    <w:rsid w:val="00092762"/>
    <w:rsid w:val="00093ABE"/>
    <w:rsid w:val="0009474E"/>
    <w:rsid w:val="00094A33"/>
    <w:rsid w:val="00094AD5"/>
    <w:rsid w:val="0009507F"/>
    <w:rsid w:val="00095133"/>
    <w:rsid w:val="00095217"/>
    <w:rsid w:val="0009589A"/>
    <w:rsid w:val="0009599B"/>
    <w:rsid w:val="000959DF"/>
    <w:rsid w:val="00096894"/>
    <w:rsid w:val="00097552"/>
    <w:rsid w:val="000977A0"/>
    <w:rsid w:val="000A00B8"/>
    <w:rsid w:val="000A0566"/>
    <w:rsid w:val="000A05F8"/>
    <w:rsid w:val="000A0C65"/>
    <w:rsid w:val="000A0CC2"/>
    <w:rsid w:val="000A0D40"/>
    <w:rsid w:val="000A1008"/>
    <w:rsid w:val="000A1CE9"/>
    <w:rsid w:val="000A20AD"/>
    <w:rsid w:val="000A2E53"/>
    <w:rsid w:val="000A360E"/>
    <w:rsid w:val="000A3A8A"/>
    <w:rsid w:val="000A3F66"/>
    <w:rsid w:val="000A4428"/>
    <w:rsid w:val="000A4D18"/>
    <w:rsid w:val="000A5EE6"/>
    <w:rsid w:val="000A63F5"/>
    <w:rsid w:val="000A6853"/>
    <w:rsid w:val="000A7249"/>
    <w:rsid w:val="000A7531"/>
    <w:rsid w:val="000A76E1"/>
    <w:rsid w:val="000B05A0"/>
    <w:rsid w:val="000B094E"/>
    <w:rsid w:val="000B1380"/>
    <w:rsid w:val="000B16DD"/>
    <w:rsid w:val="000B251F"/>
    <w:rsid w:val="000B2FCE"/>
    <w:rsid w:val="000B3024"/>
    <w:rsid w:val="000B3928"/>
    <w:rsid w:val="000B39A7"/>
    <w:rsid w:val="000B50A9"/>
    <w:rsid w:val="000B5472"/>
    <w:rsid w:val="000B603A"/>
    <w:rsid w:val="000B74ED"/>
    <w:rsid w:val="000B7820"/>
    <w:rsid w:val="000B7C5D"/>
    <w:rsid w:val="000B7D0B"/>
    <w:rsid w:val="000C01E2"/>
    <w:rsid w:val="000C0E09"/>
    <w:rsid w:val="000C180B"/>
    <w:rsid w:val="000C1A18"/>
    <w:rsid w:val="000C1EAF"/>
    <w:rsid w:val="000C2530"/>
    <w:rsid w:val="000C273F"/>
    <w:rsid w:val="000C3669"/>
    <w:rsid w:val="000C4380"/>
    <w:rsid w:val="000C519B"/>
    <w:rsid w:val="000C5320"/>
    <w:rsid w:val="000C58BB"/>
    <w:rsid w:val="000C594E"/>
    <w:rsid w:val="000C5C12"/>
    <w:rsid w:val="000C6E0D"/>
    <w:rsid w:val="000C71BE"/>
    <w:rsid w:val="000C745B"/>
    <w:rsid w:val="000C77D3"/>
    <w:rsid w:val="000C7847"/>
    <w:rsid w:val="000C7AC1"/>
    <w:rsid w:val="000C7ADE"/>
    <w:rsid w:val="000C7B3A"/>
    <w:rsid w:val="000C7D30"/>
    <w:rsid w:val="000D01EB"/>
    <w:rsid w:val="000D0CB5"/>
    <w:rsid w:val="000D1062"/>
    <w:rsid w:val="000D119A"/>
    <w:rsid w:val="000D11DC"/>
    <w:rsid w:val="000D193D"/>
    <w:rsid w:val="000D1BEE"/>
    <w:rsid w:val="000D26D6"/>
    <w:rsid w:val="000D274A"/>
    <w:rsid w:val="000D27E6"/>
    <w:rsid w:val="000D294A"/>
    <w:rsid w:val="000D2FAF"/>
    <w:rsid w:val="000D374E"/>
    <w:rsid w:val="000D3872"/>
    <w:rsid w:val="000D3BC5"/>
    <w:rsid w:val="000D3E66"/>
    <w:rsid w:val="000D3EEC"/>
    <w:rsid w:val="000D448B"/>
    <w:rsid w:val="000D4571"/>
    <w:rsid w:val="000D4FD6"/>
    <w:rsid w:val="000D5C7A"/>
    <w:rsid w:val="000D5EFC"/>
    <w:rsid w:val="000D62C2"/>
    <w:rsid w:val="000D6425"/>
    <w:rsid w:val="000D7A15"/>
    <w:rsid w:val="000D7B03"/>
    <w:rsid w:val="000D7E9E"/>
    <w:rsid w:val="000D7FA5"/>
    <w:rsid w:val="000E02EA"/>
    <w:rsid w:val="000E0FAC"/>
    <w:rsid w:val="000E12C5"/>
    <w:rsid w:val="000E18EB"/>
    <w:rsid w:val="000E19A7"/>
    <w:rsid w:val="000E1AAE"/>
    <w:rsid w:val="000E2357"/>
    <w:rsid w:val="000E23D9"/>
    <w:rsid w:val="000E260D"/>
    <w:rsid w:val="000E289B"/>
    <w:rsid w:val="000E28F4"/>
    <w:rsid w:val="000E2C2C"/>
    <w:rsid w:val="000E3570"/>
    <w:rsid w:val="000E35AA"/>
    <w:rsid w:val="000E4B9F"/>
    <w:rsid w:val="000E4CB0"/>
    <w:rsid w:val="000E4F25"/>
    <w:rsid w:val="000E5160"/>
    <w:rsid w:val="000E615E"/>
    <w:rsid w:val="000E6793"/>
    <w:rsid w:val="000E7AC4"/>
    <w:rsid w:val="000F006D"/>
    <w:rsid w:val="000F0403"/>
    <w:rsid w:val="000F0A79"/>
    <w:rsid w:val="000F0CF4"/>
    <w:rsid w:val="000F2926"/>
    <w:rsid w:val="000F2DA8"/>
    <w:rsid w:val="000F3673"/>
    <w:rsid w:val="000F3F72"/>
    <w:rsid w:val="000F45F9"/>
    <w:rsid w:val="000F4830"/>
    <w:rsid w:val="000F5A9B"/>
    <w:rsid w:val="000F5CFF"/>
    <w:rsid w:val="000F6D54"/>
    <w:rsid w:val="000F6E1F"/>
    <w:rsid w:val="000F70E1"/>
    <w:rsid w:val="000F752F"/>
    <w:rsid w:val="000F7A9B"/>
    <w:rsid w:val="000F7C34"/>
    <w:rsid w:val="00100EE5"/>
    <w:rsid w:val="001012A4"/>
    <w:rsid w:val="00101C61"/>
    <w:rsid w:val="00102222"/>
    <w:rsid w:val="0010237B"/>
    <w:rsid w:val="001033D5"/>
    <w:rsid w:val="001037D9"/>
    <w:rsid w:val="00104113"/>
    <w:rsid w:val="00105009"/>
    <w:rsid w:val="00105436"/>
    <w:rsid w:val="0010563B"/>
    <w:rsid w:val="00106D48"/>
    <w:rsid w:val="00106ECB"/>
    <w:rsid w:val="00107105"/>
    <w:rsid w:val="001079AF"/>
    <w:rsid w:val="001101CB"/>
    <w:rsid w:val="001105B0"/>
    <w:rsid w:val="00110C47"/>
    <w:rsid w:val="00111414"/>
    <w:rsid w:val="00111FAF"/>
    <w:rsid w:val="00112448"/>
    <w:rsid w:val="00112A55"/>
    <w:rsid w:val="00112B1C"/>
    <w:rsid w:val="00113750"/>
    <w:rsid w:val="001137A1"/>
    <w:rsid w:val="001138E9"/>
    <w:rsid w:val="0011465E"/>
    <w:rsid w:val="00114786"/>
    <w:rsid w:val="00114BC8"/>
    <w:rsid w:val="00114F1C"/>
    <w:rsid w:val="0011552B"/>
    <w:rsid w:val="001155E3"/>
    <w:rsid w:val="0011588D"/>
    <w:rsid w:val="0011593A"/>
    <w:rsid w:val="001161E0"/>
    <w:rsid w:val="00116473"/>
    <w:rsid w:val="001169AC"/>
    <w:rsid w:val="001169DD"/>
    <w:rsid w:val="00116DF7"/>
    <w:rsid w:val="00116EBB"/>
    <w:rsid w:val="001170D5"/>
    <w:rsid w:val="00117419"/>
    <w:rsid w:val="00120B5F"/>
    <w:rsid w:val="00120B71"/>
    <w:rsid w:val="001212B4"/>
    <w:rsid w:val="00121632"/>
    <w:rsid w:val="00121EB4"/>
    <w:rsid w:val="00121FA0"/>
    <w:rsid w:val="001220D1"/>
    <w:rsid w:val="001224DF"/>
    <w:rsid w:val="001229F7"/>
    <w:rsid w:val="00122DB8"/>
    <w:rsid w:val="00122EA0"/>
    <w:rsid w:val="00123B8D"/>
    <w:rsid w:val="00123F21"/>
    <w:rsid w:val="001247B5"/>
    <w:rsid w:val="00124BDF"/>
    <w:rsid w:val="00124EC7"/>
    <w:rsid w:val="001250B0"/>
    <w:rsid w:val="00126761"/>
    <w:rsid w:val="0012683E"/>
    <w:rsid w:val="001268CC"/>
    <w:rsid w:val="00126A13"/>
    <w:rsid w:val="00126A44"/>
    <w:rsid w:val="00126B52"/>
    <w:rsid w:val="00126F01"/>
    <w:rsid w:val="00130BC0"/>
    <w:rsid w:val="00131CFB"/>
    <w:rsid w:val="00131D37"/>
    <w:rsid w:val="001327DF"/>
    <w:rsid w:val="00135B2D"/>
    <w:rsid w:val="00137475"/>
    <w:rsid w:val="00137E50"/>
    <w:rsid w:val="001407EB"/>
    <w:rsid w:val="00140AA5"/>
    <w:rsid w:val="001414F3"/>
    <w:rsid w:val="001414FE"/>
    <w:rsid w:val="0014169B"/>
    <w:rsid w:val="001424DF"/>
    <w:rsid w:val="00142515"/>
    <w:rsid w:val="00142B3C"/>
    <w:rsid w:val="00142BE6"/>
    <w:rsid w:val="00143B82"/>
    <w:rsid w:val="00143FF1"/>
    <w:rsid w:val="001442BE"/>
    <w:rsid w:val="00144518"/>
    <w:rsid w:val="001445A2"/>
    <w:rsid w:val="001446CF"/>
    <w:rsid w:val="0014501E"/>
    <w:rsid w:val="0014521F"/>
    <w:rsid w:val="001452D2"/>
    <w:rsid w:val="00147061"/>
    <w:rsid w:val="001474F6"/>
    <w:rsid w:val="00147CF2"/>
    <w:rsid w:val="00150134"/>
    <w:rsid w:val="0015013C"/>
    <w:rsid w:val="001501DF"/>
    <w:rsid w:val="00150732"/>
    <w:rsid w:val="00150809"/>
    <w:rsid w:val="00150C20"/>
    <w:rsid w:val="00150D0E"/>
    <w:rsid w:val="00150EA9"/>
    <w:rsid w:val="00151218"/>
    <w:rsid w:val="00152AC1"/>
    <w:rsid w:val="00152C17"/>
    <w:rsid w:val="00152C98"/>
    <w:rsid w:val="001530A0"/>
    <w:rsid w:val="00153234"/>
    <w:rsid w:val="00153E12"/>
    <w:rsid w:val="00154B72"/>
    <w:rsid w:val="0015501A"/>
    <w:rsid w:val="00155731"/>
    <w:rsid w:val="00155C37"/>
    <w:rsid w:val="00155C77"/>
    <w:rsid w:val="00155EFB"/>
    <w:rsid w:val="00156C5D"/>
    <w:rsid w:val="00156C8E"/>
    <w:rsid w:val="00157223"/>
    <w:rsid w:val="00157452"/>
    <w:rsid w:val="00157489"/>
    <w:rsid w:val="0015763B"/>
    <w:rsid w:val="00157713"/>
    <w:rsid w:val="0015780D"/>
    <w:rsid w:val="00157A29"/>
    <w:rsid w:val="00157F25"/>
    <w:rsid w:val="00160FE6"/>
    <w:rsid w:val="00161060"/>
    <w:rsid w:val="001610CB"/>
    <w:rsid w:val="001615CA"/>
    <w:rsid w:val="001617B3"/>
    <w:rsid w:val="00161E37"/>
    <w:rsid w:val="0016246F"/>
    <w:rsid w:val="001628EF"/>
    <w:rsid w:val="001635B2"/>
    <w:rsid w:val="00163D0E"/>
    <w:rsid w:val="0016403B"/>
    <w:rsid w:val="001644AB"/>
    <w:rsid w:val="001652B4"/>
    <w:rsid w:val="001657D7"/>
    <w:rsid w:val="00165835"/>
    <w:rsid w:val="00165C71"/>
    <w:rsid w:val="00166E57"/>
    <w:rsid w:val="00167060"/>
    <w:rsid w:val="00167496"/>
    <w:rsid w:val="0016758B"/>
    <w:rsid w:val="00167827"/>
    <w:rsid w:val="00167919"/>
    <w:rsid w:val="00167B63"/>
    <w:rsid w:val="00167F69"/>
    <w:rsid w:val="0017058E"/>
    <w:rsid w:val="00171A0F"/>
    <w:rsid w:val="00171BAF"/>
    <w:rsid w:val="00173D59"/>
    <w:rsid w:val="001745E1"/>
    <w:rsid w:val="00174BCE"/>
    <w:rsid w:val="00174C9F"/>
    <w:rsid w:val="00174EE5"/>
    <w:rsid w:val="0017526A"/>
    <w:rsid w:val="00175357"/>
    <w:rsid w:val="001768AE"/>
    <w:rsid w:val="00176A49"/>
    <w:rsid w:val="00176D2E"/>
    <w:rsid w:val="00180278"/>
    <w:rsid w:val="00180696"/>
    <w:rsid w:val="00180F53"/>
    <w:rsid w:val="001811FF"/>
    <w:rsid w:val="00181521"/>
    <w:rsid w:val="00181BD3"/>
    <w:rsid w:val="00182232"/>
    <w:rsid w:val="001822A4"/>
    <w:rsid w:val="00183A8D"/>
    <w:rsid w:val="00183AB1"/>
    <w:rsid w:val="001842A8"/>
    <w:rsid w:val="00184B07"/>
    <w:rsid w:val="00184F26"/>
    <w:rsid w:val="001852A9"/>
    <w:rsid w:val="00185678"/>
    <w:rsid w:val="00185750"/>
    <w:rsid w:val="001858CA"/>
    <w:rsid w:val="001859AE"/>
    <w:rsid w:val="00185A4E"/>
    <w:rsid w:val="00186056"/>
    <w:rsid w:val="001861CE"/>
    <w:rsid w:val="00186779"/>
    <w:rsid w:val="00186CAB"/>
    <w:rsid w:val="001873CE"/>
    <w:rsid w:val="00187683"/>
    <w:rsid w:val="00187D81"/>
    <w:rsid w:val="0019000F"/>
    <w:rsid w:val="00190413"/>
    <w:rsid w:val="00190F8E"/>
    <w:rsid w:val="0019176B"/>
    <w:rsid w:val="001917EB"/>
    <w:rsid w:val="00191FD3"/>
    <w:rsid w:val="0019255E"/>
    <w:rsid w:val="001927D3"/>
    <w:rsid w:val="00192A78"/>
    <w:rsid w:val="00192F1A"/>
    <w:rsid w:val="00192F83"/>
    <w:rsid w:val="00193A55"/>
    <w:rsid w:val="00194735"/>
    <w:rsid w:val="00194C3F"/>
    <w:rsid w:val="00195542"/>
    <w:rsid w:val="00195B16"/>
    <w:rsid w:val="00195B9A"/>
    <w:rsid w:val="00195BDB"/>
    <w:rsid w:val="00195CBE"/>
    <w:rsid w:val="00195CCF"/>
    <w:rsid w:val="00196C0F"/>
    <w:rsid w:val="001975FD"/>
    <w:rsid w:val="001A0FB0"/>
    <w:rsid w:val="001A1A24"/>
    <w:rsid w:val="001A1A25"/>
    <w:rsid w:val="001A1EED"/>
    <w:rsid w:val="001A1F9A"/>
    <w:rsid w:val="001A2549"/>
    <w:rsid w:val="001A28FE"/>
    <w:rsid w:val="001A3110"/>
    <w:rsid w:val="001A45DF"/>
    <w:rsid w:val="001A46AF"/>
    <w:rsid w:val="001A49C5"/>
    <w:rsid w:val="001A5802"/>
    <w:rsid w:val="001A64F7"/>
    <w:rsid w:val="001A6FC1"/>
    <w:rsid w:val="001A7897"/>
    <w:rsid w:val="001B00AC"/>
    <w:rsid w:val="001B0123"/>
    <w:rsid w:val="001B013C"/>
    <w:rsid w:val="001B0630"/>
    <w:rsid w:val="001B0680"/>
    <w:rsid w:val="001B1353"/>
    <w:rsid w:val="001B15CA"/>
    <w:rsid w:val="001B1782"/>
    <w:rsid w:val="001B1890"/>
    <w:rsid w:val="001B1C1B"/>
    <w:rsid w:val="001B1C57"/>
    <w:rsid w:val="001B21B3"/>
    <w:rsid w:val="001B2C44"/>
    <w:rsid w:val="001B3361"/>
    <w:rsid w:val="001B40DA"/>
    <w:rsid w:val="001B466C"/>
    <w:rsid w:val="001B4E46"/>
    <w:rsid w:val="001B5754"/>
    <w:rsid w:val="001B57BA"/>
    <w:rsid w:val="001B6366"/>
    <w:rsid w:val="001B64D8"/>
    <w:rsid w:val="001B6A0F"/>
    <w:rsid w:val="001B6BE9"/>
    <w:rsid w:val="001B6C05"/>
    <w:rsid w:val="001B6C77"/>
    <w:rsid w:val="001B709A"/>
    <w:rsid w:val="001B73A0"/>
    <w:rsid w:val="001B7A2E"/>
    <w:rsid w:val="001C045E"/>
    <w:rsid w:val="001C07FC"/>
    <w:rsid w:val="001C12A3"/>
    <w:rsid w:val="001C26CA"/>
    <w:rsid w:val="001C2894"/>
    <w:rsid w:val="001C2A1F"/>
    <w:rsid w:val="001C2C0D"/>
    <w:rsid w:val="001C2C30"/>
    <w:rsid w:val="001C3144"/>
    <w:rsid w:val="001C406F"/>
    <w:rsid w:val="001C46B6"/>
    <w:rsid w:val="001C48D9"/>
    <w:rsid w:val="001C4954"/>
    <w:rsid w:val="001C557C"/>
    <w:rsid w:val="001C5A26"/>
    <w:rsid w:val="001C6495"/>
    <w:rsid w:val="001C6F00"/>
    <w:rsid w:val="001C7140"/>
    <w:rsid w:val="001C7232"/>
    <w:rsid w:val="001C77DE"/>
    <w:rsid w:val="001D030C"/>
    <w:rsid w:val="001D0589"/>
    <w:rsid w:val="001D06AA"/>
    <w:rsid w:val="001D0751"/>
    <w:rsid w:val="001D1249"/>
    <w:rsid w:val="001D1A8C"/>
    <w:rsid w:val="001D24A7"/>
    <w:rsid w:val="001D2C3C"/>
    <w:rsid w:val="001D2F86"/>
    <w:rsid w:val="001D337A"/>
    <w:rsid w:val="001D338B"/>
    <w:rsid w:val="001D3BD1"/>
    <w:rsid w:val="001D3D60"/>
    <w:rsid w:val="001D4E28"/>
    <w:rsid w:val="001D50C3"/>
    <w:rsid w:val="001D526D"/>
    <w:rsid w:val="001D556E"/>
    <w:rsid w:val="001D57EF"/>
    <w:rsid w:val="001D5B75"/>
    <w:rsid w:val="001D6083"/>
    <w:rsid w:val="001D61AC"/>
    <w:rsid w:val="001D659F"/>
    <w:rsid w:val="001D7348"/>
    <w:rsid w:val="001D7596"/>
    <w:rsid w:val="001D76E6"/>
    <w:rsid w:val="001D782D"/>
    <w:rsid w:val="001E0594"/>
    <w:rsid w:val="001E0918"/>
    <w:rsid w:val="001E0F23"/>
    <w:rsid w:val="001E23B1"/>
    <w:rsid w:val="001E27E0"/>
    <w:rsid w:val="001E297F"/>
    <w:rsid w:val="001E2AC6"/>
    <w:rsid w:val="001E3310"/>
    <w:rsid w:val="001E35A9"/>
    <w:rsid w:val="001E37B0"/>
    <w:rsid w:val="001E3EED"/>
    <w:rsid w:val="001E4509"/>
    <w:rsid w:val="001E4E95"/>
    <w:rsid w:val="001E4FDC"/>
    <w:rsid w:val="001E51E2"/>
    <w:rsid w:val="001E577F"/>
    <w:rsid w:val="001E579E"/>
    <w:rsid w:val="001E6B9D"/>
    <w:rsid w:val="001E7149"/>
    <w:rsid w:val="001E7B88"/>
    <w:rsid w:val="001E7D93"/>
    <w:rsid w:val="001F026E"/>
    <w:rsid w:val="001F0486"/>
    <w:rsid w:val="001F093F"/>
    <w:rsid w:val="001F1AAA"/>
    <w:rsid w:val="001F1B48"/>
    <w:rsid w:val="001F1E8A"/>
    <w:rsid w:val="001F2396"/>
    <w:rsid w:val="001F391B"/>
    <w:rsid w:val="001F39DA"/>
    <w:rsid w:val="001F3B6B"/>
    <w:rsid w:val="001F3C19"/>
    <w:rsid w:val="001F4280"/>
    <w:rsid w:val="001F4B17"/>
    <w:rsid w:val="001F4B6C"/>
    <w:rsid w:val="001F4F8E"/>
    <w:rsid w:val="001F5543"/>
    <w:rsid w:val="001F56C9"/>
    <w:rsid w:val="001F5DD6"/>
    <w:rsid w:val="001F5ECE"/>
    <w:rsid w:val="001F61C7"/>
    <w:rsid w:val="001F6E97"/>
    <w:rsid w:val="002000B2"/>
    <w:rsid w:val="00200646"/>
    <w:rsid w:val="002007BB"/>
    <w:rsid w:val="00200B88"/>
    <w:rsid w:val="00202219"/>
    <w:rsid w:val="00202648"/>
    <w:rsid w:val="0020267E"/>
    <w:rsid w:val="00202C75"/>
    <w:rsid w:val="00203C26"/>
    <w:rsid w:val="0020482A"/>
    <w:rsid w:val="00204958"/>
    <w:rsid w:val="00204B07"/>
    <w:rsid w:val="00204F18"/>
    <w:rsid w:val="002053F4"/>
    <w:rsid w:val="002055CD"/>
    <w:rsid w:val="00205866"/>
    <w:rsid w:val="00205CB9"/>
    <w:rsid w:val="002069A1"/>
    <w:rsid w:val="00206AA5"/>
    <w:rsid w:val="00206AA7"/>
    <w:rsid w:val="00206B89"/>
    <w:rsid w:val="00206D5E"/>
    <w:rsid w:val="0020762C"/>
    <w:rsid w:val="002077EC"/>
    <w:rsid w:val="00207DA1"/>
    <w:rsid w:val="0021034E"/>
    <w:rsid w:val="0021055F"/>
    <w:rsid w:val="002108CD"/>
    <w:rsid w:val="002108F5"/>
    <w:rsid w:val="00210CF1"/>
    <w:rsid w:val="002110A0"/>
    <w:rsid w:val="002111E1"/>
    <w:rsid w:val="00211245"/>
    <w:rsid w:val="0021132E"/>
    <w:rsid w:val="00211661"/>
    <w:rsid w:val="00211AA5"/>
    <w:rsid w:val="00211B51"/>
    <w:rsid w:val="002127E3"/>
    <w:rsid w:val="0021348C"/>
    <w:rsid w:val="0021367D"/>
    <w:rsid w:val="0021406C"/>
    <w:rsid w:val="00214384"/>
    <w:rsid w:val="00214C44"/>
    <w:rsid w:val="00214D2A"/>
    <w:rsid w:val="00214EE6"/>
    <w:rsid w:val="0021528F"/>
    <w:rsid w:val="002153E0"/>
    <w:rsid w:val="002163B0"/>
    <w:rsid w:val="002165A8"/>
    <w:rsid w:val="00217B88"/>
    <w:rsid w:val="00217FF7"/>
    <w:rsid w:val="002209F3"/>
    <w:rsid w:val="0022184F"/>
    <w:rsid w:val="00222036"/>
    <w:rsid w:val="00222E94"/>
    <w:rsid w:val="00223512"/>
    <w:rsid w:val="0022422E"/>
    <w:rsid w:val="002247AB"/>
    <w:rsid w:val="0022580F"/>
    <w:rsid w:val="00225BAD"/>
    <w:rsid w:val="00226796"/>
    <w:rsid w:val="00226CCB"/>
    <w:rsid w:val="0022759A"/>
    <w:rsid w:val="00227DDF"/>
    <w:rsid w:val="002301A6"/>
    <w:rsid w:val="00230262"/>
    <w:rsid w:val="00230A90"/>
    <w:rsid w:val="00230C03"/>
    <w:rsid w:val="00230C3C"/>
    <w:rsid w:val="00230D45"/>
    <w:rsid w:val="00231240"/>
    <w:rsid w:val="002315F5"/>
    <w:rsid w:val="00231A67"/>
    <w:rsid w:val="00231CCE"/>
    <w:rsid w:val="00231E87"/>
    <w:rsid w:val="002328E1"/>
    <w:rsid w:val="002338D8"/>
    <w:rsid w:val="00233FF4"/>
    <w:rsid w:val="002342A6"/>
    <w:rsid w:val="002351E5"/>
    <w:rsid w:val="00235E40"/>
    <w:rsid w:val="0023612F"/>
    <w:rsid w:val="00236907"/>
    <w:rsid w:val="00236E1B"/>
    <w:rsid w:val="00236E7F"/>
    <w:rsid w:val="00237016"/>
    <w:rsid w:val="002373C7"/>
    <w:rsid w:val="002378B5"/>
    <w:rsid w:val="00237A45"/>
    <w:rsid w:val="002400C7"/>
    <w:rsid w:val="0024049B"/>
    <w:rsid w:val="00240719"/>
    <w:rsid w:val="0024210D"/>
    <w:rsid w:val="00242CCE"/>
    <w:rsid w:val="002433F3"/>
    <w:rsid w:val="00243433"/>
    <w:rsid w:val="00243491"/>
    <w:rsid w:val="002435C0"/>
    <w:rsid w:val="002436F3"/>
    <w:rsid w:val="00243F2B"/>
    <w:rsid w:val="002442EB"/>
    <w:rsid w:val="002446DC"/>
    <w:rsid w:val="00244A4E"/>
    <w:rsid w:val="00244F05"/>
    <w:rsid w:val="002456DB"/>
    <w:rsid w:val="00245F0F"/>
    <w:rsid w:val="00245FE6"/>
    <w:rsid w:val="00246A8F"/>
    <w:rsid w:val="00247459"/>
    <w:rsid w:val="00247DC6"/>
    <w:rsid w:val="002511FF"/>
    <w:rsid w:val="00251427"/>
    <w:rsid w:val="002514E2"/>
    <w:rsid w:val="00251C9A"/>
    <w:rsid w:val="00252B91"/>
    <w:rsid w:val="00252C4B"/>
    <w:rsid w:val="0025306D"/>
    <w:rsid w:val="002530D5"/>
    <w:rsid w:val="00253564"/>
    <w:rsid w:val="002536E5"/>
    <w:rsid w:val="0025426A"/>
    <w:rsid w:val="00254415"/>
    <w:rsid w:val="00254D9E"/>
    <w:rsid w:val="00254F16"/>
    <w:rsid w:val="00255C09"/>
    <w:rsid w:val="00256724"/>
    <w:rsid w:val="002568E1"/>
    <w:rsid w:val="00256B4F"/>
    <w:rsid w:val="00256B99"/>
    <w:rsid w:val="00256CDA"/>
    <w:rsid w:val="00256DBF"/>
    <w:rsid w:val="00257292"/>
    <w:rsid w:val="00257AC4"/>
    <w:rsid w:val="00257B71"/>
    <w:rsid w:val="00257BE8"/>
    <w:rsid w:val="00257E1D"/>
    <w:rsid w:val="002605A5"/>
    <w:rsid w:val="00260A12"/>
    <w:rsid w:val="002610EF"/>
    <w:rsid w:val="002611DC"/>
    <w:rsid w:val="002613E1"/>
    <w:rsid w:val="002618B1"/>
    <w:rsid w:val="00261A03"/>
    <w:rsid w:val="00261A9F"/>
    <w:rsid w:val="00261DEE"/>
    <w:rsid w:val="00262092"/>
    <w:rsid w:val="00262099"/>
    <w:rsid w:val="0026273D"/>
    <w:rsid w:val="0026274D"/>
    <w:rsid w:val="002628EE"/>
    <w:rsid w:val="00262A7B"/>
    <w:rsid w:val="00262A9B"/>
    <w:rsid w:val="00263352"/>
    <w:rsid w:val="00263666"/>
    <w:rsid w:val="00263891"/>
    <w:rsid w:val="00263AB0"/>
    <w:rsid w:val="002647B4"/>
    <w:rsid w:val="00265135"/>
    <w:rsid w:val="002662CA"/>
    <w:rsid w:val="0026639D"/>
    <w:rsid w:val="00266525"/>
    <w:rsid w:val="00267028"/>
    <w:rsid w:val="00267287"/>
    <w:rsid w:val="0026737A"/>
    <w:rsid w:val="00267937"/>
    <w:rsid w:val="00267ACF"/>
    <w:rsid w:val="0027003C"/>
    <w:rsid w:val="00270085"/>
    <w:rsid w:val="00270870"/>
    <w:rsid w:val="00270CC3"/>
    <w:rsid w:val="00270FC4"/>
    <w:rsid w:val="0027118C"/>
    <w:rsid w:val="002711CD"/>
    <w:rsid w:val="00271377"/>
    <w:rsid w:val="00271379"/>
    <w:rsid w:val="00271387"/>
    <w:rsid w:val="00271515"/>
    <w:rsid w:val="002715B8"/>
    <w:rsid w:val="0027161F"/>
    <w:rsid w:val="00271E8A"/>
    <w:rsid w:val="0027261C"/>
    <w:rsid w:val="0027268F"/>
    <w:rsid w:val="0027299B"/>
    <w:rsid w:val="00272AF8"/>
    <w:rsid w:val="00272D22"/>
    <w:rsid w:val="002735EA"/>
    <w:rsid w:val="0027458F"/>
    <w:rsid w:val="002750A7"/>
    <w:rsid w:val="00275AE0"/>
    <w:rsid w:val="00275D8C"/>
    <w:rsid w:val="0027606D"/>
    <w:rsid w:val="00276BBF"/>
    <w:rsid w:val="00276C99"/>
    <w:rsid w:val="002774B1"/>
    <w:rsid w:val="002775E5"/>
    <w:rsid w:val="002802E1"/>
    <w:rsid w:val="00281143"/>
    <w:rsid w:val="00281336"/>
    <w:rsid w:val="00281677"/>
    <w:rsid w:val="00281708"/>
    <w:rsid w:val="00281788"/>
    <w:rsid w:val="002820BC"/>
    <w:rsid w:val="00282576"/>
    <w:rsid w:val="00283A45"/>
    <w:rsid w:val="00283BB5"/>
    <w:rsid w:val="0028491C"/>
    <w:rsid w:val="00284EF3"/>
    <w:rsid w:val="00285850"/>
    <w:rsid w:val="002859DF"/>
    <w:rsid w:val="00285C6A"/>
    <w:rsid w:val="00285D47"/>
    <w:rsid w:val="00286B04"/>
    <w:rsid w:val="00287498"/>
    <w:rsid w:val="00287744"/>
    <w:rsid w:val="00287DF0"/>
    <w:rsid w:val="002902ED"/>
    <w:rsid w:val="0029088D"/>
    <w:rsid w:val="00290DAF"/>
    <w:rsid w:val="00290FF7"/>
    <w:rsid w:val="002914D5"/>
    <w:rsid w:val="00291AA5"/>
    <w:rsid w:val="00292036"/>
    <w:rsid w:val="002922EB"/>
    <w:rsid w:val="00292A51"/>
    <w:rsid w:val="00293125"/>
    <w:rsid w:val="00293B9C"/>
    <w:rsid w:val="00293EB6"/>
    <w:rsid w:val="00294527"/>
    <w:rsid w:val="00294C15"/>
    <w:rsid w:val="00295307"/>
    <w:rsid w:val="0029552F"/>
    <w:rsid w:val="002957C6"/>
    <w:rsid w:val="00295F6E"/>
    <w:rsid w:val="002960C6"/>
    <w:rsid w:val="00296743"/>
    <w:rsid w:val="002967F1"/>
    <w:rsid w:val="00297230"/>
    <w:rsid w:val="002A0119"/>
    <w:rsid w:val="002A0451"/>
    <w:rsid w:val="002A1425"/>
    <w:rsid w:val="002A1432"/>
    <w:rsid w:val="002A22A2"/>
    <w:rsid w:val="002A2A90"/>
    <w:rsid w:val="002A34F5"/>
    <w:rsid w:val="002A373E"/>
    <w:rsid w:val="002A3958"/>
    <w:rsid w:val="002A3BE3"/>
    <w:rsid w:val="002A4458"/>
    <w:rsid w:val="002A46D4"/>
    <w:rsid w:val="002A5238"/>
    <w:rsid w:val="002A557A"/>
    <w:rsid w:val="002A5875"/>
    <w:rsid w:val="002A5C07"/>
    <w:rsid w:val="002A5ED1"/>
    <w:rsid w:val="002A66DD"/>
    <w:rsid w:val="002A7649"/>
    <w:rsid w:val="002A78CD"/>
    <w:rsid w:val="002B0262"/>
    <w:rsid w:val="002B0849"/>
    <w:rsid w:val="002B0F17"/>
    <w:rsid w:val="002B1065"/>
    <w:rsid w:val="002B1A72"/>
    <w:rsid w:val="002B1DE6"/>
    <w:rsid w:val="002B2079"/>
    <w:rsid w:val="002B2313"/>
    <w:rsid w:val="002B238F"/>
    <w:rsid w:val="002B2F4A"/>
    <w:rsid w:val="002B3031"/>
    <w:rsid w:val="002B36F5"/>
    <w:rsid w:val="002B39F4"/>
    <w:rsid w:val="002B4493"/>
    <w:rsid w:val="002B4D9E"/>
    <w:rsid w:val="002B4F0B"/>
    <w:rsid w:val="002B50CD"/>
    <w:rsid w:val="002B6D5B"/>
    <w:rsid w:val="002B7C02"/>
    <w:rsid w:val="002C0900"/>
    <w:rsid w:val="002C0D28"/>
    <w:rsid w:val="002C1232"/>
    <w:rsid w:val="002C17D4"/>
    <w:rsid w:val="002C1DE3"/>
    <w:rsid w:val="002C28F4"/>
    <w:rsid w:val="002C36D6"/>
    <w:rsid w:val="002C390C"/>
    <w:rsid w:val="002C3B0E"/>
    <w:rsid w:val="002C3B2B"/>
    <w:rsid w:val="002C44CA"/>
    <w:rsid w:val="002C461C"/>
    <w:rsid w:val="002C4A55"/>
    <w:rsid w:val="002C514F"/>
    <w:rsid w:val="002C5B25"/>
    <w:rsid w:val="002C5BD4"/>
    <w:rsid w:val="002C5C4D"/>
    <w:rsid w:val="002C679B"/>
    <w:rsid w:val="002C7217"/>
    <w:rsid w:val="002C77E3"/>
    <w:rsid w:val="002C786A"/>
    <w:rsid w:val="002C79CF"/>
    <w:rsid w:val="002C7AA5"/>
    <w:rsid w:val="002C7E0A"/>
    <w:rsid w:val="002C7E19"/>
    <w:rsid w:val="002D03F3"/>
    <w:rsid w:val="002D05A4"/>
    <w:rsid w:val="002D0B8F"/>
    <w:rsid w:val="002D1219"/>
    <w:rsid w:val="002D195A"/>
    <w:rsid w:val="002D1C47"/>
    <w:rsid w:val="002D1F8C"/>
    <w:rsid w:val="002D2178"/>
    <w:rsid w:val="002D2C14"/>
    <w:rsid w:val="002D349B"/>
    <w:rsid w:val="002D3642"/>
    <w:rsid w:val="002D36B2"/>
    <w:rsid w:val="002D3880"/>
    <w:rsid w:val="002D39D7"/>
    <w:rsid w:val="002D47B5"/>
    <w:rsid w:val="002D4CD7"/>
    <w:rsid w:val="002D5149"/>
    <w:rsid w:val="002D60EC"/>
    <w:rsid w:val="002D62B4"/>
    <w:rsid w:val="002D630A"/>
    <w:rsid w:val="002D6567"/>
    <w:rsid w:val="002D72FD"/>
    <w:rsid w:val="002D74E0"/>
    <w:rsid w:val="002D77AE"/>
    <w:rsid w:val="002D7882"/>
    <w:rsid w:val="002D7926"/>
    <w:rsid w:val="002E0BA8"/>
    <w:rsid w:val="002E0E50"/>
    <w:rsid w:val="002E199D"/>
    <w:rsid w:val="002E1BC4"/>
    <w:rsid w:val="002E2A44"/>
    <w:rsid w:val="002E2AA4"/>
    <w:rsid w:val="002E369C"/>
    <w:rsid w:val="002E3C4A"/>
    <w:rsid w:val="002E4363"/>
    <w:rsid w:val="002E456B"/>
    <w:rsid w:val="002E4B0D"/>
    <w:rsid w:val="002E50BB"/>
    <w:rsid w:val="002E5131"/>
    <w:rsid w:val="002E5607"/>
    <w:rsid w:val="002E6270"/>
    <w:rsid w:val="002E6327"/>
    <w:rsid w:val="002E6726"/>
    <w:rsid w:val="002E6AF0"/>
    <w:rsid w:val="002E6D87"/>
    <w:rsid w:val="002E6DBE"/>
    <w:rsid w:val="002E6E35"/>
    <w:rsid w:val="002E7155"/>
    <w:rsid w:val="002E7270"/>
    <w:rsid w:val="002E7476"/>
    <w:rsid w:val="002E7ACE"/>
    <w:rsid w:val="002F0821"/>
    <w:rsid w:val="002F0B27"/>
    <w:rsid w:val="002F153D"/>
    <w:rsid w:val="002F1618"/>
    <w:rsid w:val="002F17B5"/>
    <w:rsid w:val="002F17DD"/>
    <w:rsid w:val="002F1BD3"/>
    <w:rsid w:val="002F1C22"/>
    <w:rsid w:val="002F2073"/>
    <w:rsid w:val="002F21B1"/>
    <w:rsid w:val="002F21D2"/>
    <w:rsid w:val="002F22C3"/>
    <w:rsid w:val="002F23BB"/>
    <w:rsid w:val="002F29E6"/>
    <w:rsid w:val="002F2BC4"/>
    <w:rsid w:val="002F2C02"/>
    <w:rsid w:val="002F3514"/>
    <w:rsid w:val="002F3A8F"/>
    <w:rsid w:val="002F3F34"/>
    <w:rsid w:val="002F40A3"/>
    <w:rsid w:val="002F4442"/>
    <w:rsid w:val="002F522D"/>
    <w:rsid w:val="002F5459"/>
    <w:rsid w:val="002F59F7"/>
    <w:rsid w:val="002F6150"/>
    <w:rsid w:val="0030053B"/>
    <w:rsid w:val="00300C7F"/>
    <w:rsid w:val="00301092"/>
    <w:rsid w:val="0030189D"/>
    <w:rsid w:val="003018E4"/>
    <w:rsid w:val="00301BF3"/>
    <w:rsid w:val="0030234B"/>
    <w:rsid w:val="0030242F"/>
    <w:rsid w:val="003029F9"/>
    <w:rsid w:val="00302A42"/>
    <w:rsid w:val="00302D31"/>
    <w:rsid w:val="00302EA6"/>
    <w:rsid w:val="00302F40"/>
    <w:rsid w:val="00303071"/>
    <w:rsid w:val="003038F8"/>
    <w:rsid w:val="00303C03"/>
    <w:rsid w:val="00304DF1"/>
    <w:rsid w:val="00305342"/>
    <w:rsid w:val="003053D4"/>
    <w:rsid w:val="003054F8"/>
    <w:rsid w:val="00305768"/>
    <w:rsid w:val="003058E3"/>
    <w:rsid w:val="00305FAC"/>
    <w:rsid w:val="00307B3F"/>
    <w:rsid w:val="00307EF6"/>
    <w:rsid w:val="003108EB"/>
    <w:rsid w:val="00310EC3"/>
    <w:rsid w:val="00311320"/>
    <w:rsid w:val="00311348"/>
    <w:rsid w:val="00311952"/>
    <w:rsid w:val="0031247C"/>
    <w:rsid w:val="0031249D"/>
    <w:rsid w:val="003128AB"/>
    <w:rsid w:val="003129D1"/>
    <w:rsid w:val="00312C75"/>
    <w:rsid w:val="0031308F"/>
    <w:rsid w:val="00313868"/>
    <w:rsid w:val="00314990"/>
    <w:rsid w:val="00314A41"/>
    <w:rsid w:val="00314E4F"/>
    <w:rsid w:val="00315016"/>
    <w:rsid w:val="003151B5"/>
    <w:rsid w:val="00315D61"/>
    <w:rsid w:val="00315E65"/>
    <w:rsid w:val="00316319"/>
    <w:rsid w:val="00316BC6"/>
    <w:rsid w:val="00317302"/>
    <w:rsid w:val="003173B1"/>
    <w:rsid w:val="003177BE"/>
    <w:rsid w:val="00317CF5"/>
    <w:rsid w:val="00320603"/>
    <w:rsid w:val="003213E6"/>
    <w:rsid w:val="0032190A"/>
    <w:rsid w:val="00322045"/>
    <w:rsid w:val="003223EF"/>
    <w:rsid w:val="00322688"/>
    <w:rsid w:val="0032284A"/>
    <w:rsid w:val="00323493"/>
    <w:rsid w:val="00323733"/>
    <w:rsid w:val="00323879"/>
    <w:rsid w:val="003238E6"/>
    <w:rsid w:val="00323A3A"/>
    <w:rsid w:val="003243ED"/>
    <w:rsid w:val="00324440"/>
    <w:rsid w:val="00324469"/>
    <w:rsid w:val="0032459E"/>
    <w:rsid w:val="003245C8"/>
    <w:rsid w:val="003249E2"/>
    <w:rsid w:val="00324CAC"/>
    <w:rsid w:val="00324CD2"/>
    <w:rsid w:val="00325069"/>
    <w:rsid w:val="00325B1E"/>
    <w:rsid w:val="00326055"/>
    <w:rsid w:val="00326074"/>
    <w:rsid w:val="00326451"/>
    <w:rsid w:val="00326579"/>
    <w:rsid w:val="00326C8F"/>
    <w:rsid w:val="00327358"/>
    <w:rsid w:val="00327428"/>
    <w:rsid w:val="00327AD9"/>
    <w:rsid w:val="00327BE2"/>
    <w:rsid w:val="00327E42"/>
    <w:rsid w:val="00330025"/>
    <w:rsid w:val="00330776"/>
    <w:rsid w:val="00330886"/>
    <w:rsid w:val="00330A6B"/>
    <w:rsid w:val="00330D97"/>
    <w:rsid w:val="00330E25"/>
    <w:rsid w:val="003319CE"/>
    <w:rsid w:val="003323D7"/>
    <w:rsid w:val="00332524"/>
    <w:rsid w:val="00332A0F"/>
    <w:rsid w:val="00332B4E"/>
    <w:rsid w:val="00332BB5"/>
    <w:rsid w:val="00332E43"/>
    <w:rsid w:val="00332EA3"/>
    <w:rsid w:val="00332F50"/>
    <w:rsid w:val="00333145"/>
    <w:rsid w:val="00333AC7"/>
    <w:rsid w:val="00333F59"/>
    <w:rsid w:val="003341F4"/>
    <w:rsid w:val="00334B93"/>
    <w:rsid w:val="003354F9"/>
    <w:rsid w:val="00335699"/>
    <w:rsid w:val="00335C27"/>
    <w:rsid w:val="00336564"/>
    <w:rsid w:val="0033685E"/>
    <w:rsid w:val="00336A9B"/>
    <w:rsid w:val="00336DE1"/>
    <w:rsid w:val="003377C6"/>
    <w:rsid w:val="00337E49"/>
    <w:rsid w:val="00337E55"/>
    <w:rsid w:val="0034006E"/>
    <w:rsid w:val="0034038E"/>
    <w:rsid w:val="00340E83"/>
    <w:rsid w:val="0034102B"/>
    <w:rsid w:val="003412F1"/>
    <w:rsid w:val="00341759"/>
    <w:rsid w:val="00341E1B"/>
    <w:rsid w:val="00342373"/>
    <w:rsid w:val="00342C6F"/>
    <w:rsid w:val="00343627"/>
    <w:rsid w:val="0034379F"/>
    <w:rsid w:val="00343B65"/>
    <w:rsid w:val="00343B7B"/>
    <w:rsid w:val="00344C4C"/>
    <w:rsid w:val="0034640F"/>
    <w:rsid w:val="003469FC"/>
    <w:rsid w:val="0034708A"/>
    <w:rsid w:val="00347E3D"/>
    <w:rsid w:val="00350210"/>
    <w:rsid w:val="003511C5"/>
    <w:rsid w:val="00351707"/>
    <w:rsid w:val="003518AE"/>
    <w:rsid w:val="00351DEE"/>
    <w:rsid w:val="00351EA8"/>
    <w:rsid w:val="00352279"/>
    <w:rsid w:val="0035242E"/>
    <w:rsid w:val="003528C7"/>
    <w:rsid w:val="0035320E"/>
    <w:rsid w:val="003533F4"/>
    <w:rsid w:val="00353881"/>
    <w:rsid w:val="00353CA2"/>
    <w:rsid w:val="003548AB"/>
    <w:rsid w:val="00354951"/>
    <w:rsid w:val="003549C5"/>
    <w:rsid w:val="003557CE"/>
    <w:rsid w:val="00355C03"/>
    <w:rsid w:val="00355CDE"/>
    <w:rsid w:val="0035667D"/>
    <w:rsid w:val="00357048"/>
    <w:rsid w:val="003570FE"/>
    <w:rsid w:val="003571BF"/>
    <w:rsid w:val="003600A1"/>
    <w:rsid w:val="00360284"/>
    <w:rsid w:val="00360360"/>
    <w:rsid w:val="00360CB1"/>
    <w:rsid w:val="00361118"/>
    <w:rsid w:val="00361A73"/>
    <w:rsid w:val="00361BCB"/>
    <w:rsid w:val="00362041"/>
    <w:rsid w:val="0036375A"/>
    <w:rsid w:val="00363E4C"/>
    <w:rsid w:val="00364099"/>
    <w:rsid w:val="0036462B"/>
    <w:rsid w:val="00366551"/>
    <w:rsid w:val="00366685"/>
    <w:rsid w:val="00366767"/>
    <w:rsid w:val="00366935"/>
    <w:rsid w:val="00366BE5"/>
    <w:rsid w:val="00367278"/>
    <w:rsid w:val="003676C2"/>
    <w:rsid w:val="00367838"/>
    <w:rsid w:val="00367F12"/>
    <w:rsid w:val="00370616"/>
    <w:rsid w:val="00371316"/>
    <w:rsid w:val="003714D3"/>
    <w:rsid w:val="003716C0"/>
    <w:rsid w:val="0037258A"/>
    <w:rsid w:val="00372F94"/>
    <w:rsid w:val="003731D9"/>
    <w:rsid w:val="00373F18"/>
    <w:rsid w:val="003741F5"/>
    <w:rsid w:val="00374FF8"/>
    <w:rsid w:val="00375099"/>
    <w:rsid w:val="00375A54"/>
    <w:rsid w:val="00375FA2"/>
    <w:rsid w:val="00376DD0"/>
    <w:rsid w:val="00377117"/>
    <w:rsid w:val="00377398"/>
    <w:rsid w:val="003775C5"/>
    <w:rsid w:val="00380224"/>
    <w:rsid w:val="00380710"/>
    <w:rsid w:val="003807AE"/>
    <w:rsid w:val="00380CC1"/>
    <w:rsid w:val="003810EF"/>
    <w:rsid w:val="00381BC5"/>
    <w:rsid w:val="0038205B"/>
    <w:rsid w:val="003820EC"/>
    <w:rsid w:val="0038239B"/>
    <w:rsid w:val="00382E5F"/>
    <w:rsid w:val="00383369"/>
    <w:rsid w:val="00383684"/>
    <w:rsid w:val="003837FB"/>
    <w:rsid w:val="003838DA"/>
    <w:rsid w:val="00383FBF"/>
    <w:rsid w:val="003847A8"/>
    <w:rsid w:val="00384DF1"/>
    <w:rsid w:val="0038661A"/>
    <w:rsid w:val="00386D8E"/>
    <w:rsid w:val="0038783B"/>
    <w:rsid w:val="00390A9B"/>
    <w:rsid w:val="00391A4C"/>
    <w:rsid w:val="00391A5D"/>
    <w:rsid w:val="00391B24"/>
    <w:rsid w:val="00391DE4"/>
    <w:rsid w:val="0039226A"/>
    <w:rsid w:val="00392A76"/>
    <w:rsid w:val="00393193"/>
    <w:rsid w:val="0039342E"/>
    <w:rsid w:val="00393737"/>
    <w:rsid w:val="00393A8F"/>
    <w:rsid w:val="00394265"/>
    <w:rsid w:val="00394371"/>
    <w:rsid w:val="00394A5E"/>
    <w:rsid w:val="00394FFF"/>
    <w:rsid w:val="0039523E"/>
    <w:rsid w:val="0039527F"/>
    <w:rsid w:val="003952A5"/>
    <w:rsid w:val="00395378"/>
    <w:rsid w:val="003956CB"/>
    <w:rsid w:val="00396254"/>
    <w:rsid w:val="00396C58"/>
    <w:rsid w:val="00396E3D"/>
    <w:rsid w:val="00396E41"/>
    <w:rsid w:val="003973C1"/>
    <w:rsid w:val="003975B9"/>
    <w:rsid w:val="00397DFD"/>
    <w:rsid w:val="003A02CF"/>
    <w:rsid w:val="003A0363"/>
    <w:rsid w:val="003A046B"/>
    <w:rsid w:val="003A0C11"/>
    <w:rsid w:val="003A0EC1"/>
    <w:rsid w:val="003A0F89"/>
    <w:rsid w:val="003A1107"/>
    <w:rsid w:val="003A1F08"/>
    <w:rsid w:val="003A2398"/>
    <w:rsid w:val="003A2B13"/>
    <w:rsid w:val="003A2DA1"/>
    <w:rsid w:val="003A3456"/>
    <w:rsid w:val="003A3A56"/>
    <w:rsid w:val="003A3E59"/>
    <w:rsid w:val="003A436D"/>
    <w:rsid w:val="003A4492"/>
    <w:rsid w:val="003A4E0F"/>
    <w:rsid w:val="003A544E"/>
    <w:rsid w:val="003A5515"/>
    <w:rsid w:val="003A66B7"/>
    <w:rsid w:val="003A6BD3"/>
    <w:rsid w:val="003A708A"/>
    <w:rsid w:val="003A7598"/>
    <w:rsid w:val="003A75F5"/>
    <w:rsid w:val="003A7CCE"/>
    <w:rsid w:val="003B05A8"/>
    <w:rsid w:val="003B099F"/>
    <w:rsid w:val="003B0FE7"/>
    <w:rsid w:val="003B1185"/>
    <w:rsid w:val="003B1D0C"/>
    <w:rsid w:val="003B1FEC"/>
    <w:rsid w:val="003B22FF"/>
    <w:rsid w:val="003B25FB"/>
    <w:rsid w:val="003B445B"/>
    <w:rsid w:val="003B4DFC"/>
    <w:rsid w:val="003B5748"/>
    <w:rsid w:val="003B5B29"/>
    <w:rsid w:val="003B6642"/>
    <w:rsid w:val="003B6F1C"/>
    <w:rsid w:val="003B7BD3"/>
    <w:rsid w:val="003C0047"/>
    <w:rsid w:val="003C0186"/>
    <w:rsid w:val="003C023E"/>
    <w:rsid w:val="003C0462"/>
    <w:rsid w:val="003C0C66"/>
    <w:rsid w:val="003C0F79"/>
    <w:rsid w:val="003C11FF"/>
    <w:rsid w:val="003C1848"/>
    <w:rsid w:val="003C2344"/>
    <w:rsid w:val="003C27E0"/>
    <w:rsid w:val="003C2CBB"/>
    <w:rsid w:val="003C30B2"/>
    <w:rsid w:val="003C3361"/>
    <w:rsid w:val="003C3461"/>
    <w:rsid w:val="003C4445"/>
    <w:rsid w:val="003C45CC"/>
    <w:rsid w:val="003C45DF"/>
    <w:rsid w:val="003C4897"/>
    <w:rsid w:val="003C4F38"/>
    <w:rsid w:val="003C4FA5"/>
    <w:rsid w:val="003C50AC"/>
    <w:rsid w:val="003C54E3"/>
    <w:rsid w:val="003C5659"/>
    <w:rsid w:val="003C568F"/>
    <w:rsid w:val="003C577C"/>
    <w:rsid w:val="003C583E"/>
    <w:rsid w:val="003C592F"/>
    <w:rsid w:val="003C5D0F"/>
    <w:rsid w:val="003C6234"/>
    <w:rsid w:val="003C62C4"/>
    <w:rsid w:val="003C636F"/>
    <w:rsid w:val="003C63D3"/>
    <w:rsid w:val="003C7D02"/>
    <w:rsid w:val="003C7D9B"/>
    <w:rsid w:val="003D00BF"/>
    <w:rsid w:val="003D02B2"/>
    <w:rsid w:val="003D0331"/>
    <w:rsid w:val="003D1265"/>
    <w:rsid w:val="003D16FE"/>
    <w:rsid w:val="003D23D2"/>
    <w:rsid w:val="003D26DC"/>
    <w:rsid w:val="003D3123"/>
    <w:rsid w:val="003D36C3"/>
    <w:rsid w:val="003D3C28"/>
    <w:rsid w:val="003D44B9"/>
    <w:rsid w:val="003D484A"/>
    <w:rsid w:val="003D5369"/>
    <w:rsid w:val="003D624D"/>
    <w:rsid w:val="003D6701"/>
    <w:rsid w:val="003D68E0"/>
    <w:rsid w:val="003D6A1A"/>
    <w:rsid w:val="003D6ABE"/>
    <w:rsid w:val="003D786F"/>
    <w:rsid w:val="003E03B7"/>
    <w:rsid w:val="003E0757"/>
    <w:rsid w:val="003E07C8"/>
    <w:rsid w:val="003E191D"/>
    <w:rsid w:val="003E1D2D"/>
    <w:rsid w:val="003E22D6"/>
    <w:rsid w:val="003E26A5"/>
    <w:rsid w:val="003E4484"/>
    <w:rsid w:val="003E4629"/>
    <w:rsid w:val="003E5566"/>
    <w:rsid w:val="003E570B"/>
    <w:rsid w:val="003E57ED"/>
    <w:rsid w:val="003E58D4"/>
    <w:rsid w:val="003E606B"/>
    <w:rsid w:val="003E62A8"/>
    <w:rsid w:val="003E6916"/>
    <w:rsid w:val="003E6A04"/>
    <w:rsid w:val="003E6B4B"/>
    <w:rsid w:val="003E6DC1"/>
    <w:rsid w:val="003E7000"/>
    <w:rsid w:val="003E7118"/>
    <w:rsid w:val="003E7B1A"/>
    <w:rsid w:val="003E7B53"/>
    <w:rsid w:val="003E7CDA"/>
    <w:rsid w:val="003F06E4"/>
    <w:rsid w:val="003F1290"/>
    <w:rsid w:val="003F1465"/>
    <w:rsid w:val="003F1985"/>
    <w:rsid w:val="003F20FB"/>
    <w:rsid w:val="003F3105"/>
    <w:rsid w:val="003F3DD7"/>
    <w:rsid w:val="003F4545"/>
    <w:rsid w:val="003F46CE"/>
    <w:rsid w:val="003F5252"/>
    <w:rsid w:val="003F5DC3"/>
    <w:rsid w:val="003F7068"/>
    <w:rsid w:val="003F7DF3"/>
    <w:rsid w:val="00400345"/>
    <w:rsid w:val="0040070E"/>
    <w:rsid w:val="00400FBE"/>
    <w:rsid w:val="0040103E"/>
    <w:rsid w:val="004010D2"/>
    <w:rsid w:val="0040149B"/>
    <w:rsid w:val="00401635"/>
    <w:rsid w:val="004017A2"/>
    <w:rsid w:val="00401BB6"/>
    <w:rsid w:val="004026FB"/>
    <w:rsid w:val="00402B89"/>
    <w:rsid w:val="00402C5C"/>
    <w:rsid w:val="004038D6"/>
    <w:rsid w:val="0040448A"/>
    <w:rsid w:val="00404B4D"/>
    <w:rsid w:val="00405250"/>
    <w:rsid w:val="004059E3"/>
    <w:rsid w:val="00405FDF"/>
    <w:rsid w:val="00406929"/>
    <w:rsid w:val="00407B2F"/>
    <w:rsid w:val="0041019E"/>
    <w:rsid w:val="00410AFD"/>
    <w:rsid w:val="004119E5"/>
    <w:rsid w:val="00411D26"/>
    <w:rsid w:val="00412BA9"/>
    <w:rsid w:val="004131E4"/>
    <w:rsid w:val="0041346C"/>
    <w:rsid w:val="004145C1"/>
    <w:rsid w:val="00414E74"/>
    <w:rsid w:val="004154F5"/>
    <w:rsid w:val="004157F9"/>
    <w:rsid w:val="00415D85"/>
    <w:rsid w:val="004163D1"/>
    <w:rsid w:val="004164D8"/>
    <w:rsid w:val="00416F0C"/>
    <w:rsid w:val="00416F61"/>
    <w:rsid w:val="004170B9"/>
    <w:rsid w:val="00417A42"/>
    <w:rsid w:val="00417CFC"/>
    <w:rsid w:val="00417E1E"/>
    <w:rsid w:val="0042047D"/>
    <w:rsid w:val="00420BF5"/>
    <w:rsid w:val="00420C1A"/>
    <w:rsid w:val="00420DA3"/>
    <w:rsid w:val="00420EFD"/>
    <w:rsid w:val="00422378"/>
    <w:rsid w:val="00422951"/>
    <w:rsid w:val="004246E2"/>
    <w:rsid w:val="00425959"/>
    <w:rsid w:val="00425A3E"/>
    <w:rsid w:val="00425A76"/>
    <w:rsid w:val="00425B2B"/>
    <w:rsid w:val="00425D30"/>
    <w:rsid w:val="00426ECF"/>
    <w:rsid w:val="004273A9"/>
    <w:rsid w:val="0042758F"/>
    <w:rsid w:val="004277E7"/>
    <w:rsid w:val="00427A08"/>
    <w:rsid w:val="00427A7C"/>
    <w:rsid w:val="0043122B"/>
    <w:rsid w:val="0043154A"/>
    <w:rsid w:val="0043171D"/>
    <w:rsid w:val="004321CE"/>
    <w:rsid w:val="004337CF"/>
    <w:rsid w:val="00433A2F"/>
    <w:rsid w:val="00433F0D"/>
    <w:rsid w:val="00435627"/>
    <w:rsid w:val="0043564E"/>
    <w:rsid w:val="0043599E"/>
    <w:rsid w:val="00436814"/>
    <w:rsid w:val="00436845"/>
    <w:rsid w:val="0043687A"/>
    <w:rsid w:val="00436CDB"/>
    <w:rsid w:val="00436D73"/>
    <w:rsid w:val="00436E8A"/>
    <w:rsid w:val="004373A5"/>
    <w:rsid w:val="004378CD"/>
    <w:rsid w:val="0044084B"/>
    <w:rsid w:val="0044099F"/>
    <w:rsid w:val="004409FC"/>
    <w:rsid w:val="00440D80"/>
    <w:rsid w:val="00440FC0"/>
    <w:rsid w:val="0044160F"/>
    <w:rsid w:val="00441B31"/>
    <w:rsid w:val="00441C24"/>
    <w:rsid w:val="0044236F"/>
    <w:rsid w:val="00442838"/>
    <w:rsid w:val="004428CD"/>
    <w:rsid w:val="004432E3"/>
    <w:rsid w:val="004437AD"/>
    <w:rsid w:val="004463A5"/>
    <w:rsid w:val="004466C2"/>
    <w:rsid w:val="00446758"/>
    <w:rsid w:val="0044683D"/>
    <w:rsid w:val="00447E7B"/>
    <w:rsid w:val="00451100"/>
    <w:rsid w:val="004512F6"/>
    <w:rsid w:val="00451371"/>
    <w:rsid w:val="004525E4"/>
    <w:rsid w:val="0045283A"/>
    <w:rsid w:val="00453136"/>
    <w:rsid w:val="0045493E"/>
    <w:rsid w:val="0045505D"/>
    <w:rsid w:val="0045519F"/>
    <w:rsid w:val="004567AD"/>
    <w:rsid w:val="004568A9"/>
    <w:rsid w:val="00456CDA"/>
    <w:rsid w:val="004577F1"/>
    <w:rsid w:val="00457CF3"/>
    <w:rsid w:val="00457DE8"/>
    <w:rsid w:val="004608B9"/>
    <w:rsid w:val="00460B84"/>
    <w:rsid w:val="00460E58"/>
    <w:rsid w:val="00461044"/>
    <w:rsid w:val="00461A63"/>
    <w:rsid w:val="00461C9B"/>
    <w:rsid w:val="00462DFE"/>
    <w:rsid w:val="004630DB"/>
    <w:rsid w:val="00463107"/>
    <w:rsid w:val="0046333C"/>
    <w:rsid w:val="00463915"/>
    <w:rsid w:val="00463B3A"/>
    <w:rsid w:val="00463B5F"/>
    <w:rsid w:val="00464265"/>
    <w:rsid w:val="00464FA7"/>
    <w:rsid w:val="00465402"/>
    <w:rsid w:val="00465A50"/>
    <w:rsid w:val="004665EF"/>
    <w:rsid w:val="00466629"/>
    <w:rsid w:val="00466A0E"/>
    <w:rsid w:val="00466B06"/>
    <w:rsid w:val="00466B8F"/>
    <w:rsid w:val="00466D65"/>
    <w:rsid w:val="00466FC4"/>
    <w:rsid w:val="0046790B"/>
    <w:rsid w:val="00467B57"/>
    <w:rsid w:val="00467E57"/>
    <w:rsid w:val="004703F8"/>
    <w:rsid w:val="00470D4D"/>
    <w:rsid w:val="00470FA0"/>
    <w:rsid w:val="0047197D"/>
    <w:rsid w:val="00471E1B"/>
    <w:rsid w:val="0047294B"/>
    <w:rsid w:val="00472C24"/>
    <w:rsid w:val="00472E79"/>
    <w:rsid w:val="00472EF3"/>
    <w:rsid w:val="0047330E"/>
    <w:rsid w:val="00473393"/>
    <w:rsid w:val="004739BE"/>
    <w:rsid w:val="00473D5A"/>
    <w:rsid w:val="00474208"/>
    <w:rsid w:val="00474F57"/>
    <w:rsid w:val="004751CE"/>
    <w:rsid w:val="0047558F"/>
    <w:rsid w:val="00475D24"/>
    <w:rsid w:val="004761AA"/>
    <w:rsid w:val="004766DF"/>
    <w:rsid w:val="00476E15"/>
    <w:rsid w:val="004770B2"/>
    <w:rsid w:val="00477B9D"/>
    <w:rsid w:val="004803A9"/>
    <w:rsid w:val="00480626"/>
    <w:rsid w:val="00480AF8"/>
    <w:rsid w:val="00481050"/>
    <w:rsid w:val="0048108A"/>
    <w:rsid w:val="004813CF"/>
    <w:rsid w:val="004815BD"/>
    <w:rsid w:val="00481BD7"/>
    <w:rsid w:val="00481E9D"/>
    <w:rsid w:val="004822CC"/>
    <w:rsid w:val="0048238A"/>
    <w:rsid w:val="0048299B"/>
    <w:rsid w:val="00482A8D"/>
    <w:rsid w:val="00482BA0"/>
    <w:rsid w:val="004836D0"/>
    <w:rsid w:val="004838B4"/>
    <w:rsid w:val="00483B13"/>
    <w:rsid w:val="00484B94"/>
    <w:rsid w:val="0048539A"/>
    <w:rsid w:val="00485D0B"/>
    <w:rsid w:val="00486635"/>
    <w:rsid w:val="004867A3"/>
    <w:rsid w:val="00486C52"/>
    <w:rsid w:val="00487400"/>
    <w:rsid w:val="0048740D"/>
    <w:rsid w:val="00487676"/>
    <w:rsid w:val="004877E8"/>
    <w:rsid w:val="0048790D"/>
    <w:rsid w:val="0049083E"/>
    <w:rsid w:val="004913CD"/>
    <w:rsid w:val="004916F4"/>
    <w:rsid w:val="00491EF6"/>
    <w:rsid w:val="004925A4"/>
    <w:rsid w:val="0049291C"/>
    <w:rsid w:val="00492AEA"/>
    <w:rsid w:val="004930CC"/>
    <w:rsid w:val="0049366C"/>
    <w:rsid w:val="00494122"/>
    <w:rsid w:val="004946F2"/>
    <w:rsid w:val="00494B6A"/>
    <w:rsid w:val="004951F7"/>
    <w:rsid w:val="00495821"/>
    <w:rsid w:val="00496BB3"/>
    <w:rsid w:val="00496FD7"/>
    <w:rsid w:val="0049745C"/>
    <w:rsid w:val="00497829"/>
    <w:rsid w:val="004979F7"/>
    <w:rsid w:val="00497BFE"/>
    <w:rsid w:val="004A0952"/>
    <w:rsid w:val="004A1D24"/>
    <w:rsid w:val="004A268E"/>
    <w:rsid w:val="004A2BC2"/>
    <w:rsid w:val="004A2FBC"/>
    <w:rsid w:val="004A325C"/>
    <w:rsid w:val="004A37A3"/>
    <w:rsid w:val="004A3853"/>
    <w:rsid w:val="004A4822"/>
    <w:rsid w:val="004A596A"/>
    <w:rsid w:val="004A5ABD"/>
    <w:rsid w:val="004A6583"/>
    <w:rsid w:val="004A6C45"/>
    <w:rsid w:val="004B023E"/>
    <w:rsid w:val="004B0263"/>
    <w:rsid w:val="004B0BFD"/>
    <w:rsid w:val="004B0FEE"/>
    <w:rsid w:val="004B112B"/>
    <w:rsid w:val="004B1926"/>
    <w:rsid w:val="004B1CA5"/>
    <w:rsid w:val="004B2A90"/>
    <w:rsid w:val="004B3096"/>
    <w:rsid w:val="004B34AF"/>
    <w:rsid w:val="004B3573"/>
    <w:rsid w:val="004B4DF1"/>
    <w:rsid w:val="004B5155"/>
    <w:rsid w:val="004B5CA0"/>
    <w:rsid w:val="004B5E06"/>
    <w:rsid w:val="004B613F"/>
    <w:rsid w:val="004B6350"/>
    <w:rsid w:val="004B7C33"/>
    <w:rsid w:val="004B7FF1"/>
    <w:rsid w:val="004C02F7"/>
    <w:rsid w:val="004C1867"/>
    <w:rsid w:val="004C19CF"/>
    <w:rsid w:val="004C1CF6"/>
    <w:rsid w:val="004C214B"/>
    <w:rsid w:val="004C2318"/>
    <w:rsid w:val="004C285B"/>
    <w:rsid w:val="004C2F99"/>
    <w:rsid w:val="004C3402"/>
    <w:rsid w:val="004C4267"/>
    <w:rsid w:val="004C4636"/>
    <w:rsid w:val="004C496C"/>
    <w:rsid w:val="004C5BCF"/>
    <w:rsid w:val="004C5CE1"/>
    <w:rsid w:val="004C64AF"/>
    <w:rsid w:val="004C6A65"/>
    <w:rsid w:val="004C6F51"/>
    <w:rsid w:val="004C70C9"/>
    <w:rsid w:val="004C7204"/>
    <w:rsid w:val="004C7FDF"/>
    <w:rsid w:val="004D01E2"/>
    <w:rsid w:val="004D0284"/>
    <w:rsid w:val="004D045E"/>
    <w:rsid w:val="004D08F2"/>
    <w:rsid w:val="004D2199"/>
    <w:rsid w:val="004D2271"/>
    <w:rsid w:val="004D2305"/>
    <w:rsid w:val="004D2B17"/>
    <w:rsid w:val="004D2B64"/>
    <w:rsid w:val="004D2D89"/>
    <w:rsid w:val="004D327D"/>
    <w:rsid w:val="004D383F"/>
    <w:rsid w:val="004D38BD"/>
    <w:rsid w:val="004D39F2"/>
    <w:rsid w:val="004D4036"/>
    <w:rsid w:val="004D413E"/>
    <w:rsid w:val="004D4CDA"/>
    <w:rsid w:val="004D55FA"/>
    <w:rsid w:val="004D64D0"/>
    <w:rsid w:val="004D6B4F"/>
    <w:rsid w:val="004D6C32"/>
    <w:rsid w:val="004D6F93"/>
    <w:rsid w:val="004D757A"/>
    <w:rsid w:val="004D7B25"/>
    <w:rsid w:val="004E0478"/>
    <w:rsid w:val="004E0563"/>
    <w:rsid w:val="004E0568"/>
    <w:rsid w:val="004E0CFD"/>
    <w:rsid w:val="004E0DDE"/>
    <w:rsid w:val="004E0E5D"/>
    <w:rsid w:val="004E11B8"/>
    <w:rsid w:val="004E12E4"/>
    <w:rsid w:val="004E17C6"/>
    <w:rsid w:val="004E1B22"/>
    <w:rsid w:val="004E20B3"/>
    <w:rsid w:val="004E2707"/>
    <w:rsid w:val="004E2911"/>
    <w:rsid w:val="004E3175"/>
    <w:rsid w:val="004E3310"/>
    <w:rsid w:val="004E36B9"/>
    <w:rsid w:val="004E381D"/>
    <w:rsid w:val="004E3869"/>
    <w:rsid w:val="004E3CBA"/>
    <w:rsid w:val="004E4085"/>
    <w:rsid w:val="004E4C71"/>
    <w:rsid w:val="004E4E54"/>
    <w:rsid w:val="004E4F8D"/>
    <w:rsid w:val="004E5214"/>
    <w:rsid w:val="004E5334"/>
    <w:rsid w:val="004E5B63"/>
    <w:rsid w:val="004E5F10"/>
    <w:rsid w:val="004E5F87"/>
    <w:rsid w:val="004E60E8"/>
    <w:rsid w:val="004E6139"/>
    <w:rsid w:val="004E614B"/>
    <w:rsid w:val="004E65A0"/>
    <w:rsid w:val="004E7485"/>
    <w:rsid w:val="004E7863"/>
    <w:rsid w:val="004E7B7F"/>
    <w:rsid w:val="004F05F5"/>
    <w:rsid w:val="004F08B8"/>
    <w:rsid w:val="004F0A38"/>
    <w:rsid w:val="004F0BBA"/>
    <w:rsid w:val="004F20D2"/>
    <w:rsid w:val="004F20F3"/>
    <w:rsid w:val="004F25C8"/>
    <w:rsid w:val="004F2FCD"/>
    <w:rsid w:val="004F3190"/>
    <w:rsid w:val="004F3316"/>
    <w:rsid w:val="004F3A5E"/>
    <w:rsid w:val="004F41B8"/>
    <w:rsid w:val="004F422F"/>
    <w:rsid w:val="004F43F9"/>
    <w:rsid w:val="004F4445"/>
    <w:rsid w:val="004F4858"/>
    <w:rsid w:val="004F4D4C"/>
    <w:rsid w:val="004F5A1D"/>
    <w:rsid w:val="004F5C41"/>
    <w:rsid w:val="004F5CDB"/>
    <w:rsid w:val="004F5E19"/>
    <w:rsid w:val="004F6042"/>
    <w:rsid w:val="004F6200"/>
    <w:rsid w:val="004F6952"/>
    <w:rsid w:val="004F6EA1"/>
    <w:rsid w:val="005001F2"/>
    <w:rsid w:val="00500B46"/>
    <w:rsid w:val="00500B85"/>
    <w:rsid w:val="00501936"/>
    <w:rsid w:val="00501DD6"/>
    <w:rsid w:val="00501FC5"/>
    <w:rsid w:val="00502071"/>
    <w:rsid w:val="005020CD"/>
    <w:rsid w:val="00502415"/>
    <w:rsid w:val="0050317D"/>
    <w:rsid w:val="00503182"/>
    <w:rsid w:val="005032FF"/>
    <w:rsid w:val="00503945"/>
    <w:rsid w:val="00503C84"/>
    <w:rsid w:val="00503E82"/>
    <w:rsid w:val="00503F6F"/>
    <w:rsid w:val="00504624"/>
    <w:rsid w:val="00504679"/>
    <w:rsid w:val="00504739"/>
    <w:rsid w:val="00504E70"/>
    <w:rsid w:val="00504E7C"/>
    <w:rsid w:val="005054EC"/>
    <w:rsid w:val="0050618D"/>
    <w:rsid w:val="00506820"/>
    <w:rsid w:val="005068AF"/>
    <w:rsid w:val="00507C12"/>
    <w:rsid w:val="005111C8"/>
    <w:rsid w:val="00511401"/>
    <w:rsid w:val="00511757"/>
    <w:rsid w:val="0051243C"/>
    <w:rsid w:val="00512B4A"/>
    <w:rsid w:val="00512F06"/>
    <w:rsid w:val="00513038"/>
    <w:rsid w:val="005130FA"/>
    <w:rsid w:val="00513379"/>
    <w:rsid w:val="005135E4"/>
    <w:rsid w:val="00513B9E"/>
    <w:rsid w:val="00514B15"/>
    <w:rsid w:val="005154B9"/>
    <w:rsid w:val="00515A47"/>
    <w:rsid w:val="00516761"/>
    <w:rsid w:val="00517439"/>
    <w:rsid w:val="0052034E"/>
    <w:rsid w:val="00520424"/>
    <w:rsid w:val="0052132C"/>
    <w:rsid w:val="005215CA"/>
    <w:rsid w:val="005219FC"/>
    <w:rsid w:val="00521C63"/>
    <w:rsid w:val="00522AE2"/>
    <w:rsid w:val="00523110"/>
    <w:rsid w:val="00523645"/>
    <w:rsid w:val="00524004"/>
    <w:rsid w:val="00524450"/>
    <w:rsid w:val="00524766"/>
    <w:rsid w:val="00525778"/>
    <w:rsid w:val="005259C2"/>
    <w:rsid w:val="00525EB4"/>
    <w:rsid w:val="0052655D"/>
    <w:rsid w:val="00526608"/>
    <w:rsid w:val="00527A7E"/>
    <w:rsid w:val="00527AE1"/>
    <w:rsid w:val="00527D3C"/>
    <w:rsid w:val="00530141"/>
    <w:rsid w:val="00530EF6"/>
    <w:rsid w:val="00531239"/>
    <w:rsid w:val="00531D6F"/>
    <w:rsid w:val="0053248B"/>
    <w:rsid w:val="00532699"/>
    <w:rsid w:val="005327E9"/>
    <w:rsid w:val="00532BF1"/>
    <w:rsid w:val="00532C05"/>
    <w:rsid w:val="00532DED"/>
    <w:rsid w:val="00533267"/>
    <w:rsid w:val="00533518"/>
    <w:rsid w:val="00533A4C"/>
    <w:rsid w:val="00533D35"/>
    <w:rsid w:val="00533DE5"/>
    <w:rsid w:val="00534534"/>
    <w:rsid w:val="005350AF"/>
    <w:rsid w:val="005355BA"/>
    <w:rsid w:val="00535AE0"/>
    <w:rsid w:val="00535B2E"/>
    <w:rsid w:val="00536213"/>
    <w:rsid w:val="005364A6"/>
    <w:rsid w:val="0053664B"/>
    <w:rsid w:val="005369B7"/>
    <w:rsid w:val="00536CB9"/>
    <w:rsid w:val="005376CB"/>
    <w:rsid w:val="00537C04"/>
    <w:rsid w:val="00540106"/>
    <w:rsid w:val="005403E2"/>
    <w:rsid w:val="005409FC"/>
    <w:rsid w:val="005419DC"/>
    <w:rsid w:val="00542241"/>
    <w:rsid w:val="0054240F"/>
    <w:rsid w:val="005425A9"/>
    <w:rsid w:val="00543005"/>
    <w:rsid w:val="0054316C"/>
    <w:rsid w:val="0054373D"/>
    <w:rsid w:val="005437A0"/>
    <w:rsid w:val="005439F1"/>
    <w:rsid w:val="00543B92"/>
    <w:rsid w:val="00543CB6"/>
    <w:rsid w:val="00543D70"/>
    <w:rsid w:val="00543E54"/>
    <w:rsid w:val="0054416B"/>
    <w:rsid w:val="0054471C"/>
    <w:rsid w:val="0054486B"/>
    <w:rsid w:val="00545128"/>
    <w:rsid w:val="0054522E"/>
    <w:rsid w:val="005457DE"/>
    <w:rsid w:val="00545987"/>
    <w:rsid w:val="00545CFD"/>
    <w:rsid w:val="00545DA1"/>
    <w:rsid w:val="00545F83"/>
    <w:rsid w:val="00546331"/>
    <w:rsid w:val="00546372"/>
    <w:rsid w:val="0054661E"/>
    <w:rsid w:val="00546CFA"/>
    <w:rsid w:val="00546EDF"/>
    <w:rsid w:val="005501E1"/>
    <w:rsid w:val="0055092A"/>
    <w:rsid w:val="00550A47"/>
    <w:rsid w:val="00550FFC"/>
    <w:rsid w:val="005510A7"/>
    <w:rsid w:val="0055226C"/>
    <w:rsid w:val="0055239E"/>
    <w:rsid w:val="00553768"/>
    <w:rsid w:val="00553FF9"/>
    <w:rsid w:val="005541E4"/>
    <w:rsid w:val="00554357"/>
    <w:rsid w:val="0055444D"/>
    <w:rsid w:val="005549C3"/>
    <w:rsid w:val="00554B3D"/>
    <w:rsid w:val="005553D6"/>
    <w:rsid w:val="005557B9"/>
    <w:rsid w:val="00555BAB"/>
    <w:rsid w:val="00555BEB"/>
    <w:rsid w:val="00555F97"/>
    <w:rsid w:val="005569FE"/>
    <w:rsid w:val="00556DB3"/>
    <w:rsid w:val="00556E84"/>
    <w:rsid w:val="0055706E"/>
    <w:rsid w:val="0055733C"/>
    <w:rsid w:val="00557CE2"/>
    <w:rsid w:val="00560349"/>
    <w:rsid w:val="00560575"/>
    <w:rsid w:val="00560FF3"/>
    <w:rsid w:val="005613A9"/>
    <w:rsid w:val="005613BF"/>
    <w:rsid w:val="00561581"/>
    <w:rsid w:val="005627BD"/>
    <w:rsid w:val="00562829"/>
    <w:rsid w:val="00562F22"/>
    <w:rsid w:val="0056331C"/>
    <w:rsid w:val="0056336F"/>
    <w:rsid w:val="00563661"/>
    <w:rsid w:val="005637B1"/>
    <w:rsid w:val="00563880"/>
    <w:rsid w:val="00563F88"/>
    <w:rsid w:val="00564A12"/>
    <w:rsid w:val="00564D02"/>
    <w:rsid w:val="00564DFB"/>
    <w:rsid w:val="00565B9B"/>
    <w:rsid w:val="00565C9D"/>
    <w:rsid w:val="00565DEB"/>
    <w:rsid w:val="00566258"/>
    <w:rsid w:val="00566873"/>
    <w:rsid w:val="00566B61"/>
    <w:rsid w:val="00566DAC"/>
    <w:rsid w:val="00566F0D"/>
    <w:rsid w:val="00567969"/>
    <w:rsid w:val="00567C70"/>
    <w:rsid w:val="005702E2"/>
    <w:rsid w:val="00570FFD"/>
    <w:rsid w:val="005713C7"/>
    <w:rsid w:val="0057152A"/>
    <w:rsid w:val="00571990"/>
    <w:rsid w:val="00571D96"/>
    <w:rsid w:val="00572F29"/>
    <w:rsid w:val="005732E0"/>
    <w:rsid w:val="00573740"/>
    <w:rsid w:val="005739E9"/>
    <w:rsid w:val="00573AD2"/>
    <w:rsid w:val="005740BF"/>
    <w:rsid w:val="00575239"/>
    <w:rsid w:val="00575985"/>
    <w:rsid w:val="00575D60"/>
    <w:rsid w:val="00576118"/>
    <w:rsid w:val="0057661E"/>
    <w:rsid w:val="0057677A"/>
    <w:rsid w:val="005769E5"/>
    <w:rsid w:val="00576B91"/>
    <w:rsid w:val="00577185"/>
    <w:rsid w:val="0057738E"/>
    <w:rsid w:val="0057793B"/>
    <w:rsid w:val="00577964"/>
    <w:rsid w:val="00577DF6"/>
    <w:rsid w:val="00577FB5"/>
    <w:rsid w:val="00580001"/>
    <w:rsid w:val="00580758"/>
    <w:rsid w:val="005809E4"/>
    <w:rsid w:val="00580CC1"/>
    <w:rsid w:val="00580CF2"/>
    <w:rsid w:val="00580D24"/>
    <w:rsid w:val="005812AE"/>
    <w:rsid w:val="005819A9"/>
    <w:rsid w:val="00581AB0"/>
    <w:rsid w:val="0058218B"/>
    <w:rsid w:val="00582EB6"/>
    <w:rsid w:val="005830D0"/>
    <w:rsid w:val="005833F4"/>
    <w:rsid w:val="00583445"/>
    <w:rsid w:val="005836EC"/>
    <w:rsid w:val="005839B7"/>
    <w:rsid w:val="0058411D"/>
    <w:rsid w:val="0058447A"/>
    <w:rsid w:val="005844FF"/>
    <w:rsid w:val="005849F6"/>
    <w:rsid w:val="00584AE0"/>
    <w:rsid w:val="005855AB"/>
    <w:rsid w:val="0058570C"/>
    <w:rsid w:val="005865CF"/>
    <w:rsid w:val="00586698"/>
    <w:rsid w:val="00586ADA"/>
    <w:rsid w:val="00587460"/>
    <w:rsid w:val="00587C74"/>
    <w:rsid w:val="00587D87"/>
    <w:rsid w:val="00590415"/>
    <w:rsid w:val="00590655"/>
    <w:rsid w:val="005908E4"/>
    <w:rsid w:val="00590C57"/>
    <w:rsid w:val="00590DCB"/>
    <w:rsid w:val="00591479"/>
    <w:rsid w:val="0059197B"/>
    <w:rsid w:val="00591B72"/>
    <w:rsid w:val="00592C2E"/>
    <w:rsid w:val="00592C66"/>
    <w:rsid w:val="00592FC1"/>
    <w:rsid w:val="0059303A"/>
    <w:rsid w:val="00593A26"/>
    <w:rsid w:val="00593AFE"/>
    <w:rsid w:val="00593E29"/>
    <w:rsid w:val="005940F9"/>
    <w:rsid w:val="005948B0"/>
    <w:rsid w:val="00594AD0"/>
    <w:rsid w:val="00595413"/>
    <w:rsid w:val="00595547"/>
    <w:rsid w:val="0059565A"/>
    <w:rsid w:val="00595707"/>
    <w:rsid w:val="00595811"/>
    <w:rsid w:val="005959A7"/>
    <w:rsid w:val="00595FF9"/>
    <w:rsid w:val="005969BA"/>
    <w:rsid w:val="005971AE"/>
    <w:rsid w:val="00597370"/>
    <w:rsid w:val="00597802"/>
    <w:rsid w:val="00597BBF"/>
    <w:rsid w:val="00597DA9"/>
    <w:rsid w:val="005A0158"/>
    <w:rsid w:val="005A12AE"/>
    <w:rsid w:val="005A182E"/>
    <w:rsid w:val="005A215D"/>
    <w:rsid w:val="005A3219"/>
    <w:rsid w:val="005A3823"/>
    <w:rsid w:val="005A3F2E"/>
    <w:rsid w:val="005A45A3"/>
    <w:rsid w:val="005A48F9"/>
    <w:rsid w:val="005A5242"/>
    <w:rsid w:val="005A5516"/>
    <w:rsid w:val="005A5568"/>
    <w:rsid w:val="005A58FD"/>
    <w:rsid w:val="005A5E0B"/>
    <w:rsid w:val="005A625D"/>
    <w:rsid w:val="005A64DD"/>
    <w:rsid w:val="005A6876"/>
    <w:rsid w:val="005A6927"/>
    <w:rsid w:val="005A742B"/>
    <w:rsid w:val="005A7755"/>
    <w:rsid w:val="005B0129"/>
    <w:rsid w:val="005B0B08"/>
    <w:rsid w:val="005B1E2E"/>
    <w:rsid w:val="005B3340"/>
    <w:rsid w:val="005B346C"/>
    <w:rsid w:val="005B3AAF"/>
    <w:rsid w:val="005B4F13"/>
    <w:rsid w:val="005B519F"/>
    <w:rsid w:val="005B5ACE"/>
    <w:rsid w:val="005B5ADF"/>
    <w:rsid w:val="005B5D0B"/>
    <w:rsid w:val="005B62D5"/>
    <w:rsid w:val="005C03B6"/>
    <w:rsid w:val="005C1858"/>
    <w:rsid w:val="005C1B93"/>
    <w:rsid w:val="005C1BAC"/>
    <w:rsid w:val="005C1F72"/>
    <w:rsid w:val="005C2457"/>
    <w:rsid w:val="005C2EA0"/>
    <w:rsid w:val="005C3EA5"/>
    <w:rsid w:val="005C4231"/>
    <w:rsid w:val="005C4322"/>
    <w:rsid w:val="005C4C67"/>
    <w:rsid w:val="005C5281"/>
    <w:rsid w:val="005C53C2"/>
    <w:rsid w:val="005C5FB1"/>
    <w:rsid w:val="005C64C6"/>
    <w:rsid w:val="005C6DB5"/>
    <w:rsid w:val="005C7152"/>
    <w:rsid w:val="005C7B82"/>
    <w:rsid w:val="005D0F90"/>
    <w:rsid w:val="005D12EA"/>
    <w:rsid w:val="005D1976"/>
    <w:rsid w:val="005D2248"/>
    <w:rsid w:val="005D238D"/>
    <w:rsid w:val="005D2AD9"/>
    <w:rsid w:val="005D2E0E"/>
    <w:rsid w:val="005D32B8"/>
    <w:rsid w:val="005D3D1A"/>
    <w:rsid w:val="005D405E"/>
    <w:rsid w:val="005D4095"/>
    <w:rsid w:val="005D468D"/>
    <w:rsid w:val="005D4A04"/>
    <w:rsid w:val="005D5126"/>
    <w:rsid w:val="005D5270"/>
    <w:rsid w:val="005D54B6"/>
    <w:rsid w:val="005D60CD"/>
    <w:rsid w:val="005D6952"/>
    <w:rsid w:val="005D6D54"/>
    <w:rsid w:val="005D6E0A"/>
    <w:rsid w:val="005D75A7"/>
    <w:rsid w:val="005E0692"/>
    <w:rsid w:val="005E09D6"/>
    <w:rsid w:val="005E103D"/>
    <w:rsid w:val="005E108C"/>
    <w:rsid w:val="005E2057"/>
    <w:rsid w:val="005E2576"/>
    <w:rsid w:val="005E26D2"/>
    <w:rsid w:val="005E3DC9"/>
    <w:rsid w:val="005E4391"/>
    <w:rsid w:val="005E462D"/>
    <w:rsid w:val="005E4760"/>
    <w:rsid w:val="005E4939"/>
    <w:rsid w:val="005E4A67"/>
    <w:rsid w:val="005E4F69"/>
    <w:rsid w:val="005E59C5"/>
    <w:rsid w:val="005E64C8"/>
    <w:rsid w:val="005E6575"/>
    <w:rsid w:val="005E6624"/>
    <w:rsid w:val="005E66D6"/>
    <w:rsid w:val="005E6AE6"/>
    <w:rsid w:val="005E6BA5"/>
    <w:rsid w:val="005E6FE4"/>
    <w:rsid w:val="005E700D"/>
    <w:rsid w:val="005E738B"/>
    <w:rsid w:val="005E77C7"/>
    <w:rsid w:val="005E7E6F"/>
    <w:rsid w:val="005F00EB"/>
    <w:rsid w:val="005F03E6"/>
    <w:rsid w:val="005F0532"/>
    <w:rsid w:val="005F07BB"/>
    <w:rsid w:val="005F0F90"/>
    <w:rsid w:val="005F13E0"/>
    <w:rsid w:val="005F19C8"/>
    <w:rsid w:val="005F1AD5"/>
    <w:rsid w:val="005F2DF3"/>
    <w:rsid w:val="005F356F"/>
    <w:rsid w:val="005F3836"/>
    <w:rsid w:val="005F3E80"/>
    <w:rsid w:val="005F3F1E"/>
    <w:rsid w:val="005F4269"/>
    <w:rsid w:val="005F4592"/>
    <w:rsid w:val="005F464F"/>
    <w:rsid w:val="005F4703"/>
    <w:rsid w:val="005F4C47"/>
    <w:rsid w:val="005F4F2E"/>
    <w:rsid w:val="005F590D"/>
    <w:rsid w:val="005F5BAB"/>
    <w:rsid w:val="005F611A"/>
    <w:rsid w:val="005F639D"/>
    <w:rsid w:val="005F6969"/>
    <w:rsid w:val="005F70C3"/>
    <w:rsid w:val="005F76C3"/>
    <w:rsid w:val="005F78B5"/>
    <w:rsid w:val="005F7A64"/>
    <w:rsid w:val="005F7E47"/>
    <w:rsid w:val="00600256"/>
    <w:rsid w:val="00600A55"/>
    <w:rsid w:val="0060128F"/>
    <w:rsid w:val="006017DE"/>
    <w:rsid w:val="006032B9"/>
    <w:rsid w:val="006037FB"/>
    <w:rsid w:val="00603EF2"/>
    <w:rsid w:val="0060461C"/>
    <w:rsid w:val="00604FE4"/>
    <w:rsid w:val="006051A4"/>
    <w:rsid w:val="0060593F"/>
    <w:rsid w:val="00606BC4"/>
    <w:rsid w:val="00607292"/>
    <w:rsid w:val="006072F8"/>
    <w:rsid w:val="00607435"/>
    <w:rsid w:val="00607A0E"/>
    <w:rsid w:val="00607DB3"/>
    <w:rsid w:val="00610352"/>
    <w:rsid w:val="006108CE"/>
    <w:rsid w:val="00610C39"/>
    <w:rsid w:val="00610C9A"/>
    <w:rsid w:val="00610EE9"/>
    <w:rsid w:val="00611BBC"/>
    <w:rsid w:val="00611E59"/>
    <w:rsid w:val="0061204B"/>
    <w:rsid w:val="00612542"/>
    <w:rsid w:val="00612886"/>
    <w:rsid w:val="00612940"/>
    <w:rsid w:val="00612F48"/>
    <w:rsid w:val="0061419E"/>
    <w:rsid w:val="00614BCD"/>
    <w:rsid w:val="0061516C"/>
    <w:rsid w:val="00615189"/>
    <w:rsid w:val="0061525C"/>
    <w:rsid w:val="006154D2"/>
    <w:rsid w:val="00615B85"/>
    <w:rsid w:val="00615D6C"/>
    <w:rsid w:val="00615E31"/>
    <w:rsid w:val="006162CF"/>
    <w:rsid w:val="00616A38"/>
    <w:rsid w:val="00616FC2"/>
    <w:rsid w:val="00620158"/>
    <w:rsid w:val="00620777"/>
    <w:rsid w:val="00620C7D"/>
    <w:rsid w:val="00620EB7"/>
    <w:rsid w:val="00621AC1"/>
    <w:rsid w:val="006221B5"/>
    <w:rsid w:val="00622826"/>
    <w:rsid w:val="006229E6"/>
    <w:rsid w:val="00622CC7"/>
    <w:rsid w:val="00622DDA"/>
    <w:rsid w:val="00623245"/>
    <w:rsid w:val="006239D3"/>
    <w:rsid w:val="00623AAA"/>
    <w:rsid w:val="00623F69"/>
    <w:rsid w:val="00625712"/>
    <w:rsid w:val="00626232"/>
    <w:rsid w:val="006265A5"/>
    <w:rsid w:val="006265F6"/>
    <w:rsid w:val="00626757"/>
    <w:rsid w:val="006267EC"/>
    <w:rsid w:val="006269AB"/>
    <w:rsid w:val="00626D4B"/>
    <w:rsid w:val="00626DB0"/>
    <w:rsid w:val="006272D5"/>
    <w:rsid w:val="0062740A"/>
    <w:rsid w:val="006278A3"/>
    <w:rsid w:val="0062794E"/>
    <w:rsid w:val="006300E1"/>
    <w:rsid w:val="0063038C"/>
    <w:rsid w:val="00631124"/>
    <w:rsid w:val="0063139B"/>
    <w:rsid w:val="00631906"/>
    <w:rsid w:val="0063193A"/>
    <w:rsid w:val="00631C2E"/>
    <w:rsid w:val="0063276E"/>
    <w:rsid w:val="00632DA5"/>
    <w:rsid w:val="00633821"/>
    <w:rsid w:val="00633B3F"/>
    <w:rsid w:val="006342E8"/>
    <w:rsid w:val="0063460E"/>
    <w:rsid w:val="00634A6F"/>
    <w:rsid w:val="00634E8D"/>
    <w:rsid w:val="00635667"/>
    <w:rsid w:val="0063641E"/>
    <w:rsid w:val="00636653"/>
    <w:rsid w:val="006366B1"/>
    <w:rsid w:val="006368EC"/>
    <w:rsid w:val="006371E9"/>
    <w:rsid w:val="00637766"/>
    <w:rsid w:val="006377B8"/>
    <w:rsid w:val="00637CBB"/>
    <w:rsid w:val="00640329"/>
    <w:rsid w:val="00640528"/>
    <w:rsid w:val="00640583"/>
    <w:rsid w:val="006408A7"/>
    <w:rsid w:val="00640B7C"/>
    <w:rsid w:val="00640EE2"/>
    <w:rsid w:val="00640F40"/>
    <w:rsid w:val="0064172B"/>
    <w:rsid w:val="00642828"/>
    <w:rsid w:val="00642F8A"/>
    <w:rsid w:val="0064344E"/>
    <w:rsid w:val="0064378F"/>
    <w:rsid w:val="00643AAB"/>
    <w:rsid w:val="00643E60"/>
    <w:rsid w:val="00643F14"/>
    <w:rsid w:val="0064410A"/>
    <w:rsid w:val="0064410C"/>
    <w:rsid w:val="0064445E"/>
    <w:rsid w:val="006447DA"/>
    <w:rsid w:val="00644A24"/>
    <w:rsid w:val="00644EBF"/>
    <w:rsid w:val="006450E1"/>
    <w:rsid w:val="006459AB"/>
    <w:rsid w:val="00646217"/>
    <w:rsid w:val="006469CA"/>
    <w:rsid w:val="00646B27"/>
    <w:rsid w:val="00647C43"/>
    <w:rsid w:val="00647DD4"/>
    <w:rsid w:val="00650525"/>
    <w:rsid w:val="0065117B"/>
    <w:rsid w:val="006515F9"/>
    <w:rsid w:val="00651837"/>
    <w:rsid w:val="00651B11"/>
    <w:rsid w:val="00651E63"/>
    <w:rsid w:val="0065205D"/>
    <w:rsid w:val="006524FE"/>
    <w:rsid w:val="006535DC"/>
    <w:rsid w:val="00653608"/>
    <w:rsid w:val="00653E88"/>
    <w:rsid w:val="00654356"/>
    <w:rsid w:val="0065451A"/>
    <w:rsid w:val="00654DB8"/>
    <w:rsid w:val="00654EDA"/>
    <w:rsid w:val="00655131"/>
    <w:rsid w:val="00655A1A"/>
    <w:rsid w:val="00655CC4"/>
    <w:rsid w:val="00655DBF"/>
    <w:rsid w:val="00655FA5"/>
    <w:rsid w:val="00656152"/>
    <w:rsid w:val="006561EC"/>
    <w:rsid w:val="00656418"/>
    <w:rsid w:val="0065667C"/>
    <w:rsid w:val="006567A9"/>
    <w:rsid w:val="00656A8F"/>
    <w:rsid w:val="00656FD6"/>
    <w:rsid w:val="006571D8"/>
    <w:rsid w:val="00657A0F"/>
    <w:rsid w:val="00657AB0"/>
    <w:rsid w:val="006600E6"/>
    <w:rsid w:val="006603BA"/>
    <w:rsid w:val="006603E5"/>
    <w:rsid w:val="00660F09"/>
    <w:rsid w:val="006613B6"/>
    <w:rsid w:val="00661945"/>
    <w:rsid w:val="00661C2E"/>
    <w:rsid w:val="00661D7A"/>
    <w:rsid w:val="006620FC"/>
    <w:rsid w:val="00662130"/>
    <w:rsid w:val="006627B9"/>
    <w:rsid w:val="00662A59"/>
    <w:rsid w:val="00662B59"/>
    <w:rsid w:val="00662F5D"/>
    <w:rsid w:val="00663038"/>
    <w:rsid w:val="006633FE"/>
    <w:rsid w:val="00663412"/>
    <w:rsid w:val="006634E0"/>
    <w:rsid w:val="006635C9"/>
    <w:rsid w:val="00663C45"/>
    <w:rsid w:val="0066432C"/>
    <w:rsid w:val="006644B5"/>
    <w:rsid w:val="0066470D"/>
    <w:rsid w:val="006651D0"/>
    <w:rsid w:val="006653C7"/>
    <w:rsid w:val="00665428"/>
    <w:rsid w:val="00665E9C"/>
    <w:rsid w:val="00666334"/>
    <w:rsid w:val="006664C9"/>
    <w:rsid w:val="00666A36"/>
    <w:rsid w:val="0067039E"/>
    <w:rsid w:val="0067096B"/>
    <w:rsid w:val="00670AD6"/>
    <w:rsid w:val="00670D01"/>
    <w:rsid w:val="00671773"/>
    <w:rsid w:val="00672093"/>
    <w:rsid w:val="00672D1B"/>
    <w:rsid w:val="006732CC"/>
    <w:rsid w:val="0067355D"/>
    <w:rsid w:val="00673E10"/>
    <w:rsid w:val="00673FC1"/>
    <w:rsid w:val="00674A63"/>
    <w:rsid w:val="00674C60"/>
    <w:rsid w:val="00675200"/>
    <w:rsid w:val="00675254"/>
    <w:rsid w:val="00675A9A"/>
    <w:rsid w:val="00675B36"/>
    <w:rsid w:val="00675F0B"/>
    <w:rsid w:val="0067672B"/>
    <w:rsid w:val="006767DC"/>
    <w:rsid w:val="00676D24"/>
    <w:rsid w:val="006770F9"/>
    <w:rsid w:val="0067771F"/>
    <w:rsid w:val="006777CF"/>
    <w:rsid w:val="006806FD"/>
    <w:rsid w:val="0068080E"/>
    <w:rsid w:val="006810B9"/>
    <w:rsid w:val="00681812"/>
    <w:rsid w:val="006823AC"/>
    <w:rsid w:val="006827BF"/>
    <w:rsid w:val="00682803"/>
    <w:rsid w:val="006829BC"/>
    <w:rsid w:val="00682B29"/>
    <w:rsid w:val="0068319F"/>
    <w:rsid w:val="006831B8"/>
    <w:rsid w:val="00683CC1"/>
    <w:rsid w:val="00683F2C"/>
    <w:rsid w:val="00684503"/>
    <w:rsid w:val="0068497A"/>
    <w:rsid w:val="00684CD4"/>
    <w:rsid w:val="00686564"/>
    <w:rsid w:val="00686702"/>
    <w:rsid w:val="006872A7"/>
    <w:rsid w:val="006872AC"/>
    <w:rsid w:val="006878B1"/>
    <w:rsid w:val="00687E4C"/>
    <w:rsid w:val="00690007"/>
    <w:rsid w:val="00690A31"/>
    <w:rsid w:val="00691205"/>
    <w:rsid w:val="00692E01"/>
    <w:rsid w:val="00692E78"/>
    <w:rsid w:val="006932A5"/>
    <w:rsid w:val="0069331D"/>
    <w:rsid w:val="006937F3"/>
    <w:rsid w:val="006940C8"/>
    <w:rsid w:val="006940F3"/>
    <w:rsid w:val="0069465B"/>
    <w:rsid w:val="006948C1"/>
    <w:rsid w:val="00695C43"/>
    <w:rsid w:val="006962E6"/>
    <w:rsid w:val="0069650A"/>
    <w:rsid w:val="00696786"/>
    <w:rsid w:val="00696897"/>
    <w:rsid w:val="00696ADD"/>
    <w:rsid w:val="00696B18"/>
    <w:rsid w:val="006971C3"/>
    <w:rsid w:val="006971D7"/>
    <w:rsid w:val="006973C5"/>
    <w:rsid w:val="00697580"/>
    <w:rsid w:val="0069792C"/>
    <w:rsid w:val="006A0AE4"/>
    <w:rsid w:val="006A18F8"/>
    <w:rsid w:val="006A19F4"/>
    <w:rsid w:val="006A1BAA"/>
    <w:rsid w:val="006A1F95"/>
    <w:rsid w:val="006A277A"/>
    <w:rsid w:val="006A29D2"/>
    <w:rsid w:val="006A3089"/>
    <w:rsid w:val="006A31B9"/>
    <w:rsid w:val="006A4479"/>
    <w:rsid w:val="006A46C6"/>
    <w:rsid w:val="006A4A85"/>
    <w:rsid w:val="006A4AD0"/>
    <w:rsid w:val="006A4BF8"/>
    <w:rsid w:val="006A526A"/>
    <w:rsid w:val="006A53A9"/>
    <w:rsid w:val="006A63AE"/>
    <w:rsid w:val="006A6B5C"/>
    <w:rsid w:val="006A6C81"/>
    <w:rsid w:val="006A6E1C"/>
    <w:rsid w:val="006A7593"/>
    <w:rsid w:val="006A782E"/>
    <w:rsid w:val="006A7DB3"/>
    <w:rsid w:val="006A7F4D"/>
    <w:rsid w:val="006B0727"/>
    <w:rsid w:val="006B093B"/>
    <w:rsid w:val="006B0DB4"/>
    <w:rsid w:val="006B10B0"/>
    <w:rsid w:val="006B18A3"/>
    <w:rsid w:val="006B1AEC"/>
    <w:rsid w:val="006B287F"/>
    <w:rsid w:val="006B2A4F"/>
    <w:rsid w:val="006B2DEB"/>
    <w:rsid w:val="006B2EED"/>
    <w:rsid w:val="006B3047"/>
    <w:rsid w:val="006B33AA"/>
    <w:rsid w:val="006B43ED"/>
    <w:rsid w:val="006B4511"/>
    <w:rsid w:val="006B5342"/>
    <w:rsid w:val="006B5CC3"/>
    <w:rsid w:val="006B62E6"/>
    <w:rsid w:val="006B6AA9"/>
    <w:rsid w:val="006B6D17"/>
    <w:rsid w:val="006B6D42"/>
    <w:rsid w:val="006B7810"/>
    <w:rsid w:val="006B787D"/>
    <w:rsid w:val="006B7F13"/>
    <w:rsid w:val="006C0E16"/>
    <w:rsid w:val="006C0F13"/>
    <w:rsid w:val="006C0FD5"/>
    <w:rsid w:val="006C135E"/>
    <w:rsid w:val="006C14F9"/>
    <w:rsid w:val="006C1A8D"/>
    <w:rsid w:val="006C226D"/>
    <w:rsid w:val="006C252B"/>
    <w:rsid w:val="006C2820"/>
    <w:rsid w:val="006C2F91"/>
    <w:rsid w:val="006C381E"/>
    <w:rsid w:val="006C41DA"/>
    <w:rsid w:val="006C47AC"/>
    <w:rsid w:val="006C4BC9"/>
    <w:rsid w:val="006C5421"/>
    <w:rsid w:val="006C54E3"/>
    <w:rsid w:val="006C5916"/>
    <w:rsid w:val="006C5C3F"/>
    <w:rsid w:val="006C6040"/>
    <w:rsid w:val="006C669C"/>
    <w:rsid w:val="006C68BE"/>
    <w:rsid w:val="006D0BB2"/>
    <w:rsid w:val="006D0E72"/>
    <w:rsid w:val="006D18AC"/>
    <w:rsid w:val="006D190A"/>
    <w:rsid w:val="006D1D1D"/>
    <w:rsid w:val="006D1EFA"/>
    <w:rsid w:val="006D22DC"/>
    <w:rsid w:val="006D2346"/>
    <w:rsid w:val="006D2B45"/>
    <w:rsid w:val="006D2E9A"/>
    <w:rsid w:val="006D325A"/>
    <w:rsid w:val="006D328C"/>
    <w:rsid w:val="006D3467"/>
    <w:rsid w:val="006D356F"/>
    <w:rsid w:val="006D38DF"/>
    <w:rsid w:val="006D4072"/>
    <w:rsid w:val="006D4264"/>
    <w:rsid w:val="006D4512"/>
    <w:rsid w:val="006D47C2"/>
    <w:rsid w:val="006D6671"/>
    <w:rsid w:val="006D667A"/>
    <w:rsid w:val="006D6E8C"/>
    <w:rsid w:val="006D702E"/>
    <w:rsid w:val="006D74B0"/>
    <w:rsid w:val="006D7D2F"/>
    <w:rsid w:val="006E1C44"/>
    <w:rsid w:val="006E1C79"/>
    <w:rsid w:val="006E3179"/>
    <w:rsid w:val="006E4038"/>
    <w:rsid w:val="006E42AE"/>
    <w:rsid w:val="006E4AEB"/>
    <w:rsid w:val="006E4D10"/>
    <w:rsid w:val="006E4EEE"/>
    <w:rsid w:val="006E564C"/>
    <w:rsid w:val="006E5E26"/>
    <w:rsid w:val="006E6E12"/>
    <w:rsid w:val="006E74DD"/>
    <w:rsid w:val="006E7690"/>
    <w:rsid w:val="006E791A"/>
    <w:rsid w:val="006E793B"/>
    <w:rsid w:val="006F06A2"/>
    <w:rsid w:val="006F0BAB"/>
    <w:rsid w:val="006F0F3B"/>
    <w:rsid w:val="006F11FC"/>
    <w:rsid w:val="006F195E"/>
    <w:rsid w:val="006F1BB1"/>
    <w:rsid w:val="006F250D"/>
    <w:rsid w:val="006F2B17"/>
    <w:rsid w:val="006F2D95"/>
    <w:rsid w:val="006F3552"/>
    <w:rsid w:val="006F3819"/>
    <w:rsid w:val="006F45EE"/>
    <w:rsid w:val="006F4768"/>
    <w:rsid w:val="006F512D"/>
    <w:rsid w:val="006F52E0"/>
    <w:rsid w:val="006F5507"/>
    <w:rsid w:val="006F5E84"/>
    <w:rsid w:val="006F607A"/>
    <w:rsid w:val="006F70B4"/>
    <w:rsid w:val="006F7218"/>
    <w:rsid w:val="006F76EC"/>
    <w:rsid w:val="006F7B17"/>
    <w:rsid w:val="006F7DED"/>
    <w:rsid w:val="00700A17"/>
    <w:rsid w:val="00700EC2"/>
    <w:rsid w:val="00701046"/>
    <w:rsid w:val="00701374"/>
    <w:rsid w:val="007021EF"/>
    <w:rsid w:val="007024A0"/>
    <w:rsid w:val="007028D9"/>
    <w:rsid w:val="00702969"/>
    <w:rsid w:val="007035A3"/>
    <w:rsid w:val="007038D1"/>
    <w:rsid w:val="007039D4"/>
    <w:rsid w:val="007044C4"/>
    <w:rsid w:val="0070465F"/>
    <w:rsid w:val="00704689"/>
    <w:rsid w:val="00704BAB"/>
    <w:rsid w:val="00704DFC"/>
    <w:rsid w:val="007056CB"/>
    <w:rsid w:val="00705B4A"/>
    <w:rsid w:val="00706A6D"/>
    <w:rsid w:val="007072AD"/>
    <w:rsid w:val="00707AB8"/>
    <w:rsid w:val="0071041E"/>
    <w:rsid w:val="0071076D"/>
    <w:rsid w:val="00710781"/>
    <w:rsid w:val="00711245"/>
    <w:rsid w:val="0071129F"/>
    <w:rsid w:val="00711756"/>
    <w:rsid w:val="007117FC"/>
    <w:rsid w:val="00711B1D"/>
    <w:rsid w:val="00712F40"/>
    <w:rsid w:val="00713704"/>
    <w:rsid w:val="00713D8A"/>
    <w:rsid w:val="00714173"/>
    <w:rsid w:val="00714FE9"/>
    <w:rsid w:val="00715310"/>
    <w:rsid w:val="007153B3"/>
    <w:rsid w:val="007154DB"/>
    <w:rsid w:val="00715C72"/>
    <w:rsid w:val="0071611F"/>
    <w:rsid w:val="007171B4"/>
    <w:rsid w:val="007203BC"/>
    <w:rsid w:val="00720626"/>
    <w:rsid w:val="0072098B"/>
    <w:rsid w:val="00721247"/>
    <w:rsid w:val="0072183E"/>
    <w:rsid w:val="00721A79"/>
    <w:rsid w:val="00721E57"/>
    <w:rsid w:val="0072212A"/>
    <w:rsid w:val="0072233F"/>
    <w:rsid w:val="00722BAD"/>
    <w:rsid w:val="00723041"/>
    <w:rsid w:val="007233DF"/>
    <w:rsid w:val="0072410B"/>
    <w:rsid w:val="00724648"/>
    <w:rsid w:val="00725104"/>
    <w:rsid w:val="0072533B"/>
    <w:rsid w:val="00725D38"/>
    <w:rsid w:val="00726A4E"/>
    <w:rsid w:val="0072720D"/>
    <w:rsid w:val="00727BAD"/>
    <w:rsid w:val="007304FA"/>
    <w:rsid w:val="00730521"/>
    <w:rsid w:val="00731124"/>
    <w:rsid w:val="00731794"/>
    <w:rsid w:val="00732469"/>
    <w:rsid w:val="007327A7"/>
    <w:rsid w:val="00732F0B"/>
    <w:rsid w:val="00733593"/>
    <w:rsid w:val="007341BB"/>
    <w:rsid w:val="00734292"/>
    <w:rsid w:val="0073437E"/>
    <w:rsid w:val="00734E89"/>
    <w:rsid w:val="00735383"/>
    <w:rsid w:val="00735D7C"/>
    <w:rsid w:val="007364C3"/>
    <w:rsid w:val="00736F07"/>
    <w:rsid w:val="007373D8"/>
    <w:rsid w:val="0073789D"/>
    <w:rsid w:val="00737AD8"/>
    <w:rsid w:val="00737CB5"/>
    <w:rsid w:val="00737DE8"/>
    <w:rsid w:val="0074006B"/>
    <w:rsid w:val="00740784"/>
    <w:rsid w:val="0074082F"/>
    <w:rsid w:val="00740AC1"/>
    <w:rsid w:val="00740B9B"/>
    <w:rsid w:val="00740DDD"/>
    <w:rsid w:val="00740F8F"/>
    <w:rsid w:val="0074107C"/>
    <w:rsid w:val="007415FD"/>
    <w:rsid w:val="00742243"/>
    <w:rsid w:val="007423F0"/>
    <w:rsid w:val="00743F7F"/>
    <w:rsid w:val="00744380"/>
    <w:rsid w:val="007448B2"/>
    <w:rsid w:val="007449B6"/>
    <w:rsid w:val="0074561B"/>
    <w:rsid w:val="007463DC"/>
    <w:rsid w:val="0074658E"/>
    <w:rsid w:val="00746A2F"/>
    <w:rsid w:val="00746B70"/>
    <w:rsid w:val="0075007D"/>
    <w:rsid w:val="0075079E"/>
    <w:rsid w:val="00750A36"/>
    <w:rsid w:val="00750BA2"/>
    <w:rsid w:val="00751C7D"/>
    <w:rsid w:val="00751D4F"/>
    <w:rsid w:val="00751DBC"/>
    <w:rsid w:val="00751FC7"/>
    <w:rsid w:val="00752135"/>
    <w:rsid w:val="007525CF"/>
    <w:rsid w:val="0075267B"/>
    <w:rsid w:val="007532AC"/>
    <w:rsid w:val="007534A8"/>
    <w:rsid w:val="00753567"/>
    <w:rsid w:val="0075406C"/>
    <w:rsid w:val="00754186"/>
    <w:rsid w:val="00754367"/>
    <w:rsid w:val="0075473A"/>
    <w:rsid w:val="00754926"/>
    <w:rsid w:val="007549C7"/>
    <w:rsid w:val="00754E8C"/>
    <w:rsid w:val="0075542F"/>
    <w:rsid w:val="00755CA6"/>
    <w:rsid w:val="00755EF2"/>
    <w:rsid w:val="00755F19"/>
    <w:rsid w:val="00755F34"/>
    <w:rsid w:val="00755F59"/>
    <w:rsid w:val="00756247"/>
    <w:rsid w:val="0075644B"/>
    <w:rsid w:val="0075648B"/>
    <w:rsid w:val="0075660E"/>
    <w:rsid w:val="0075714A"/>
    <w:rsid w:val="00757D88"/>
    <w:rsid w:val="0076012D"/>
    <w:rsid w:val="00760421"/>
    <w:rsid w:val="00760D0B"/>
    <w:rsid w:val="00760E08"/>
    <w:rsid w:val="007614A2"/>
    <w:rsid w:val="00761BC0"/>
    <w:rsid w:val="0076224D"/>
    <w:rsid w:val="00762D33"/>
    <w:rsid w:val="00762D79"/>
    <w:rsid w:val="007637B0"/>
    <w:rsid w:val="00763DB3"/>
    <w:rsid w:val="00763EE5"/>
    <w:rsid w:val="00763EF1"/>
    <w:rsid w:val="00763F3A"/>
    <w:rsid w:val="00765205"/>
    <w:rsid w:val="00765559"/>
    <w:rsid w:val="0076594B"/>
    <w:rsid w:val="00765AA3"/>
    <w:rsid w:val="00765DE0"/>
    <w:rsid w:val="00766476"/>
    <w:rsid w:val="00767A71"/>
    <w:rsid w:val="00767B67"/>
    <w:rsid w:val="00767C36"/>
    <w:rsid w:val="00770846"/>
    <w:rsid w:val="00770C22"/>
    <w:rsid w:val="0077108B"/>
    <w:rsid w:val="0077133E"/>
    <w:rsid w:val="0077150C"/>
    <w:rsid w:val="00771FA4"/>
    <w:rsid w:val="0077227E"/>
    <w:rsid w:val="007723A0"/>
    <w:rsid w:val="00773C93"/>
    <w:rsid w:val="00773CE7"/>
    <w:rsid w:val="00774E49"/>
    <w:rsid w:val="007750DB"/>
    <w:rsid w:val="00775E75"/>
    <w:rsid w:val="007762DB"/>
    <w:rsid w:val="00777226"/>
    <w:rsid w:val="007779CA"/>
    <w:rsid w:val="007779E4"/>
    <w:rsid w:val="00781270"/>
    <w:rsid w:val="00781A7B"/>
    <w:rsid w:val="00781A8B"/>
    <w:rsid w:val="007827FB"/>
    <w:rsid w:val="00782D24"/>
    <w:rsid w:val="00783134"/>
    <w:rsid w:val="007840D6"/>
    <w:rsid w:val="007849A6"/>
    <w:rsid w:val="00784B04"/>
    <w:rsid w:val="007850DF"/>
    <w:rsid w:val="0078590A"/>
    <w:rsid w:val="00785D86"/>
    <w:rsid w:val="00786118"/>
    <w:rsid w:val="00786518"/>
    <w:rsid w:val="00786B0F"/>
    <w:rsid w:val="00786E9E"/>
    <w:rsid w:val="00787110"/>
    <w:rsid w:val="007875F4"/>
    <w:rsid w:val="007878B3"/>
    <w:rsid w:val="00787F15"/>
    <w:rsid w:val="00790834"/>
    <w:rsid w:val="007908B8"/>
    <w:rsid w:val="00790984"/>
    <w:rsid w:val="007911D6"/>
    <w:rsid w:val="0079130C"/>
    <w:rsid w:val="007913AE"/>
    <w:rsid w:val="00791661"/>
    <w:rsid w:val="00791F58"/>
    <w:rsid w:val="007929FA"/>
    <w:rsid w:val="00792FDD"/>
    <w:rsid w:val="00793700"/>
    <w:rsid w:val="00793D18"/>
    <w:rsid w:val="007941D1"/>
    <w:rsid w:val="007943FE"/>
    <w:rsid w:val="0079476C"/>
    <w:rsid w:val="007947DF"/>
    <w:rsid w:val="00795748"/>
    <w:rsid w:val="00795B4F"/>
    <w:rsid w:val="00795DCB"/>
    <w:rsid w:val="007963D8"/>
    <w:rsid w:val="007979F7"/>
    <w:rsid w:val="00797DC9"/>
    <w:rsid w:val="007A05A6"/>
    <w:rsid w:val="007A06CE"/>
    <w:rsid w:val="007A07DD"/>
    <w:rsid w:val="007A0C06"/>
    <w:rsid w:val="007A15BC"/>
    <w:rsid w:val="007A1702"/>
    <w:rsid w:val="007A19DF"/>
    <w:rsid w:val="007A266C"/>
    <w:rsid w:val="007A43DF"/>
    <w:rsid w:val="007A4467"/>
    <w:rsid w:val="007A47E3"/>
    <w:rsid w:val="007A4D67"/>
    <w:rsid w:val="007A5827"/>
    <w:rsid w:val="007A58A1"/>
    <w:rsid w:val="007A599C"/>
    <w:rsid w:val="007A6190"/>
    <w:rsid w:val="007A6354"/>
    <w:rsid w:val="007A64A6"/>
    <w:rsid w:val="007A666B"/>
    <w:rsid w:val="007A6F8A"/>
    <w:rsid w:val="007A7142"/>
    <w:rsid w:val="007A77BC"/>
    <w:rsid w:val="007A7CEC"/>
    <w:rsid w:val="007B00F6"/>
    <w:rsid w:val="007B067F"/>
    <w:rsid w:val="007B0900"/>
    <w:rsid w:val="007B0C85"/>
    <w:rsid w:val="007B2797"/>
    <w:rsid w:val="007B2953"/>
    <w:rsid w:val="007B2D4F"/>
    <w:rsid w:val="007B2DC9"/>
    <w:rsid w:val="007B3A54"/>
    <w:rsid w:val="007B3AC0"/>
    <w:rsid w:val="007B414B"/>
    <w:rsid w:val="007B41AB"/>
    <w:rsid w:val="007B5D2A"/>
    <w:rsid w:val="007B6A4E"/>
    <w:rsid w:val="007B6ABA"/>
    <w:rsid w:val="007B7373"/>
    <w:rsid w:val="007B753E"/>
    <w:rsid w:val="007C1159"/>
    <w:rsid w:val="007C16DC"/>
    <w:rsid w:val="007C2E9F"/>
    <w:rsid w:val="007C2EF6"/>
    <w:rsid w:val="007C31AB"/>
    <w:rsid w:val="007C31E0"/>
    <w:rsid w:val="007C3D4E"/>
    <w:rsid w:val="007C3E88"/>
    <w:rsid w:val="007C3F83"/>
    <w:rsid w:val="007C475B"/>
    <w:rsid w:val="007C4F53"/>
    <w:rsid w:val="007C50C7"/>
    <w:rsid w:val="007C5463"/>
    <w:rsid w:val="007C59C9"/>
    <w:rsid w:val="007C5E26"/>
    <w:rsid w:val="007C5E81"/>
    <w:rsid w:val="007C6284"/>
    <w:rsid w:val="007C63BA"/>
    <w:rsid w:val="007C63CF"/>
    <w:rsid w:val="007C6552"/>
    <w:rsid w:val="007C6DB0"/>
    <w:rsid w:val="007C7C3F"/>
    <w:rsid w:val="007D165B"/>
    <w:rsid w:val="007D2ABF"/>
    <w:rsid w:val="007D2F0F"/>
    <w:rsid w:val="007D32D5"/>
    <w:rsid w:val="007D3E57"/>
    <w:rsid w:val="007D41EC"/>
    <w:rsid w:val="007D4C04"/>
    <w:rsid w:val="007D52C9"/>
    <w:rsid w:val="007D63DD"/>
    <w:rsid w:val="007D6567"/>
    <w:rsid w:val="007D6BE3"/>
    <w:rsid w:val="007D6C1B"/>
    <w:rsid w:val="007D6CC2"/>
    <w:rsid w:val="007D6FA9"/>
    <w:rsid w:val="007D77D9"/>
    <w:rsid w:val="007D77E2"/>
    <w:rsid w:val="007E0459"/>
    <w:rsid w:val="007E08E2"/>
    <w:rsid w:val="007E23A6"/>
    <w:rsid w:val="007E2CF2"/>
    <w:rsid w:val="007E31D2"/>
    <w:rsid w:val="007E32C9"/>
    <w:rsid w:val="007E366D"/>
    <w:rsid w:val="007E3E06"/>
    <w:rsid w:val="007E400E"/>
    <w:rsid w:val="007E4C7B"/>
    <w:rsid w:val="007E5786"/>
    <w:rsid w:val="007E5948"/>
    <w:rsid w:val="007E5D1B"/>
    <w:rsid w:val="007E6177"/>
    <w:rsid w:val="007E6640"/>
    <w:rsid w:val="007E6658"/>
    <w:rsid w:val="007E671B"/>
    <w:rsid w:val="007E6BDA"/>
    <w:rsid w:val="007E728A"/>
    <w:rsid w:val="007E7413"/>
    <w:rsid w:val="007E7671"/>
    <w:rsid w:val="007E771B"/>
    <w:rsid w:val="007E7C04"/>
    <w:rsid w:val="007F0380"/>
    <w:rsid w:val="007F05D5"/>
    <w:rsid w:val="007F1046"/>
    <w:rsid w:val="007F15AD"/>
    <w:rsid w:val="007F17FE"/>
    <w:rsid w:val="007F1B2D"/>
    <w:rsid w:val="007F1BDB"/>
    <w:rsid w:val="007F1C39"/>
    <w:rsid w:val="007F20BC"/>
    <w:rsid w:val="007F21D8"/>
    <w:rsid w:val="007F240D"/>
    <w:rsid w:val="007F29A2"/>
    <w:rsid w:val="007F348E"/>
    <w:rsid w:val="007F3D8E"/>
    <w:rsid w:val="007F426C"/>
    <w:rsid w:val="007F432D"/>
    <w:rsid w:val="007F4348"/>
    <w:rsid w:val="007F488F"/>
    <w:rsid w:val="007F505C"/>
    <w:rsid w:val="007F5181"/>
    <w:rsid w:val="007F53CF"/>
    <w:rsid w:val="007F5A49"/>
    <w:rsid w:val="007F5D9D"/>
    <w:rsid w:val="007F6CF9"/>
    <w:rsid w:val="007F6E0B"/>
    <w:rsid w:val="007F731D"/>
    <w:rsid w:val="007F7A62"/>
    <w:rsid w:val="007F7CE2"/>
    <w:rsid w:val="00800614"/>
    <w:rsid w:val="008006E4"/>
    <w:rsid w:val="008008EA"/>
    <w:rsid w:val="00800A5D"/>
    <w:rsid w:val="00800A97"/>
    <w:rsid w:val="00800B7A"/>
    <w:rsid w:val="00801349"/>
    <w:rsid w:val="00801528"/>
    <w:rsid w:val="00801C6D"/>
    <w:rsid w:val="00802225"/>
    <w:rsid w:val="00802236"/>
    <w:rsid w:val="008023EE"/>
    <w:rsid w:val="0080252B"/>
    <w:rsid w:val="00802759"/>
    <w:rsid w:val="00802AAE"/>
    <w:rsid w:val="00803353"/>
    <w:rsid w:val="0080354A"/>
    <w:rsid w:val="008035FC"/>
    <w:rsid w:val="00803C71"/>
    <w:rsid w:val="00803C88"/>
    <w:rsid w:val="00804069"/>
    <w:rsid w:val="00804083"/>
    <w:rsid w:val="008043E5"/>
    <w:rsid w:val="00804FDF"/>
    <w:rsid w:val="008054B1"/>
    <w:rsid w:val="00805721"/>
    <w:rsid w:val="008057CC"/>
    <w:rsid w:val="00805AFD"/>
    <w:rsid w:val="00806144"/>
    <w:rsid w:val="00806265"/>
    <w:rsid w:val="00806284"/>
    <w:rsid w:val="00806513"/>
    <w:rsid w:val="00806832"/>
    <w:rsid w:val="00806B2A"/>
    <w:rsid w:val="00806DD0"/>
    <w:rsid w:val="00806EB7"/>
    <w:rsid w:val="00807559"/>
    <w:rsid w:val="00807BD6"/>
    <w:rsid w:val="00810B03"/>
    <w:rsid w:val="00810B51"/>
    <w:rsid w:val="00810DF8"/>
    <w:rsid w:val="00811F81"/>
    <w:rsid w:val="00812816"/>
    <w:rsid w:val="008129DB"/>
    <w:rsid w:val="00812DEC"/>
    <w:rsid w:val="00813188"/>
    <w:rsid w:val="00813368"/>
    <w:rsid w:val="00813863"/>
    <w:rsid w:val="00813ACC"/>
    <w:rsid w:val="00814084"/>
    <w:rsid w:val="008142BD"/>
    <w:rsid w:val="00814438"/>
    <w:rsid w:val="00814517"/>
    <w:rsid w:val="00815587"/>
    <w:rsid w:val="00815FC3"/>
    <w:rsid w:val="008160B9"/>
    <w:rsid w:val="008169D3"/>
    <w:rsid w:val="00816E5B"/>
    <w:rsid w:val="00817041"/>
    <w:rsid w:val="008170B1"/>
    <w:rsid w:val="008171E7"/>
    <w:rsid w:val="008172C7"/>
    <w:rsid w:val="00817357"/>
    <w:rsid w:val="00817613"/>
    <w:rsid w:val="00817E23"/>
    <w:rsid w:val="00820533"/>
    <w:rsid w:val="00820693"/>
    <w:rsid w:val="00820AE7"/>
    <w:rsid w:val="00820D48"/>
    <w:rsid w:val="00821469"/>
    <w:rsid w:val="00821626"/>
    <w:rsid w:val="008218A4"/>
    <w:rsid w:val="00821C4C"/>
    <w:rsid w:val="00822572"/>
    <w:rsid w:val="00822635"/>
    <w:rsid w:val="00822AA5"/>
    <w:rsid w:val="00823CFD"/>
    <w:rsid w:val="00824E3F"/>
    <w:rsid w:val="008252B0"/>
    <w:rsid w:val="008253D9"/>
    <w:rsid w:val="00826BAD"/>
    <w:rsid w:val="0082706B"/>
    <w:rsid w:val="00827074"/>
    <w:rsid w:val="00827284"/>
    <w:rsid w:val="00827318"/>
    <w:rsid w:val="00827454"/>
    <w:rsid w:val="00827854"/>
    <w:rsid w:val="00827905"/>
    <w:rsid w:val="00827953"/>
    <w:rsid w:val="00827C45"/>
    <w:rsid w:val="00830C11"/>
    <w:rsid w:val="00831718"/>
    <w:rsid w:val="00831E6B"/>
    <w:rsid w:val="00831EA2"/>
    <w:rsid w:val="0083262E"/>
    <w:rsid w:val="00832BCB"/>
    <w:rsid w:val="00832FA9"/>
    <w:rsid w:val="00833079"/>
    <w:rsid w:val="008338E0"/>
    <w:rsid w:val="008347B5"/>
    <w:rsid w:val="008349DA"/>
    <w:rsid w:val="00835F68"/>
    <w:rsid w:val="00836BC0"/>
    <w:rsid w:val="008373D9"/>
    <w:rsid w:val="00837BD4"/>
    <w:rsid w:val="00837EFC"/>
    <w:rsid w:val="008402F7"/>
    <w:rsid w:val="0084031E"/>
    <w:rsid w:val="008403D7"/>
    <w:rsid w:val="008406FA"/>
    <w:rsid w:val="00840977"/>
    <w:rsid w:val="00843294"/>
    <w:rsid w:val="00843BD2"/>
    <w:rsid w:val="00843F48"/>
    <w:rsid w:val="00843FCB"/>
    <w:rsid w:val="00844094"/>
    <w:rsid w:val="008440F7"/>
    <w:rsid w:val="00844D9F"/>
    <w:rsid w:val="00844FBC"/>
    <w:rsid w:val="00845B6C"/>
    <w:rsid w:val="0084631A"/>
    <w:rsid w:val="0084632F"/>
    <w:rsid w:val="008464BA"/>
    <w:rsid w:val="00846B35"/>
    <w:rsid w:val="008476F1"/>
    <w:rsid w:val="00847911"/>
    <w:rsid w:val="008500FD"/>
    <w:rsid w:val="008502B4"/>
    <w:rsid w:val="00850666"/>
    <w:rsid w:val="00850970"/>
    <w:rsid w:val="00850C96"/>
    <w:rsid w:val="00850E64"/>
    <w:rsid w:val="008520EB"/>
    <w:rsid w:val="00852759"/>
    <w:rsid w:val="00853CCE"/>
    <w:rsid w:val="00853ECF"/>
    <w:rsid w:val="00853F7A"/>
    <w:rsid w:val="00854114"/>
    <w:rsid w:val="00855192"/>
    <w:rsid w:val="0085567A"/>
    <w:rsid w:val="008559E9"/>
    <w:rsid w:val="00856066"/>
    <w:rsid w:val="00856099"/>
    <w:rsid w:val="0085666A"/>
    <w:rsid w:val="00856BD3"/>
    <w:rsid w:val="008575CD"/>
    <w:rsid w:val="008577FF"/>
    <w:rsid w:val="00857877"/>
    <w:rsid w:val="00860096"/>
    <w:rsid w:val="00860222"/>
    <w:rsid w:val="008609E7"/>
    <w:rsid w:val="00860AB1"/>
    <w:rsid w:val="008618D0"/>
    <w:rsid w:val="008625B1"/>
    <w:rsid w:val="00862978"/>
    <w:rsid w:val="00862F3A"/>
    <w:rsid w:val="00863368"/>
    <w:rsid w:val="00864B0A"/>
    <w:rsid w:val="00864C15"/>
    <w:rsid w:val="008650CA"/>
    <w:rsid w:val="00865DA7"/>
    <w:rsid w:val="008661C7"/>
    <w:rsid w:val="00866297"/>
    <w:rsid w:val="00866620"/>
    <w:rsid w:val="008666EB"/>
    <w:rsid w:val="008667E1"/>
    <w:rsid w:val="008669C9"/>
    <w:rsid w:val="00866F04"/>
    <w:rsid w:val="00866F18"/>
    <w:rsid w:val="00866FA8"/>
    <w:rsid w:val="00867454"/>
    <w:rsid w:val="008675F0"/>
    <w:rsid w:val="00870BF8"/>
    <w:rsid w:val="00870CDB"/>
    <w:rsid w:val="0087160A"/>
    <w:rsid w:val="0087293B"/>
    <w:rsid w:val="008729F0"/>
    <w:rsid w:val="00873699"/>
    <w:rsid w:val="00873C04"/>
    <w:rsid w:val="008744FF"/>
    <w:rsid w:val="008749C5"/>
    <w:rsid w:val="00874A61"/>
    <w:rsid w:val="00874B8C"/>
    <w:rsid w:val="00875A5B"/>
    <w:rsid w:val="00877204"/>
    <w:rsid w:val="00877451"/>
    <w:rsid w:val="008775FB"/>
    <w:rsid w:val="008776D1"/>
    <w:rsid w:val="0087776F"/>
    <w:rsid w:val="008778C8"/>
    <w:rsid w:val="008805A7"/>
    <w:rsid w:val="0088085C"/>
    <w:rsid w:val="00880B01"/>
    <w:rsid w:val="00880EB7"/>
    <w:rsid w:val="00880F64"/>
    <w:rsid w:val="008828A5"/>
    <w:rsid w:val="00883C95"/>
    <w:rsid w:val="00885ECB"/>
    <w:rsid w:val="0088655F"/>
    <w:rsid w:val="008871B1"/>
    <w:rsid w:val="00887523"/>
    <w:rsid w:val="0088778E"/>
    <w:rsid w:val="00887FF7"/>
    <w:rsid w:val="008906A4"/>
    <w:rsid w:val="008907CE"/>
    <w:rsid w:val="008909AC"/>
    <w:rsid w:val="00890C98"/>
    <w:rsid w:val="0089105B"/>
    <w:rsid w:val="008912D9"/>
    <w:rsid w:val="0089130E"/>
    <w:rsid w:val="008913D5"/>
    <w:rsid w:val="00891A04"/>
    <w:rsid w:val="00891CC1"/>
    <w:rsid w:val="0089203B"/>
    <w:rsid w:val="008931CC"/>
    <w:rsid w:val="00893F86"/>
    <w:rsid w:val="0089431D"/>
    <w:rsid w:val="008945EF"/>
    <w:rsid w:val="00894667"/>
    <w:rsid w:val="00894710"/>
    <w:rsid w:val="00894AA3"/>
    <w:rsid w:val="00894F43"/>
    <w:rsid w:val="00895714"/>
    <w:rsid w:val="00895B33"/>
    <w:rsid w:val="008962AA"/>
    <w:rsid w:val="00896AC8"/>
    <w:rsid w:val="00897281"/>
    <w:rsid w:val="00897E0A"/>
    <w:rsid w:val="008A0074"/>
    <w:rsid w:val="008A02D9"/>
    <w:rsid w:val="008A09B9"/>
    <w:rsid w:val="008A175E"/>
    <w:rsid w:val="008A1B6F"/>
    <w:rsid w:val="008A1BDD"/>
    <w:rsid w:val="008A1F6A"/>
    <w:rsid w:val="008A20E5"/>
    <w:rsid w:val="008A282D"/>
    <w:rsid w:val="008A2B08"/>
    <w:rsid w:val="008A371E"/>
    <w:rsid w:val="008A38D6"/>
    <w:rsid w:val="008A41B6"/>
    <w:rsid w:val="008A47E9"/>
    <w:rsid w:val="008A5BF1"/>
    <w:rsid w:val="008A5C76"/>
    <w:rsid w:val="008A5D7A"/>
    <w:rsid w:val="008A5F38"/>
    <w:rsid w:val="008A632A"/>
    <w:rsid w:val="008A6F9C"/>
    <w:rsid w:val="008A74D0"/>
    <w:rsid w:val="008A7548"/>
    <w:rsid w:val="008A76C4"/>
    <w:rsid w:val="008A7E2B"/>
    <w:rsid w:val="008B028F"/>
    <w:rsid w:val="008B0C89"/>
    <w:rsid w:val="008B0F87"/>
    <w:rsid w:val="008B169B"/>
    <w:rsid w:val="008B1906"/>
    <w:rsid w:val="008B191D"/>
    <w:rsid w:val="008B1B9E"/>
    <w:rsid w:val="008B207A"/>
    <w:rsid w:val="008B213C"/>
    <w:rsid w:val="008B223D"/>
    <w:rsid w:val="008B2386"/>
    <w:rsid w:val="008B2E41"/>
    <w:rsid w:val="008B3152"/>
    <w:rsid w:val="008B3168"/>
    <w:rsid w:val="008B333B"/>
    <w:rsid w:val="008B3BA0"/>
    <w:rsid w:val="008B435E"/>
    <w:rsid w:val="008B46A8"/>
    <w:rsid w:val="008B4848"/>
    <w:rsid w:val="008B48B4"/>
    <w:rsid w:val="008B4BAB"/>
    <w:rsid w:val="008B55D7"/>
    <w:rsid w:val="008B56DB"/>
    <w:rsid w:val="008B5D42"/>
    <w:rsid w:val="008B5DDE"/>
    <w:rsid w:val="008B6062"/>
    <w:rsid w:val="008B6FCF"/>
    <w:rsid w:val="008B7156"/>
    <w:rsid w:val="008B73D5"/>
    <w:rsid w:val="008B7582"/>
    <w:rsid w:val="008B7A61"/>
    <w:rsid w:val="008C041E"/>
    <w:rsid w:val="008C0681"/>
    <w:rsid w:val="008C0962"/>
    <w:rsid w:val="008C09AB"/>
    <w:rsid w:val="008C0D41"/>
    <w:rsid w:val="008C0F10"/>
    <w:rsid w:val="008C133B"/>
    <w:rsid w:val="008C13D7"/>
    <w:rsid w:val="008C14D3"/>
    <w:rsid w:val="008C2508"/>
    <w:rsid w:val="008C251D"/>
    <w:rsid w:val="008C29E6"/>
    <w:rsid w:val="008C2A3E"/>
    <w:rsid w:val="008C33E9"/>
    <w:rsid w:val="008C385A"/>
    <w:rsid w:val="008C3877"/>
    <w:rsid w:val="008C3DEC"/>
    <w:rsid w:val="008C407F"/>
    <w:rsid w:val="008C4C75"/>
    <w:rsid w:val="008C53F5"/>
    <w:rsid w:val="008C5EF9"/>
    <w:rsid w:val="008C6062"/>
    <w:rsid w:val="008C624E"/>
    <w:rsid w:val="008C65E7"/>
    <w:rsid w:val="008C6619"/>
    <w:rsid w:val="008C6B8D"/>
    <w:rsid w:val="008C726C"/>
    <w:rsid w:val="008C7893"/>
    <w:rsid w:val="008C7AA4"/>
    <w:rsid w:val="008C7BE9"/>
    <w:rsid w:val="008D0773"/>
    <w:rsid w:val="008D079B"/>
    <w:rsid w:val="008D0D49"/>
    <w:rsid w:val="008D1917"/>
    <w:rsid w:val="008D1C13"/>
    <w:rsid w:val="008D1CC0"/>
    <w:rsid w:val="008D2CD6"/>
    <w:rsid w:val="008D2D00"/>
    <w:rsid w:val="008D2D89"/>
    <w:rsid w:val="008D392C"/>
    <w:rsid w:val="008D405D"/>
    <w:rsid w:val="008D4347"/>
    <w:rsid w:val="008D4639"/>
    <w:rsid w:val="008D50A6"/>
    <w:rsid w:val="008D51F8"/>
    <w:rsid w:val="008D541E"/>
    <w:rsid w:val="008D5444"/>
    <w:rsid w:val="008D56B0"/>
    <w:rsid w:val="008D6CDA"/>
    <w:rsid w:val="008D706C"/>
    <w:rsid w:val="008D71B5"/>
    <w:rsid w:val="008D7B3A"/>
    <w:rsid w:val="008E11DC"/>
    <w:rsid w:val="008E12D6"/>
    <w:rsid w:val="008E263D"/>
    <w:rsid w:val="008E2E24"/>
    <w:rsid w:val="008E3177"/>
    <w:rsid w:val="008E35A2"/>
    <w:rsid w:val="008E3AFB"/>
    <w:rsid w:val="008E40A4"/>
    <w:rsid w:val="008E40A9"/>
    <w:rsid w:val="008E4657"/>
    <w:rsid w:val="008E4F76"/>
    <w:rsid w:val="008E53AD"/>
    <w:rsid w:val="008E60F7"/>
    <w:rsid w:val="008F03FE"/>
    <w:rsid w:val="008F06AA"/>
    <w:rsid w:val="008F0BA6"/>
    <w:rsid w:val="008F1011"/>
    <w:rsid w:val="008F1315"/>
    <w:rsid w:val="008F1633"/>
    <w:rsid w:val="008F166B"/>
    <w:rsid w:val="008F2033"/>
    <w:rsid w:val="008F20E6"/>
    <w:rsid w:val="008F262A"/>
    <w:rsid w:val="008F2A40"/>
    <w:rsid w:val="008F2DBF"/>
    <w:rsid w:val="008F3A75"/>
    <w:rsid w:val="008F446D"/>
    <w:rsid w:val="008F4B5C"/>
    <w:rsid w:val="008F508E"/>
    <w:rsid w:val="008F52B6"/>
    <w:rsid w:val="008F5FA6"/>
    <w:rsid w:val="008F63DE"/>
    <w:rsid w:val="008F68F4"/>
    <w:rsid w:val="008F7436"/>
    <w:rsid w:val="008F7993"/>
    <w:rsid w:val="008F7CE9"/>
    <w:rsid w:val="008F7CFA"/>
    <w:rsid w:val="008F7D81"/>
    <w:rsid w:val="00900146"/>
    <w:rsid w:val="00900934"/>
    <w:rsid w:val="00900B8D"/>
    <w:rsid w:val="00901919"/>
    <w:rsid w:val="009019FF"/>
    <w:rsid w:val="00901E65"/>
    <w:rsid w:val="00901F24"/>
    <w:rsid w:val="00902478"/>
    <w:rsid w:val="00902984"/>
    <w:rsid w:val="009036C4"/>
    <w:rsid w:val="00904005"/>
    <w:rsid w:val="0090424F"/>
    <w:rsid w:val="00904666"/>
    <w:rsid w:val="00904A34"/>
    <w:rsid w:val="00904B1C"/>
    <w:rsid w:val="00904E20"/>
    <w:rsid w:val="00905511"/>
    <w:rsid w:val="009056D5"/>
    <w:rsid w:val="00906634"/>
    <w:rsid w:val="0090698F"/>
    <w:rsid w:val="00906E10"/>
    <w:rsid w:val="00906E73"/>
    <w:rsid w:val="009072B0"/>
    <w:rsid w:val="009072CD"/>
    <w:rsid w:val="00907453"/>
    <w:rsid w:val="00907F9E"/>
    <w:rsid w:val="009109ED"/>
    <w:rsid w:val="00910BF9"/>
    <w:rsid w:val="00910C31"/>
    <w:rsid w:val="00910C70"/>
    <w:rsid w:val="00910DF2"/>
    <w:rsid w:val="00910FDE"/>
    <w:rsid w:val="009110DB"/>
    <w:rsid w:val="00911537"/>
    <w:rsid w:val="00912006"/>
    <w:rsid w:val="0091215D"/>
    <w:rsid w:val="0091262A"/>
    <w:rsid w:val="0091299A"/>
    <w:rsid w:val="00912F06"/>
    <w:rsid w:val="00912FAA"/>
    <w:rsid w:val="00913594"/>
    <w:rsid w:val="00913A90"/>
    <w:rsid w:val="00913ACD"/>
    <w:rsid w:val="00913FDB"/>
    <w:rsid w:val="009141BF"/>
    <w:rsid w:val="00914222"/>
    <w:rsid w:val="00915317"/>
    <w:rsid w:val="009156CC"/>
    <w:rsid w:val="00915922"/>
    <w:rsid w:val="009160B2"/>
    <w:rsid w:val="00916102"/>
    <w:rsid w:val="009163DE"/>
    <w:rsid w:val="00916AED"/>
    <w:rsid w:val="009204FF"/>
    <w:rsid w:val="00920E28"/>
    <w:rsid w:val="009213D9"/>
    <w:rsid w:val="00921F09"/>
    <w:rsid w:val="0092241D"/>
    <w:rsid w:val="00922A6D"/>
    <w:rsid w:val="00923CC8"/>
    <w:rsid w:val="00923F05"/>
    <w:rsid w:val="009240E3"/>
    <w:rsid w:val="009247F7"/>
    <w:rsid w:val="009248E9"/>
    <w:rsid w:val="00925255"/>
    <w:rsid w:val="00925B00"/>
    <w:rsid w:val="00926243"/>
    <w:rsid w:val="0092665C"/>
    <w:rsid w:val="009268AD"/>
    <w:rsid w:val="0092692A"/>
    <w:rsid w:val="009273D8"/>
    <w:rsid w:val="00927924"/>
    <w:rsid w:val="00927C27"/>
    <w:rsid w:val="00927C70"/>
    <w:rsid w:val="00927DDC"/>
    <w:rsid w:val="00930749"/>
    <w:rsid w:val="00930AA5"/>
    <w:rsid w:val="00930BF3"/>
    <w:rsid w:val="009314F0"/>
    <w:rsid w:val="009318E5"/>
    <w:rsid w:val="00931A9B"/>
    <w:rsid w:val="00931BB3"/>
    <w:rsid w:val="00932144"/>
    <w:rsid w:val="00932B30"/>
    <w:rsid w:val="00933044"/>
    <w:rsid w:val="00933562"/>
    <w:rsid w:val="0093360C"/>
    <w:rsid w:val="00933DF6"/>
    <w:rsid w:val="009340F6"/>
    <w:rsid w:val="00934CA9"/>
    <w:rsid w:val="00934CBC"/>
    <w:rsid w:val="00934E0D"/>
    <w:rsid w:val="0093517C"/>
    <w:rsid w:val="00935332"/>
    <w:rsid w:val="00936043"/>
    <w:rsid w:val="009361C6"/>
    <w:rsid w:val="009362DF"/>
    <w:rsid w:val="00936324"/>
    <w:rsid w:val="0093661D"/>
    <w:rsid w:val="00936783"/>
    <w:rsid w:val="00937052"/>
    <w:rsid w:val="00937451"/>
    <w:rsid w:val="009376D7"/>
    <w:rsid w:val="00937A17"/>
    <w:rsid w:val="00937E0D"/>
    <w:rsid w:val="00937F61"/>
    <w:rsid w:val="0094054A"/>
    <w:rsid w:val="0094080F"/>
    <w:rsid w:val="00940870"/>
    <w:rsid w:val="0094116C"/>
    <w:rsid w:val="00941D54"/>
    <w:rsid w:val="00941E43"/>
    <w:rsid w:val="00941F7E"/>
    <w:rsid w:val="00941FD2"/>
    <w:rsid w:val="009429A5"/>
    <w:rsid w:val="009431C8"/>
    <w:rsid w:val="00943202"/>
    <w:rsid w:val="00943961"/>
    <w:rsid w:val="00944482"/>
    <w:rsid w:val="00944607"/>
    <w:rsid w:val="00944DE6"/>
    <w:rsid w:val="00945025"/>
    <w:rsid w:val="009450D9"/>
    <w:rsid w:val="0094535A"/>
    <w:rsid w:val="0094553C"/>
    <w:rsid w:val="009462FA"/>
    <w:rsid w:val="00946C70"/>
    <w:rsid w:val="00946E91"/>
    <w:rsid w:val="00946EA2"/>
    <w:rsid w:val="00947AA2"/>
    <w:rsid w:val="00950220"/>
    <w:rsid w:val="00951030"/>
    <w:rsid w:val="009512D3"/>
    <w:rsid w:val="0095178E"/>
    <w:rsid w:val="009517CE"/>
    <w:rsid w:val="00951FD1"/>
    <w:rsid w:val="0095239D"/>
    <w:rsid w:val="0095306F"/>
    <w:rsid w:val="009531EA"/>
    <w:rsid w:val="009532D1"/>
    <w:rsid w:val="00953F24"/>
    <w:rsid w:val="0095423E"/>
    <w:rsid w:val="009544C3"/>
    <w:rsid w:val="00954A25"/>
    <w:rsid w:val="00954A7A"/>
    <w:rsid w:val="00955416"/>
    <w:rsid w:val="009560FE"/>
    <w:rsid w:val="009563B0"/>
    <w:rsid w:val="009563D2"/>
    <w:rsid w:val="00956890"/>
    <w:rsid w:val="00956D52"/>
    <w:rsid w:val="009572B7"/>
    <w:rsid w:val="00957898"/>
    <w:rsid w:val="009579E2"/>
    <w:rsid w:val="00960278"/>
    <w:rsid w:val="00960A8C"/>
    <w:rsid w:val="00960B68"/>
    <w:rsid w:val="00961CF8"/>
    <w:rsid w:val="009620AC"/>
    <w:rsid w:val="00962B64"/>
    <w:rsid w:val="00963587"/>
    <w:rsid w:val="00964334"/>
    <w:rsid w:val="00964477"/>
    <w:rsid w:val="009649F3"/>
    <w:rsid w:val="00964C26"/>
    <w:rsid w:val="0096631C"/>
    <w:rsid w:val="00966ADB"/>
    <w:rsid w:val="00966F67"/>
    <w:rsid w:val="009672A3"/>
    <w:rsid w:val="00967387"/>
    <w:rsid w:val="009679FD"/>
    <w:rsid w:val="00967E5C"/>
    <w:rsid w:val="00967F8A"/>
    <w:rsid w:val="00970302"/>
    <w:rsid w:val="0097070C"/>
    <w:rsid w:val="009711C6"/>
    <w:rsid w:val="00972258"/>
    <w:rsid w:val="0097259D"/>
    <w:rsid w:val="009725D0"/>
    <w:rsid w:val="00972B4A"/>
    <w:rsid w:val="009730BC"/>
    <w:rsid w:val="009738E0"/>
    <w:rsid w:val="00973FE1"/>
    <w:rsid w:val="009743C9"/>
    <w:rsid w:val="00975B0B"/>
    <w:rsid w:val="009760F1"/>
    <w:rsid w:val="009762B3"/>
    <w:rsid w:val="009762F5"/>
    <w:rsid w:val="009766DA"/>
    <w:rsid w:val="00976812"/>
    <w:rsid w:val="009775FE"/>
    <w:rsid w:val="00977B90"/>
    <w:rsid w:val="00977E3F"/>
    <w:rsid w:val="00980465"/>
    <w:rsid w:val="00980CA4"/>
    <w:rsid w:val="00980DC1"/>
    <w:rsid w:val="009819A6"/>
    <w:rsid w:val="00981F70"/>
    <w:rsid w:val="00982124"/>
    <w:rsid w:val="0098287C"/>
    <w:rsid w:val="009832D4"/>
    <w:rsid w:val="00983786"/>
    <w:rsid w:val="00984D83"/>
    <w:rsid w:val="009854A9"/>
    <w:rsid w:val="00985950"/>
    <w:rsid w:val="00985E2F"/>
    <w:rsid w:val="00985F8B"/>
    <w:rsid w:val="0098613D"/>
    <w:rsid w:val="009864FA"/>
    <w:rsid w:val="00986602"/>
    <w:rsid w:val="009866B1"/>
    <w:rsid w:val="009869A6"/>
    <w:rsid w:val="00987133"/>
    <w:rsid w:val="009873DB"/>
    <w:rsid w:val="009878BE"/>
    <w:rsid w:val="00990218"/>
    <w:rsid w:val="00990747"/>
    <w:rsid w:val="00990969"/>
    <w:rsid w:val="00990D10"/>
    <w:rsid w:val="00990D4E"/>
    <w:rsid w:val="00991082"/>
    <w:rsid w:val="009911EB"/>
    <w:rsid w:val="00991F05"/>
    <w:rsid w:val="009924D9"/>
    <w:rsid w:val="00992682"/>
    <w:rsid w:val="00992D9F"/>
    <w:rsid w:val="00992F20"/>
    <w:rsid w:val="009931C6"/>
    <w:rsid w:val="0099389D"/>
    <w:rsid w:val="009939B4"/>
    <w:rsid w:val="0099409F"/>
    <w:rsid w:val="00994F4C"/>
    <w:rsid w:val="00995007"/>
    <w:rsid w:val="0099521A"/>
    <w:rsid w:val="00995F65"/>
    <w:rsid w:val="00996045"/>
    <w:rsid w:val="00996884"/>
    <w:rsid w:val="00996CB2"/>
    <w:rsid w:val="00997302"/>
    <w:rsid w:val="00997B8F"/>
    <w:rsid w:val="00997FE6"/>
    <w:rsid w:val="009A0175"/>
    <w:rsid w:val="009A04E5"/>
    <w:rsid w:val="009A12D0"/>
    <w:rsid w:val="009A166A"/>
    <w:rsid w:val="009A1697"/>
    <w:rsid w:val="009A262B"/>
    <w:rsid w:val="009A26A9"/>
    <w:rsid w:val="009A2B34"/>
    <w:rsid w:val="009A2CDF"/>
    <w:rsid w:val="009A2DB2"/>
    <w:rsid w:val="009A3213"/>
    <w:rsid w:val="009A3C79"/>
    <w:rsid w:val="009A3F3E"/>
    <w:rsid w:val="009A49D1"/>
    <w:rsid w:val="009A4DB1"/>
    <w:rsid w:val="009A4DE2"/>
    <w:rsid w:val="009A4EFD"/>
    <w:rsid w:val="009A5083"/>
    <w:rsid w:val="009A5264"/>
    <w:rsid w:val="009A5D7F"/>
    <w:rsid w:val="009A6918"/>
    <w:rsid w:val="009A7AAB"/>
    <w:rsid w:val="009A7B79"/>
    <w:rsid w:val="009A7E50"/>
    <w:rsid w:val="009B00F2"/>
    <w:rsid w:val="009B0453"/>
    <w:rsid w:val="009B0550"/>
    <w:rsid w:val="009B1D8A"/>
    <w:rsid w:val="009B2754"/>
    <w:rsid w:val="009B2EE6"/>
    <w:rsid w:val="009B324B"/>
    <w:rsid w:val="009B356A"/>
    <w:rsid w:val="009B3948"/>
    <w:rsid w:val="009B3B23"/>
    <w:rsid w:val="009B3FB3"/>
    <w:rsid w:val="009B4FB5"/>
    <w:rsid w:val="009B5C86"/>
    <w:rsid w:val="009B6057"/>
    <w:rsid w:val="009B6B2F"/>
    <w:rsid w:val="009B6C7A"/>
    <w:rsid w:val="009B6DFA"/>
    <w:rsid w:val="009B75FB"/>
    <w:rsid w:val="009B7FD0"/>
    <w:rsid w:val="009C04CC"/>
    <w:rsid w:val="009C09C4"/>
    <w:rsid w:val="009C0A4D"/>
    <w:rsid w:val="009C0CE6"/>
    <w:rsid w:val="009C1429"/>
    <w:rsid w:val="009C165E"/>
    <w:rsid w:val="009C1AE7"/>
    <w:rsid w:val="009C20BA"/>
    <w:rsid w:val="009C2A51"/>
    <w:rsid w:val="009C34F0"/>
    <w:rsid w:val="009C35EB"/>
    <w:rsid w:val="009C3D8E"/>
    <w:rsid w:val="009C41C7"/>
    <w:rsid w:val="009C432D"/>
    <w:rsid w:val="009C4CC0"/>
    <w:rsid w:val="009C4E44"/>
    <w:rsid w:val="009C4FBB"/>
    <w:rsid w:val="009C5737"/>
    <w:rsid w:val="009C60B6"/>
    <w:rsid w:val="009C651F"/>
    <w:rsid w:val="009C6765"/>
    <w:rsid w:val="009C6C41"/>
    <w:rsid w:val="009D092A"/>
    <w:rsid w:val="009D0C01"/>
    <w:rsid w:val="009D0FD2"/>
    <w:rsid w:val="009D27EF"/>
    <w:rsid w:val="009D2A39"/>
    <w:rsid w:val="009D4451"/>
    <w:rsid w:val="009D44CE"/>
    <w:rsid w:val="009D4FA4"/>
    <w:rsid w:val="009D523B"/>
    <w:rsid w:val="009D562B"/>
    <w:rsid w:val="009D562E"/>
    <w:rsid w:val="009D7ADC"/>
    <w:rsid w:val="009D7D43"/>
    <w:rsid w:val="009D7F0F"/>
    <w:rsid w:val="009E0659"/>
    <w:rsid w:val="009E1048"/>
    <w:rsid w:val="009E1F40"/>
    <w:rsid w:val="009E1FD8"/>
    <w:rsid w:val="009E257F"/>
    <w:rsid w:val="009E2835"/>
    <w:rsid w:val="009E3AEF"/>
    <w:rsid w:val="009E3CC8"/>
    <w:rsid w:val="009E3E8B"/>
    <w:rsid w:val="009E472F"/>
    <w:rsid w:val="009E4B61"/>
    <w:rsid w:val="009E4F05"/>
    <w:rsid w:val="009E6449"/>
    <w:rsid w:val="009E6874"/>
    <w:rsid w:val="009F08F4"/>
    <w:rsid w:val="009F12BD"/>
    <w:rsid w:val="009F141A"/>
    <w:rsid w:val="009F223E"/>
    <w:rsid w:val="009F23B9"/>
    <w:rsid w:val="009F3D31"/>
    <w:rsid w:val="009F3EC3"/>
    <w:rsid w:val="009F46E5"/>
    <w:rsid w:val="009F4B05"/>
    <w:rsid w:val="009F4B1E"/>
    <w:rsid w:val="009F4C53"/>
    <w:rsid w:val="009F4D7A"/>
    <w:rsid w:val="009F4FDD"/>
    <w:rsid w:val="009F5304"/>
    <w:rsid w:val="009F5781"/>
    <w:rsid w:val="009F61AB"/>
    <w:rsid w:val="009F7D62"/>
    <w:rsid w:val="009F7EA8"/>
    <w:rsid w:val="00A0000D"/>
    <w:rsid w:val="00A005BB"/>
    <w:rsid w:val="00A00A6A"/>
    <w:rsid w:val="00A01BEC"/>
    <w:rsid w:val="00A02116"/>
    <w:rsid w:val="00A0222C"/>
    <w:rsid w:val="00A02277"/>
    <w:rsid w:val="00A02973"/>
    <w:rsid w:val="00A02C23"/>
    <w:rsid w:val="00A02CD2"/>
    <w:rsid w:val="00A032E5"/>
    <w:rsid w:val="00A0470A"/>
    <w:rsid w:val="00A04755"/>
    <w:rsid w:val="00A04F20"/>
    <w:rsid w:val="00A05DE6"/>
    <w:rsid w:val="00A06033"/>
    <w:rsid w:val="00A06134"/>
    <w:rsid w:val="00A06346"/>
    <w:rsid w:val="00A0669F"/>
    <w:rsid w:val="00A06919"/>
    <w:rsid w:val="00A06A43"/>
    <w:rsid w:val="00A06CC7"/>
    <w:rsid w:val="00A1066D"/>
    <w:rsid w:val="00A1089D"/>
    <w:rsid w:val="00A10FD2"/>
    <w:rsid w:val="00A11980"/>
    <w:rsid w:val="00A122AB"/>
    <w:rsid w:val="00A125B4"/>
    <w:rsid w:val="00A12AC3"/>
    <w:rsid w:val="00A131D3"/>
    <w:rsid w:val="00A139BD"/>
    <w:rsid w:val="00A13A02"/>
    <w:rsid w:val="00A140CE"/>
    <w:rsid w:val="00A14207"/>
    <w:rsid w:val="00A14748"/>
    <w:rsid w:val="00A14B60"/>
    <w:rsid w:val="00A14CF0"/>
    <w:rsid w:val="00A14E10"/>
    <w:rsid w:val="00A1577E"/>
    <w:rsid w:val="00A15DAE"/>
    <w:rsid w:val="00A15DBA"/>
    <w:rsid w:val="00A16B25"/>
    <w:rsid w:val="00A16D1F"/>
    <w:rsid w:val="00A17B89"/>
    <w:rsid w:val="00A17E81"/>
    <w:rsid w:val="00A20B2C"/>
    <w:rsid w:val="00A20C67"/>
    <w:rsid w:val="00A20D68"/>
    <w:rsid w:val="00A21342"/>
    <w:rsid w:val="00A21857"/>
    <w:rsid w:val="00A21E49"/>
    <w:rsid w:val="00A22324"/>
    <w:rsid w:val="00A22F36"/>
    <w:rsid w:val="00A231AE"/>
    <w:rsid w:val="00A23632"/>
    <w:rsid w:val="00A23642"/>
    <w:rsid w:val="00A24623"/>
    <w:rsid w:val="00A25318"/>
    <w:rsid w:val="00A26516"/>
    <w:rsid w:val="00A26AEE"/>
    <w:rsid w:val="00A26E18"/>
    <w:rsid w:val="00A270CB"/>
    <w:rsid w:val="00A27600"/>
    <w:rsid w:val="00A27B9C"/>
    <w:rsid w:val="00A27F7D"/>
    <w:rsid w:val="00A3021F"/>
    <w:rsid w:val="00A30236"/>
    <w:rsid w:val="00A30A05"/>
    <w:rsid w:val="00A30BAE"/>
    <w:rsid w:val="00A31142"/>
    <w:rsid w:val="00A31317"/>
    <w:rsid w:val="00A31389"/>
    <w:rsid w:val="00A314E9"/>
    <w:rsid w:val="00A31BF5"/>
    <w:rsid w:val="00A32727"/>
    <w:rsid w:val="00A33D96"/>
    <w:rsid w:val="00A34185"/>
    <w:rsid w:val="00A341BB"/>
    <w:rsid w:val="00A34C4B"/>
    <w:rsid w:val="00A34D00"/>
    <w:rsid w:val="00A35B61"/>
    <w:rsid w:val="00A36529"/>
    <w:rsid w:val="00A36E3C"/>
    <w:rsid w:val="00A36E4A"/>
    <w:rsid w:val="00A3722D"/>
    <w:rsid w:val="00A37585"/>
    <w:rsid w:val="00A376F4"/>
    <w:rsid w:val="00A4066E"/>
    <w:rsid w:val="00A40847"/>
    <w:rsid w:val="00A40982"/>
    <w:rsid w:val="00A40ED7"/>
    <w:rsid w:val="00A4186F"/>
    <w:rsid w:val="00A41BE9"/>
    <w:rsid w:val="00A41EC8"/>
    <w:rsid w:val="00A41F6D"/>
    <w:rsid w:val="00A42AF7"/>
    <w:rsid w:val="00A42C28"/>
    <w:rsid w:val="00A42EAC"/>
    <w:rsid w:val="00A43217"/>
    <w:rsid w:val="00A43EE2"/>
    <w:rsid w:val="00A44009"/>
    <w:rsid w:val="00A44761"/>
    <w:rsid w:val="00A448DF"/>
    <w:rsid w:val="00A44A7D"/>
    <w:rsid w:val="00A45393"/>
    <w:rsid w:val="00A4578E"/>
    <w:rsid w:val="00A45DE8"/>
    <w:rsid w:val="00A46266"/>
    <w:rsid w:val="00A471ED"/>
    <w:rsid w:val="00A47276"/>
    <w:rsid w:val="00A47636"/>
    <w:rsid w:val="00A47F9F"/>
    <w:rsid w:val="00A50CA3"/>
    <w:rsid w:val="00A513C3"/>
    <w:rsid w:val="00A516E6"/>
    <w:rsid w:val="00A5194F"/>
    <w:rsid w:val="00A51965"/>
    <w:rsid w:val="00A51E67"/>
    <w:rsid w:val="00A52CF2"/>
    <w:rsid w:val="00A52E8A"/>
    <w:rsid w:val="00A531CA"/>
    <w:rsid w:val="00A53672"/>
    <w:rsid w:val="00A538A8"/>
    <w:rsid w:val="00A542DE"/>
    <w:rsid w:val="00A54886"/>
    <w:rsid w:val="00A54AF8"/>
    <w:rsid w:val="00A54C11"/>
    <w:rsid w:val="00A5521C"/>
    <w:rsid w:val="00A5521F"/>
    <w:rsid w:val="00A555BD"/>
    <w:rsid w:val="00A555F0"/>
    <w:rsid w:val="00A5590E"/>
    <w:rsid w:val="00A55E20"/>
    <w:rsid w:val="00A55F0A"/>
    <w:rsid w:val="00A5646B"/>
    <w:rsid w:val="00A56933"/>
    <w:rsid w:val="00A56F0F"/>
    <w:rsid w:val="00A5753D"/>
    <w:rsid w:val="00A57685"/>
    <w:rsid w:val="00A579A2"/>
    <w:rsid w:val="00A57CD2"/>
    <w:rsid w:val="00A57D8C"/>
    <w:rsid w:val="00A57E42"/>
    <w:rsid w:val="00A57F72"/>
    <w:rsid w:val="00A60552"/>
    <w:rsid w:val="00A608AC"/>
    <w:rsid w:val="00A60AB6"/>
    <w:rsid w:val="00A60B33"/>
    <w:rsid w:val="00A60B42"/>
    <w:rsid w:val="00A615F3"/>
    <w:rsid w:val="00A61B37"/>
    <w:rsid w:val="00A61BFE"/>
    <w:rsid w:val="00A62D1A"/>
    <w:rsid w:val="00A6356A"/>
    <w:rsid w:val="00A6389C"/>
    <w:rsid w:val="00A64218"/>
    <w:rsid w:val="00A647E2"/>
    <w:rsid w:val="00A64CF5"/>
    <w:rsid w:val="00A65D0F"/>
    <w:rsid w:val="00A66F54"/>
    <w:rsid w:val="00A675B0"/>
    <w:rsid w:val="00A67BCB"/>
    <w:rsid w:val="00A709AE"/>
    <w:rsid w:val="00A70C8D"/>
    <w:rsid w:val="00A71D65"/>
    <w:rsid w:val="00A72515"/>
    <w:rsid w:val="00A72556"/>
    <w:rsid w:val="00A72E07"/>
    <w:rsid w:val="00A73825"/>
    <w:rsid w:val="00A73C1A"/>
    <w:rsid w:val="00A73C40"/>
    <w:rsid w:val="00A73E95"/>
    <w:rsid w:val="00A7453F"/>
    <w:rsid w:val="00A74562"/>
    <w:rsid w:val="00A74A37"/>
    <w:rsid w:val="00A74CE6"/>
    <w:rsid w:val="00A74E77"/>
    <w:rsid w:val="00A74F48"/>
    <w:rsid w:val="00A75466"/>
    <w:rsid w:val="00A75EA0"/>
    <w:rsid w:val="00A75F4F"/>
    <w:rsid w:val="00A767D4"/>
    <w:rsid w:val="00A770AB"/>
    <w:rsid w:val="00A771EA"/>
    <w:rsid w:val="00A77339"/>
    <w:rsid w:val="00A777E2"/>
    <w:rsid w:val="00A7791E"/>
    <w:rsid w:val="00A803A3"/>
    <w:rsid w:val="00A8076A"/>
    <w:rsid w:val="00A80A3B"/>
    <w:rsid w:val="00A80B0A"/>
    <w:rsid w:val="00A81CE1"/>
    <w:rsid w:val="00A8200E"/>
    <w:rsid w:val="00A8212C"/>
    <w:rsid w:val="00A828E8"/>
    <w:rsid w:val="00A829DB"/>
    <w:rsid w:val="00A82D49"/>
    <w:rsid w:val="00A8363B"/>
    <w:rsid w:val="00A8395B"/>
    <w:rsid w:val="00A83A83"/>
    <w:rsid w:val="00A8424C"/>
    <w:rsid w:val="00A843AF"/>
    <w:rsid w:val="00A845AE"/>
    <w:rsid w:val="00A8525A"/>
    <w:rsid w:val="00A85397"/>
    <w:rsid w:val="00A8593B"/>
    <w:rsid w:val="00A8597C"/>
    <w:rsid w:val="00A861CF"/>
    <w:rsid w:val="00A8639C"/>
    <w:rsid w:val="00A868B6"/>
    <w:rsid w:val="00A86A32"/>
    <w:rsid w:val="00A86AC8"/>
    <w:rsid w:val="00A86B66"/>
    <w:rsid w:val="00A86DD5"/>
    <w:rsid w:val="00A87BA1"/>
    <w:rsid w:val="00A90A39"/>
    <w:rsid w:val="00A90D67"/>
    <w:rsid w:val="00A9195B"/>
    <w:rsid w:val="00A92883"/>
    <w:rsid w:val="00A931F7"/>
    <w:rsid w:val="00A93BB8"/>
    <w:rsid w:val="00A93E79"/>
    <w:rsid w:val="00A9414B"/>
    <w:rsid w:val="00A941BB"/>
    <w:rsid w:val="00A966CF"/>
    <w:rsid w:val="00A96E01"/>
    <w:rsid w:val="00AA057D"/>
    <w:rsid w:val="00AA09EA"/>
    <w:rsid w:val="00AA0B72"/>
    <w:rsid w:val="00AA0D99"/>
    <w:rsid w:val="00AA0F84"/>
    <w:rsid w:val="00AA1070"/>
    <w:rsid w:val="00AA1296"/>
    <w:rsid w:val="00AA1A8A"/>
    <w:rsid w:val="00AA1BAC"/>
    <w:rsid w:val="00AA2246"/>
    <w:rsid w:val="00AA2875"/>
    <w:rsid w:val="00AA2CA6"/>
    <w:rsid w:val="00AA331E"/>
    <w:rsid w:val="00AA35D0"/>
    <w:rsid w:val="00AA3F21"/>
    <w:rsid w:val="00AA44AC"/>
    <w:rsid w:val="00AA5727"/>
    <w:rsid w:val="00AA65EF"/>
    <w:rsid w:val="00AA6797"/>
    <w:rsid w:val="00AA78AB"/>
    <w:rsid w:val="00AB0153"/>
    <w:rsid w:val="00AB021C"/>
    <w:rsid w:val="00AB1821"/>
    <w:rsid w:val="00AB22B5"/>
    <w:rsid w:val="00AB25CB"/>
    <w:rsid w:val="00AB2817"/>
    <w:rsid w:val="00AB40B0"/>
    <w:rsid w:val="00AB4A27"/>
    <w:rsid w:val="00AB53D0"/>
    <w:rsid w:val="00AB54C5"/>
    <w:rsid w:val="00AB54F5"/>
    <w:rsid w:val="00AB57A0"/>
    <w:rsid w:val="00AB5B33"/>
    <w:rsid w:val="00AB5B56"/>
    <w:rsid w:val="00AB5C27"/>
    <w:rsid w:val="00AB6965"/>
    <w:rsid w:val="00AB6C5A"/>
    <w:rsid w:val="00AB6F2C"/>
    <w:rsid w:val="00AB72CD"/>
    <w:rsid w:val="00AB780F"/>
    <w:rsid w:val="00AB7BD9"/>
    <w:rsid w:val="00AC0176"/>
    <w:rsid w:val="00AC0385"/>
    <w:rsid w:val="00AC0C1D"/>
    <w:rsid w:val="00AC0C49"/>
    <w:rsid w:val="00AC0F9D"/>
    <w:rsid w:val="00AC208D"/>
    <w:rsid w:val="00AC2783"/>
    <w:rsid w:val="00AC2AF8"/>
    <w:rsid w:val="00AC2B8C"/>
    <w:rsid w:val="00AC2D1F"/>
    <w:rsid w:val="00AC30B7"/>
    <w:rsid w:val="00AC361C"/>
    <w:rsid w:val="00AC3A2E"/>
    <w:rsid w:val="00AC4083"/>
    <w:rsid w:val="00AC4895"/>
    <w:rsid w:val="00AC53BE"/>
    <w:rsid w:val="00AC5B3F"/>
    <w:rsid w:val="00AC60ED"/>
    <w:rsid w:val="00AC6286"/>
    <w:rsid w:val="00AC67EE"/>
    <w:rsid w:val="00AC705E"/>
    <w:rsid w:val="00AC7340"/>
    <w:rsid w:val="00AC76DC"/>
    <w:rsid w:val="00AC7D09"/>
    <w:rsid w:val="00AD024A"/>
    <w:rsid w:val="00AD039C"/>
    <w:rsid w:val="00AD0768"/>
    <w:rsid w:val="00AD1187"/>
    <w:rsid w:val="00AD171D"/>
    <w:rsid w:val="00AD188B"/>
    <w:rsid w:val="00AD2323"/>
    <w:rsid w:val="00AD32F1"/>
    <w:rsid w:val="00AD3323"/>
    <w:rsid w:val="00AD3B55"/>
    <w:rsid w:val="00AD456F"/>
    <w:rsid w:val="00AD4F12"/>
    <w:rsid w:val="00AD5BF2"/>
    <w:rsid w:val="00AD6329"/>
    <w:rsid w:val="00AD69A7"/>
    <w:rsid w:val="00AD69C6"/>
    <w:rsid w:val="00AD6B93"/>
    <w:rsid w:val="00AD6EA3"/>
    <w:rsid w:val="00AE0314"/>
    <w:rsid w:val="00AE08D0"/>
    <w:rsid w:val="00AE0D4A"/>
    <w:rsid w:val="00AE1A16"/>
    <w:rsid w:val="00AE1BC0"/>
    <w:rsid w:val="00AE1F78"/>
    <w:rsid w:val="00AE23D3"/>
    <w:rsid w:val="00AE2539"/>
    <w:rsid w:val="00AE2E95"/>
    <w:rsid w:val="00AE31AC"/>
    <w:rsid w:val="00AE3532"/>
    <w:rsid w:val="00AE3FB7"/>
    <w:rsid w:val="00AE44D0"/>
    <w:rsid w:val="00AE4810"/>
    <w:rsid w:val="00AE4D31"/>
    <w:rsid w:val="00AE4F0C"/>
    <w:rsid w:val="00AE536A"/>
    <w:rsid w:val="00AE5A4A"/>
    <w:rsid w:val="00AE5CB2"/>
    <w:rsid w:val="00AE6193"/>
    <w:rsid w:val="00AE6294"/>
    <w:rsid w:val="00AE6855"/>
    <w:rsid w:val="00AE6961"/>
    <w:rsid w:val="00AE6C73"/>
    <w:rsid w:val="00AE72D6"/>
    <w:rsid w:val="00AE786B"/>
    <w:rsid w:val="00AE796A"/>
    <w:rsid w:val="00AE7AE6"/>
    <w:rsid w:val="00AE7D0F"/>
    <w:rsid w:val="00AE7F77"/>
    <w:rsid w:val="00AF023C"/>
    <w:rsid w:val="00AF0278"/>
    <w:rsid w:val="00AF039C"/>
    <w:rsid w:val="00AF0656"/>
    <w:rsid w:val="00AF0B7B"/>
    <w:rsid w:val="00AF0B97"/>
    <w:rsid w:val="00AF155C"/>
    <w:rsid w:val="00AF21C3"/>
    <w:rsid w:val="00AF2251"/>
    <w:rsid w:val="00AF24DC"/>
    <w:rsid w:val="00AF25A2"/>
    <w:rsid w:val="00AF292F"/>
    <w:rsid w:val="00AF2DDB"/>
    <w:rsid w:val="00AF3059"/>
    <w:rsid w:val="00AF32EE"/>
    <w:rsid w:val="00AF3DF7"/>
    <w:rsid w:val="00AF3DFF"/>
    <w:rsid w:val="00AF4D14"/>
    <w:rsid w:val="00AF4F20"/>
    <w:rsid w:val="00AF4FE8"/>
    <w:rsid w:val="00AF51AE"/>
    <w:rsid w:val="00AF6EEF"/>
    <w:rsid w:val="00AF7135"/>
    <w:rsid w:val="00AF7425"/>
    <w:rsid w:val="00AF787C"/>
    <w:rsid w:val="00AF7F55"/>
    <w:rsid w:val="00B02285"/>
    <w:rsid w:val="00B02920"/>
    <w:rsid w:val="00B039F2"/>
    <w:rsid w:val="00B03FC8"/>
    <w:rsid w:val="00B048A9"/>
    <w:rsid w:val="00B04A40"/>
    <w:rsid w:val="00B050A3"/>
    <w:rsid w:val="00B05305"/>
    <w:rsid w:val="00B05C40"/>
    <w:rsid w:val="00B06452"/>
    <w:rsid w:val="00B06DD5"/>
    <w:rsid w:val="00B07575"/>
    <w:rsid w:val="00B07899"/>
    <w:rsid w:val="00B07FF3"/>
    <w:rsid w:val="00B105FF"/>
    <w:rsid w:val="00B10A9B"/>
    <w:rsid w:val="00B110C6"/>
    <w:rsid w:val="00B111D4"/>
    <w:rsid w:val="00B118D9"/>
    <w:rsid w:val="00B11A3B"/>
    <w:rsid w:val="00B11B95"/>
    <w:rsid w:val="00B11C03"/>
    <w:rsid w:val="00B11EC8"/>
    <w:rsid w:val="00B121CC"/>
    <w:rsid w:val="00B12394"/>
    <w:rsid w:val="00B12A41"/>
    <w:rsid w:val="00B130D9"/>
    <w:rsid w:val="00B138E6"/>
    <w:rsid w:val="00B13DF7"/>
    <w:rsid w:val="00B14522"/>
    <w:rsid w:val="00B1452F"/>
    <w:rsid w:val="00B15718"/>
    <w:rsid w:val="00B16561"/>
    <w:rsid w:val="00B16866"/>
    <w:rsid w:val="00B16B47"/>
    <w:rsid w:val="00B16DDD"/>
    <w:rsid w:val="00B17467"/>
    <w:rsid w:val="00B177C7"/>
    <w:rsid w:val="00B17836"/>
    <w:rsid w:val="00B2053E"/>
    <w:rsid w:val="00B20C22"/>
    <w:rsid w:val="00B20CC9"/>
    <w:rsid w:val="00B20FA3"/>
    <w:rsid w:val="00B2156F"/>
    <w:rsid w:val="00B215E8"/>
    <w:rsid w:val="00B21817"/>
    <w:rsid w:val="00B21E3B"/>
    <w:rsid w:val="00B21F1C"/>
    <w:rsid w:val="00B2203E"/>
    <w:rsid w:val="00B231C0"/>
    <w:rsid w:val="00B239AF"/>
    <w:rsid w:val="00B24460"/>
    <w:rsid w:val="00B24751"/>
    <w:rsid w:val="00B26097"/>
    <w:rsid w:val="00B26BDE"/>
    <w:rsid w:val="00B272B8"/>
    <w:rsid w:val="00B27BD4"/>
    <w:rsid w:val="00B27C78"/>
    <w:rsid w:val="00B30088"/>
    <w:rsid w:val="00B30479"/>
    <w:rsid w:val="00B30488"/>
    <w:rsid w:val="00B30ECF"/>
    <w:rsid w:val="00B30F30"/>
    <w:rsid w:val="00B31784"/>
    <w:rsid w:val="00B317FC"/>
    <w:rsid w:val="00B31A6F"/>
    <w:rsid w:val="00B331A4"/>
    <w:rsid w:val="00B331E2"/>
    <w:rsid w:val="00B33C14"/>
    <w:rsid w:val="00B34054"/>
    <w:rsid w:val="00B347FF"/>
    <w:rsid w:val="00B34F76"/>
    <w:rsid w:val="00B34FE2"/>
    <w:rsid w:val="00B354D9"/>
    <w:rsid w:val="00B35FEC"/>
    <w:rsid w:val="00B3600E"/>
    <w:rsid w:val="00B3614A"/>
    <w:rsid w:val="00B36311"/>
    <w:rsid w:val="00B3635E"/>
    <w:rsid w:val="00B37923"/>
    <w:rsid w:val="00B37B90"/>
    <w:rsid w:val="00B4035A"/>
    <w:rsid w:val="00B404C8"/>
    <w:rsid w:val="00B40A45"/>
    <w:rsid w:val="00B4187C"/>
    <w:rsid w:val="00B42166"/>
    <w:rsid w:val="00B42556"/>
    <w:rsid w:val="00B427F4"/>
    <w:rsid w:val="00B43470"/>
    <w:rsid w:val="00B438A9"/>
    <w:rsid w:val="00B43BC5"/>
    <w:rsid w:val="00B44040"/>
    <w:rsid w:val="00B445AF"/>
    <w:rsid w:val="00B44AA4"/>
    <w:rsid w:val="00B4503F"/>
    <w:rsid w:val="00B45109"/>
    <w:rsid w:val="00B4541F"/>
    <w:rsid w:val="00B457FC"/>
    <w:rsid w:val="00B458C7"/>
    <w:rsid w:val="00B4649E"/>
    <w:rsid w:val="00B46AC0"/>
    <w:rsid w:val="00B46D2F"/>
    <w:rsid w:val="00B46D81"/>
    <w:rsid w:val="00B472B2"/>
    <w:rsid w:val="00B473D7"/>
    <w:rsid w:val="00B47582"/>
    <w:rsid w:val="00B505EE"/>
    <w:rsid w:val="00B508F6"/>
    <w:rsid w:val="00B51CAA"/>
    <w:rsid w:val="00B51E53"/>
    <w:rsid w:val="00B5200C"/>
    <w:rsid w:val="00B52938"/>
    <w:rsid w:val="00B535F5"/>
    <w:rsid w:val="00B5370E"/>
    <w:rsid w:val="00B53A60"/>
    <w:rsid w:val="00B53DAB"/>
    <w:rsid w:val="00B54338"/>
    <w:rsid w:val="00B544F8"/>
    <w:rsid w:val="00B545F5"/>
    <w:rsid w:val="00B5472A"/>
    <w:rsid w:val="00B5497A"/>
    <w:rsid w:val="00B54AA2"/>
    <w:rsid w:val="00B54C57"/>
    <w:rsid w:val="00B55285"/>
    <w:rsid w:val="00B558EE"/>
    <w:rsid w:val="00B55AE9"/>
    <w:rsid w:val="00B5711C"/>
    <w:rsid w:val="00B5769D"/>
    <w:rsid w:val="00B5770C"/>
    <w:rsid w:val="00B57E7E"/>
    <w:rsid w:val="00B612B9"/>
    <w:rsid w:val="00B6135B"/>
    <w:rsid w:val="00B61C51"/>
    <w:rsid w:val="00B626B7"/>
    <w:rsid w:val="00B62DE3"/>
    <w:rsid w:val="00B6330B"/>
    <w:rsid w:val="00B6344E"/>
    <w:rsid w:val="00B63656"/>
    <w:rsid w:val="00B642C8"/>
    <w:rsid w:val="00B64C3B"/>
    <w:rsid w:val="00B662DA"/>
    <w:rsid w:val="00B669D4"/>
    <w:rsid w:val="00B66BB9"/>
    <w:rsid w:val="00B675FD"/>
    <w:rsid w:val="00B70C9A"/>
    <w:rsid w:val="00B70DFE"/>
    <w:rsid w:val="00B70F49"/>
    <w:rsid w:val="00B7149E"/>
    <w:rsid w:val="00B714DC"/>
    <w:rsid w:val="00B71A00"/>
    <w:rsid w:val="00B71D17"/>
    <w:rsid w:val="00B71F6E"/>
    <w:rsid w:val="00B72093"/>
    <w:rsid w:val="00B72214"/>
    <w:rsid w:val="00B729B9"/>
    <w:rsid w:val="00B73104"/>
    <w:rsid w:val="00B73C50"/>
    <w:rsid w:val="00B74160"/>
    <w:rsid w:val="00B74332"/>
    <w:rsid w:val="00B75D50"/>
    <w:rsid w:val="00B761B5"/>
    <w:rsid w:val="00B764DE"/>
    <w:rsid w:val="00B76603"/>
    <w:rsid w:val="00B76BF9"/>
    <w:rsid w:val="00B76FCB"/>
    <w:rsid w:val="00B77E1E"/>
    <w:rsid w:val="00B80C9F"/>
    <w:rsid w:val="00B818D7"/>
    <w:rsid w:val="00B819A2"/>
    <w:rsid w:val="00B81DB6"/>
    <w:rsid w:val="00B81F3E"/>
    <w:rsid w:val="00B821EE"/>
    <w:rsid w:val="00B837A0"/>
    <w:rsid w:val="00B8393E"/>
    <w:rsid w:val="00B83AED"/>
    <w:rsid w:val="00B84A3E"/>
    <w:rsid w:val="00B84A54"/>
    <w:rsid w:val="00B84C6E"/>
    <w:rsid w:val="00B84C71"/>
    <w:rsid w:val="00B84ED4"/>
    <w:rsid w:val="00B85179"/>
    <w:rsid w:val="00B8568B"/>
    <w:rsid w:val="00B859AD"/>
    <w:rsid w:val="00B85AC8"/>
    <w:rsid w:val="00B86A40"/>
    <w:rsid w:val="00B86C2A"/>
    <w:rsid w:val="00B86F99"/>
    <w:rsid w:val="00B87CFE"/>
    <w:rsid w:val="00B87DE7"/>
    <w:rsid w:val="00B907A0"/>
    <w:rsid w:val="00B90D0D"/>
    <w:rsid w:val="00B90EF4"/>
    <w:rsid w:val="00B91988"/>
    <w:rsid w:val="00B91BD4"/>
    <w:rsid w:val="00B91EC1"/>
    <w:rsid w:val="00B92003"/>
    <w:rsid w:val="00B92B97"/>
    <w:rsid w:val="00B9303F"/>
    <w:rsid w:val="00B93F88"/>
    <w:rsid w:val="00B945F0"/>
    <w:rsid w:val="00B94C15"/>
    <w:rsid w:val="00B950D6"/>
    <w:rsid w:val="00B951BB"/>
    <w:rsid w:val="00B9578F"/>
    <w:rsid w:val="00B958CA"/>
    <w:rsid w:val="00B95B48"/>
    <w:rsid w:val="00B96324"/>
    <w:rsid w:val="00B9678F"/>
    <w:rsid w:val="00B96FB6"/>
    <w:rsid w:val="00B9711C"/>
    <w:rsid w:val="00B97525"/>
    <w:rsid w:val="00B97AA7"/>
    <w:rsid w:val="00B97AF9"/>
    <w:rsid w:val="00BA01BE"/>
    <w:rsid w:val="00BA045A"/>
    <w:rsid w:val="00BA0730"/>
    <w:rsid w:val="00BA0764"/>
    <w:rsid w:val="00BA10C3"/>
    <w:rsid w:val="00BA10CB"/>
    <w:rsid w:val="00BA1BB0"/>
    <w:rsid w:val="00BA1C4A"/>
    <w:rsid w:val="00BA1C4F"/>
    <w:rsid w:val="00BA24E4"/>
    <w:rsid w:val="00BA290B"/>
    <w:rsid w:val="00BA2951"/>
    <w:rsid w:val="00BA2A74"/>
    <w:rsid w:val="00BA2D2F"/>
    <w:rsid w:val="00BA3097"/>
    <w:rsid w:val="00BA3130"/>
    <w:rsid w:val="00BA341E"/>
    <w:rsid w:val="00BA3864"/>
    <w:rsid w:val="00BA38B2"/>
    <w:rsid w:val="00BA4B6B"/>
    <w:rsid w:val="00BA526C"/>
    <w:rsid w:val="00BA5937"/>
    <w:rsid w:val="00BA5BE1"/>
    <w:rsid w:val="00BA66BC"/>
    <w:rsid w:val="00BA7405"/>
    <w:rsid w:val="00BA7CDA"/>
    <w:rsid w:val="00BB0879"/>
    <w:rsid w:val="00BB13B0"/>
    <w:rsid w:val="00BB1EF0"/>
    <w:rsid w:val="00BB1FA7"/>
    <w:rsid w:val="00BB20F5"/>
    <w:rsid w:val="00BB29F4"/>
    <w:rsid w:val="00BB2B6D"/>
    <w:rsid w:val="00BB2D3E"/>
    <w:rsid w:val="00BB2F64"/>
    <w:rsid w:val="00BB2FBA"/>
    <w:rsid w:val="00BB305A"/>
    <w:rsid w:val="00BB3DC0"/>
    <w:rsid w:val="00BB4072"/>
    <w:rsid w:val="00BB44CA"/>
    <w:rsid w:val="00BB48D5"/>
    <w:rsid w:val="00BB4E47"/>
    <w:rsid w:val="00BB553F"/>
    <w:rsid w:val="00BB5DF3"/>
    <w:rsid w:val="00BB6038"/>
    <w:rsid w:val="00BB6545"/>
    <w:rsid w:val="00BB7474"/>
    <w:rsid w:val="00BB74CB"/>
    <w:rsid w:val="00BC0BFD"/>
    <w:rsid w:val="00BC16BF"/>
    <w:rsid w:val="00BC1ADF"/>
    <w:rsid w:val="00BC2197"/>
    <w:rsid w:val="00BC2677"/>
    <w:rsid w:val="00BC26F3"/>
    <w:rsid w:val="00BC288C"/>
    <w:rsid w:val="00BC4015"/>
    <w:rsid w:val="00BC4271"/>
    <w:rsid w:val="00BC467F"/>
    <w:rsid w:val="00BC476B"/>
    <w:rsid w:val="00BC4B8A"/>
    <w:rsid w:val="00BC58FA"/>
    <w:rsid w:val="00BC6BBD"/>
    <w:rsid w:val="00BC7129"/>
    <w:rsid w:val="00BC7871"/>
    <w:rsid w:val="00BC791D"/>
    <w:rsid w:val="00BC7C5E"/>
    <w:rsid w:val="00BC7F95"/>
    <w:rsid w:val="00BC7FF4"/>
    <w:rsid w:val="00BD03D1"/>
    <w:rsid w:val="00BD0E12"/>
    <w:rsid w:val="00BD11C7"/>
    <w:rsid w:val="00BD14CA"/>
    <w:rsid w:val="00BD15A2"/>
    <w:rsid w:val="00BD1649"/>
    <w:rsid w:val="00BD1C7A"/>
    <w:rsid w:val="00BD29B1"/>
    <w:rsid w:val="00BD48D9"/>
    <w:rsid w:val="00BD4968"/>
    <w:rsid w:val="00BD54CE"/>
    <w:rsid w:val="00BD55AD"/>
    <w:rsid w:val="00BD585B"/>
    <w:rsid w:val="00BD5E09"/>
    <w:rsid w:val="00BD635E"/>
    <w:rsid w:val="00BD6FD3"/>
    <w:rsid w:val="00BD7612"/>
    <w:rsid w:val="00BD7C71"/>
    <w:rsid w:val="00BE053C"/>
    <w:rsid w:val="00BE10EF"/>
    <w:rsid w:val="00BE1353"/>
    <w:rsid w:val="00BE175E"/>
    <w:rsid w:val="00BE273D"/>
    <w:rsid w:val="00BE29E8"/>
    <w:rsid w:val="00BE2CAA"/>
    <w:rsid w:val="00BE3B38"/>
    <w:rsid w:val="00BE3D49"/>
    <w:rsid w:val="00BE4484"/>
    <w:rsid w:val="00BE4811"/>
    <w:rsid w:val="00BE56A5"/>
    <w:rsid w:val="00BE6556"/>
    <w:rsid w:val="00BE66B0"/>
    <w:rsid w:val="00BE6908"/>
    <w:rsid w:val="00BE6CFC"/>
    <w:rsid w:val="00BE7107"/>
    <w:rsid w:val="00BE74F4"/>
    <w:rsid w:val="00BE7985"/>
    <w:rsid w:val="00BE79D2"/>
    <w:rsid w:val="00BE7DAF"/>
    <w:rsid w:val="00BF15B9"/>
    <w:rsid w:val="00BF1817"/>
    <w:rsid w:val="00BF19B5"/>
    <w:rsid w:val="00BF1C5B"/>
    <w:rsid w:val="00BF1E8B"/>
    <w:rsid w:val="00BF1EE0"/>
    <w:rsid w:val="00BF2028"/>
    <w:rsid w:val="00BF3196"/>
    <w:rsid w:val="00BF31B6"/>
    <w:rsid w:val="00BF3300"/>
    <w:rsid w:val="00BF33FE"/>
    <w:rsid w:val="00BF3886"/>
    <w:rsid w:val="00BF3934"/>
    <w:rsid w:val="00BF39D1"/>
    <w:rsid w:val="00BF3C65"/>
    <w:rsid w:val="00BF3D93"/>
    <w:rsid w:val="00BF4422"/>
    <w:rsid w:val="00BF4A8A"/>
    <w:rsid w:val="00BF4C87"/>
    <w:rsid w:val="00BF585B"/>
    <w:rsid w:val="00BF64C9"/>
    <w:rsid w:val="00BF68D9"/>
    <w:rsid w:val="00BF6FCD"/>
    <w:rsid w:val="00BF719E"/>
    <w:rsid w:val="00C0007E"/>
    <w:rsid w:val="00C000E4"/>
    <w:rsid w:val="00C00279"/>
    <w:rsid w:val="00C00CCD"/>
    <w:rsid w:val="00C0163A"/>
    <w:rsid w:val="00C01974"/>
    <w:rsid w:val="00C01A44"/>
    <w:rsid w:val="00C02448"/>
    <w:rsid w:val="00C0303C"/>
    <w:rsid w:val="00C034BC"/>
    <w:rsid w:val="00C03909"/>
    <w:rsid w:val="00C03975"/>
    <w:rsid w:val="00C04C57"/>
    <w:rsid w:val="00C05075"/>
    <w:rsid w:val="00C053B4"/>
    <w:rsid w:val="00C0589A"/>
    <w:rsid w:val="00C058DC"/>
    <w:rsid w:val="00C05C82"/>
    <w:rsid w:val="00C05F05"/>
    <w:rsid w:val="00C060FF"/>
    <w:rsid w:val="00C0646D"/>
    <w:rsid w:val="00C0668B"/>
    <w:rsid w:val="00C06A55"/>
    <w:rsid w:val="00C06BCE"/>
    <w:rsid w:val="00C06E6B"/>
    <w:rsid w:val="00C07CBD"/>
    <w:rsid w:val="00C10015"/>
    <w:rsid w:val="00C10150"/>
    <w:rsid w:val="00C102EC"/>
    <w:rsid w:val="00C1084F"/>
    <w:rsid w:val="00C10FD0"/>
    <w:rsid w:val="00C1201C"/>
    <w:rsid w:val="00C12823"/>
    <w:rsid w:val="00C12926"/>
    <w:rsid w:val="00C12CD8"/>
    <w:rsid w:val="00C132FF"/>
    <w:rsid w:val="00C13E78"/>
    <w:rsid w:val="00C14320"/>
    <w:rsid w:val="00C152BD"/>
    <w:rsid w:val="00C15593"/>
    <w:rsid w:val="00C159B2"/>
    <w:rsid w:val="00C16E6F"/>
    <w:rsid w:val="00C170B6"/>
    <w:rsid w:val="00C17136"/>
    <w:rsid w:val="00C17185"/>
    <w:rsid w:val="00C175C0"/>
    <w:rsid w:val="00C1767A"/>
    <w:rsid w:val="00C178E9"/>
    <w:rsid w:val="00C17F68"/>
    <w:rsid w:val="00C2073F"/>
    <w:rsid w:val="00C208E9"/>
    <w:rsid w:val="00C20D15"/>
    <w:rsid w:val="00C20EA9"/>
    <w:rsid w:val="00C20EFE"/>
    <w:rsid w:val="00C2114D"/>
    <w:rsid w:val="00C21270"/>
    <w:rsid w:val="00C21368"/>
    <w:rsid w:val="00C21E2E"/>
    <w:rsid w:val="00C2259F"/>
    <w:rsid w:val="00C2298A"/>
    <w:rsid w:val="00C22F50"/>
    <w:rsid w:val="00C2343F"/>
    <w:rsid w:val="00C237C4"/>
    <w:rsid w:val="00C2382C"/>
    <w:rsid w:val="00C23AA7"/>
    <w:rsid w:val="00C23BEA"/>
    <w:rsid w:val="00C240AB"/>
    <w:rsid w:val="00C252AB"/>
    <w:rsid w:val="00C253D0"/>
    <w:rsid w:val="00C257E7"/>
    <w:rsid w:val="00C258CF"/>
    <w:rsid w:val="00C2610A"/>
    <w:rsid w:val="00C274DB"/>
    <w:rsid w:val="00C3122F"/>
    <w:rsid w:val="00C312BD"/>
    <w:rsid w:val="00C318AD"/>
    <w:rsid w:val="00C31B24"/>
    <w:rsid w:val="00C327BD"/>
    <w:rsid w:val="00C3351A"/>
    <w:rsid w:val="00C33734"/>
    <w:rsid w:val="00C33AEF"/>
    <w:rsid w:val="00C33C2D"/>
    <w:rsid w:val="00C34111"/>
    <w:rsid w:val="00C342D0"/>
    <w:rsid w:val="00C34F07"/>
    <w:rsid w:val="00C35ED0"/>
    <w:rsid w:val="00C361DB"/>
    <w:rsid w:val="00C3657D"/>
    <w:rsid w:val="00C36876"/>
    <w:rsid w:val="00C36B1B"/>
    <w:rsid w:val="00C37243"/>
    <w:rsid w:val="00C37352"/>
    <w:rsid w:val="00C3763C"/>
    <w:rsid w:val="00C37BF7"/>
    <w:rsid w:val="00C37E8E"/>
    <w:rsid w:val="00C404CA"/>
    <w:rsid w:val="00C411DB"/>
    <w:rsid w:val="00C4145F"/>
    <w:rsid w:val="00C43A65"/>
    <w:rsid w:val="00C441A4"/>
    <w:rsid w:val="00C44EFA"/>
    <w:rsid w:val="00C451DC"/>
    <w:rsid w:val="00C454D6"/>
    <w:rsid w:val="00C4591B"/>
    <w:rsid w:val="00C46491"/>
    <w:rsid w:val="00C465F7"/>
    <w:rsid w:val="00C468D5"/>
    <w:rsid w:val="00C46C19"/>
    <w:rsid w:val="00C46EE5"/>
    <w:rsid w:val="00C46F42"/>
    <w:rsid w:val="00C47008"/>
    <w:rsid w:val="00C477D0"/>
    <w:rsid w:val="00C479D1"/>
    <w:rsid w:val="00C479F3"/>
    <w:rsid w:val="00C502E2"/>
    <w:rsid w:val="00C50AB0"/>
    <w:rsid w:val="00C517CD"/>
    <w:rsid w:val="00C51D60"/>
    <w:rsid w:val="00C52E6A"/>
    <w:rsid w:val="00C52FC2"/>
    <w:rsid w:val="00C53389"/>
    <w:rsid w:val="00C53A14"/>
    <w:rsid w:val="00C53D63"/>
    <w:rsid w:val="00C53E67"/>
    <w:rsid w:val="00C55606"/>
    <w:rsid w:val="00C556E5"/>
    <w:rsid w:val="00C56191"/>
    <w:rsid w:val="00C567D1"/>
    <w:rsid w:val="00C5728C"/>
    <w:rsid w:val="00C57A5B"/>
    <w:rsid w:val="00C6025D"/>
    <w:rsid w:val="00C603B3"/>
    <w:rsid w:val="00C60E0D"/>
    <w:rsid w:val="00C60E89"/>
    <w:rsid w:val="00C61482"/>
    <w:rsid w:val="00C625E2"/>
    <w:rsid w:val="00C62A5B"/>
    <w:rsid w:val="00C62C08"/>
    <w:rsid w:val="00C62F54"/>
    <w:rsid w:val="00C6433B"/>
    <w:rsid w:val="00C643C4"/>
    <w:rsid w:val="00C648E3"/>
    <w:rsid w:val="00C64973"/>
    <w:rsid w:val="00C64ABB"/>
    <w:rsid w:val="00C65371"/>
    <w:rsid w:val="00C663F3"/>
    <w:rsid w:val="00C665E8"/>
    <w:rsid w:val="00C66879"/>
    <w:rsid w:val="00C66F3B"/>
    <w:rsid w:val="00C6751E"/>
    <w:rsid w:val="00C67881"/>
    <w:rsid w:val="00C70719"/>
    <w:rsid w:val="00C71259"/>
    <w:rsid w:val="00C7253E"/>
    <w:rsid w:val="00C725F7"/>
    <w:rsid w:val="00C72B23"/>
    <w:rsid w:val="00C72E61"/>
    <w:rsid w:val="00C7319A"/>
    <w:rsid w:val="00C735AE"/>
    <w:rsid w:val="00C73BF7"/>
    <w:rsid w:val="00C73FAD"/>
    <w:rsid w:val="00C74333"/>
    <w:rsid w:val="00C74A5E"/>
    <w:rsid w:val="00C74D33"/>
    <w:rsid w:val="00C7558E"/>
    <w:rsid w:val="00C76612"/>
    <w:rsid w:val="00C76E7C"/>
    <w:rsid w:val="00C76F6B"/>
    <w:rsid w:val="00C774AD"/>
    <w:rsid w:val="00C775CF"/>
    <w:rsid w:val="00C77978"/>
    <w:rsid w:val="00C77D5A"/>
    <w:rsid w:val="00C802E4"/>
    <w:rsid w:val="00C80732"/>
    <w:rsid w:val="00C8097F"/>
    <w:rsid w:val="00C80E49"/>
    <w:rsid w:val="00C816CC"/>
    <w:rsid w:val="00C82D43"/>
    <w:rsid w:val="00C83010"/>
    <w:rsid w:val="00C83328"/>
    <w:rsid w:val="00C8379B"/>
    <w:rsid w:val="00C84460"/>
    <w:rsid w:val="00C84D8F"/>
    <w:rsid w:val="00C85D71"/>
    <w:rsid w:val="00C85FD8"/>
    <w:rsid w:val="00C86959"/>
    <w:rsid w:val="00C87112"/>
    <w:rsid w:val="00C873C8"/>
    <w:rsid w:val="00C87634"/>
    <w:rsid w:val="00C87836"/>
    <w:rsid w:val="00C87B84"/>
    <w:rsid w:val="00C90084"/>
    <w:rsid w:val="00C900B4"/>
    <w:rsid w:val="00C90424"/>
    <w:rsid w:val="00C906E5"/>
    <w:rsid w:val="00C919B6"/>
    <w:rsid w:val="00C91A7A"/>
    <w:rsid w:val="00C91CDB"/>
    <w:rsid w:val="00C92043"/>
    <w:rsid w:val="00C9223B"/>
    <w:rsid w:val="00C9271C"/>
    <w:rsid w:val="00C92A75"/>
    <w:rsid w:val="00C93278"/>
    <w:rsid w:val="00C9334D"/>
    <w:rsid w:val="00C94240"/>
    <w:rsid w:val="00C94275"/>
    <w:rsid w:val="00C943D2"/>
    <w:rsid w:val="00C958A5"/>
    <w:rsid w:val="00C95981"/>
    <w:rsid w:val="00C959FE"/>
    <w:rsid w:val="00C95E99"/>
    <w:rsid w:val="00C962B4"/>
    <w:rsid w:val="00C96749"/>
    <w:rsid w:val="00C9697B"/>
    <w:rsid w:val="00C96E75"/>
    <w:rsid w:val="00C973B8"/>
    <w:rsid w:val="00C97CC5"/>
    <w:rsid w:val="00CA0171"/>
    <w:rsid w:val="00CA06B1"/>
    <w:rsid w:val="00CA070E"/>
    <w:rsid w:val="00CA075E"/>
    <w:rsid w:val="00CA07E3"/>
    <w:rsid w:val="00CA091B"/>
    <w:rsid w:val="00CA0B3E"/>
    <w:rsid w:val="00CA11D1"/>
    <w:rsid w:val="00CA1506"/>
    <w:rsid w:val="00CA2704"/>
    <w:rsid w:val="00CA405C"/>
    <w:rsid w:val="00CA531B"/>
    <w:rsid w:val="00CA5345"/>
    <w:rsid w:val="00CA5894"/>
    <w:rsid w:val="00CA64DA"/>
    <w:rsid w:val="00CA6CD9"/>
    <w:rsid w:val="00CA7614"/>
    <w:rsid w:val="00CA7BD0"/>
    <w:rsid w:val="00CB0184"/>
    <w:rsid w:val="00CB10DA"/>
    <w:rsid w:val="00CB17AB"/>
    <w:rsid w:val="00CB2339"/>
    <w:rsid w:val="00CB2423"/>
    <w:rsid w:val="00CB2DF9"/>
    <w:rsid w:val="00CB30EC"/>
    <w:rsid w:val="00CB33A2"/>
    <w:rsid w:val="00CB34D2"/>
    <w:rsid w:val="00CB3EF7"/>
    <w:rsid w:val="00CB422E"/>
    <w:rsid w:val="00CB45F1"/>
    <w:rsid w:val="00CB488C"/>
    <w:rsid w:val="00CB4958"/>
    <w:rsid w:val="00CB4BC1"/>
    <w:rsid w:val="00CB5553"/>
    <w:rsid w:val="00CB5681"/>
    <w:rsid w:val="00CB572B"/>
    <w:rsid w:val="00CB6232"/>
    <w:rsid w:val="00CB6755"/>
    <w:rsid w:val="00CB6D1A"/>
    <w:rsid w:val="00CB6E1D"/>
    <w:rsid w:val="00CB6FC2"/>
    <w:rsid w:val="00CB740B"/>
    <w:rsid w:val="00CB7437"/>
    <w:rsid w:val="00CB7482"/>
    <w:rsid w:val="00CB75B3"/>
    <w:rsid w:val="00CB793B"/>
    <w:rsid w:val="00CB7F32"/>
    <w:rsid w:val="00CC0329"/>
    <w:rsid w:val="00CC048F"/>
    <w:rsid w:val="00CC0ED4"/>
    <w:rsid w:val="00CC1BC8"/>
    <w:rsid w:val="00CC1E79"/>
    <w:rsid w:val="00CC1F8D"/>
    <w:rsid w:val="00CC22A6"/>
    <w:rsid w:val="00CC2466"/>
    <w:rsid w:val="00CC2AE8"/>
    <w:rsid w:val="00CC2FB7"/>
    <w:rsid w:val="00CC3C99"/>
    <w:rsid w:val="00CC560F"/>
    <w:rsid w:val="00CC5A09"/>
    <w:rsid w:val="00CC5BC0"/>
    <w:rsid w:val="00CC5F49"/>
    <w:rsid w:val="00CC7403"/>
    <w:rsid w:val="00CD0032"/>
    <w:rsid w:val="00CD0085"/>
    <w:rsid w:val="00CD0B44"/>
    <w:rsid w:val="00CD0CD4"/>
    <w:rsid w:val="00CD0CE2"/>
    <w:rsid w:val="00CD0FF4"/>
    <w:rsid w:val="00CD1107"/>
    <w:rsid w:val="00CD1410"/>
    <w:rsid w:val="00CD1759"/>
    <w:rsid w:val="00CD1952"/>
    <w:rsid w:val="00CD1C6A"/>
    <w:rsid w:val="00CD28FA"/>
    <w:rsid w:val="00CD2A41"/>
    <w:rsid w:val="00CD2E16"/>
    <w:rsid w:val="00CD335C"/>
    <w:rsid w:val="00CD3BC4"/>
    <w:rsid w:val="00CD3E98"/>
    <w:rsid w:val="00CD427A"/>
    <w:rsid w:val="00CD4538"/>
    <w:rsid w:val="00CD5072"/>
    <w:rsid w:val="00CD51D3"/>
    <w:rsid w:val="00CD56F1"/>
    <w:rsid w:val="00CD5B83"/>
    <w:rsid w:val="00CD5BE1"/>
    <w:rsid w:val="00CD5C41"/>
    <w:rsid w:val="00CD620E"/>
    <w:rsid w:val="00CD62C7"/>
    <w:rsid w:val="00CD62EC"/>
    <w:rsid w:val="00CD68B8"/>
    <w:rsid w:val="00CD6B65"/>
    <w:rsid w:val="00CD6EBC"/>
    <w:rsid w:val="00CD7168"/>
    <w:rsid w:val="00CD7BA5"/>
    <w:rsid w:val="00CD7E4D"/>
    <w:rsid w:val="00CD7F3E"/>
    <w:rsid w:val="00CE0B24"/>
    <w:rsid w:val="00CE1116"/>
    <w:rsid w:val="00CE130F"/>
    <w:rsid w:val="00CE173D"/>
    <w:rsid w:val="00CE17E3"/>
    <w:rsid w:val="00CE1A1E"/>
    <w:rsid w:val="00CE1C11"/>
    <w:rsid w:val="00CE3175"/>
    <w:rsid w:val="00CE525D"/>
    <w:rsid w:val="00CE6425"/>
    <w:rsid w:val="00CE6EC1"/>
    <w:rsid w:val="00CE7DE3"/>
    <w:rsid w:val="00CE7EAD"/>
    <w:rsid w:val="00CF0C62"/>
    <w:rsid w:val="00CF120D"/>
    <w:rsid w:val="00CF1CBC"/>
    <w:rsid w:val="00CF200B"/>
    <w:rsid w:val="00CF2644"/>
    <w:rsid w:val="00CF2838"/>
    <w:rsid w:val="00CF2B41"/>
    <w:rsid w:val="00CF2B75"/>
    <w:rsid w:val="00CF327B"/>
    <w:rsid w:val="00CF3523"/>
    <w:rsid w:val="00CF3B79"/>
    <w:rsid w:val="00CF459E"/>
    <w:rsid w:val="00CF4BD0"/>
    <w:rsid w:val="00CF5519"/>
    <w:rsid w:val="00CF556F"/>
    <w:rsid w:val="00CF5D6E"/>
    <w:rsid w:val="00CF601E"/>
    <w:rsid w:val="00CF640E"/>
    <w:rsid w:val="00CF651D"/>
    <w:rsid w:val="00CF672C"/>
    <w:rsid w:val="00CF72C8"/>
    <w:rsid w:val="00CF7EEA"/>
    <w:rsid w:val="00D00AEB"/>
    <w:rsid w:val="00D011F5"/>
    <w:rsid w:val="00D01384"/>
    <w:rsid w:val="00D0140C"/>
    <w:rsid w:val="00D01E3F"/>
    <w:rsid w:val="00D022C4"/>
    <w:rsid w:val="00D0246F"/>
    <w:rsid w:val="00D0267E"/>
    <w:rsid w:val="00D03524"/>
    <w:rsid w:val="00D0488B"/>
    <w:rsid w:val="00D05128"/>
    <w:rsid w:val="00D05385"/>
    <w:rsid w:val="00D054F7"/>
    <w:rsid w:val="00D05DC1"/>
    <w:rsid w:val="00D06448"/>
    <w:rsid w:val="00D0650D"/>
    <w:rsid w:val="00D06726"/>
    <w:rsid w:val="00D06C05"/>
    <w:rsid w:val="00D0783A"/>
    <w:rsid w:val="00D1025D"/>
    <w:rsid w:val="00D10519"/>
    <w:rsid w:val="00D11920"/>
    <w:rsid w:val="00D11D28"/>
    <w:rsid w:val="00D122FF"/>
    <w:rsid w:val="00D12545"/>
    <w:rsid w:val="00D1298B"/>
    <w:rsid w:val="00D12E5F"/>
    <w:rsid w:val="00D13B80"/>
    <w:rsid w:val="00D13FB6"/>
    <w:rsid w:val="00D14C20"/>
    <w:rsid w:val="00D151F3"/>
    <w:rsid w:val="00D152D9"/>
    <w:rsid w:val="00D15909"/>
    <w:rsid w:val="00D16387"/>
    <w:rsid w:val="00D163A6"/>
    <w:rsid w:val="00D16CBB"/>
    <w:rsid w:val="00D16F95"/>
    <w:rsid w:val="00D17128"/>
    <w:rsid w:val="00D1725A"/>
    <w:rsid w:val="00D1752F"/>
    <w:rsid w:val="00D17EA3"/>
    <w:rsid w:val="00D17F3D"/>
    <w:rsid w:val="00D201B7"/>
    <w:rsid w:val="00D202C4"/>
    <w:rsid w:val="00D203AF"/>
    <w:rsid w:val="00D20928"/>
    <w:rsid w:val="00D21A19"/>
    <w:rsid w:val="00D22303"/>
    <w:rsid w:val="00D22A2A"/>
    <w:rsid w:val="00D22A55"/>
    <w:rsid w:val="00D22AC3"/>
    <w:rsid w:val="00D235A6"/>
    <w:rsid w:val="00D23902"/>
    <w:rsid w:val="00D2456F"/>
    <w:rsid w:val="00D24806"/>
    <w:rsid w:val="00D25068"/>
    <w:rsid w:val="00D2576C"/>
    <w:rsid w:val="00D261BF"/>
    <w:rsid w:val="00D261F0"/>
    <w:rsid w:val="00D27642"/>
    <w:rsid w:val="00D30672"/>
    <w:rsid w:val="00D311BA"/>
    <w:rsid w:val="00D3161C"/>
    <w:rsid w:val="00D3188D"/>
    <w:rsid w:val="00D3190A"/>
    <w:rsid w:val="00D31AF1"/>
    <w:rsid w:val="00D31F33"/>
    <w:rsid w:val="00D32092"/>
    <w:rsid w:val="00D32814"/>
    <w:rsid w:val="00D328A8"/>
    <w:rsid w:val="00D328AD"/>
    <w:rsid w:val="00D33056"/>
    <w:rsid w:val="00D3376C"/>
    <w:rsid w:val="00D33D2C"/>
    <w:rsid w:val="00D33D49"/>
    <w:rsid w:val="00D3507D"/>
    <w:rsid w:val="00D358EE"/>
    <w:rsid w:val="00D35D56"/>
    <w:rsid w:val="00D3617D"/>
    <w:rsid w:val="00D36483"/>
    <w:rsid w:val="00D36AA2"/>
    <w:rsid w:val="00D36BF4"/>
    <w:rsid w:val="00D4038A"/>
    <w:rsid w:val="00D41354"/>
    <w:rsid w:val="00D41AFA"/>
    <w:rsid w:val="00D41FA9"/>
    <w:rsid w:val="00D42095"/>
    <w:rsid w:val="00D42531"/>
    <w:rsid w:val="00D42614"/>
    <w:rsid w:val="00D429FD"/>
    <w:rsid w:val="00D42A17"/>
    <w:rsid w:val="00D42AEC"/>
    <w:rsid w:val="00D42C6A"/>
    <w:rsid w:val="00D42DD2"/>
    <w:rsid w:val="00D43628"/>
    <w:rsid w:val="00D44068"/>
    <w:rsid w:val="00D453EB"/>
    <w:rsid w:val="00D454EC"/>
    <w:rsid w:val="00D458E9"/>
    <w:rsid w:val="00D468D8"/>
    <w:rsid w:val="00D46D2E"/>
    <w:rsid w:val="00D47DDE"/>
    <w:rsid w:val="00D47FEB"/>
    <w:rsid w:val="00D501CA"/>
    <w:rsid w:val="00D50561"/>
    <w:rsid w:val="00D50DD6"/>
    <w:rsid w:val="00D5112E"/>
    <w:rsid w:val="00D51949"/>
    <w:rsid w:val="00D5216F"/>
    <w:rsid w:val="00D52EFB"/>
    <w:rsid w:val="00D53199"/>
    <w:rsid w:val="00D53BC9"/>
    <w:rsid w:val="00D53F88"/>
    <w:rsid w:val="00D54287"/>
    <w:rsid w:val="00D54401"/>
    <w:rsid w:val="00D54789"/>
    <w:rsid w:val="00D54D9F"/>
    <w:rsid w:val="00D550C6"/>
    <w:rsid w:val="00D55126"/>
    <w:rsid w:val="00D55290"/>
    <w:rsid w:val="00D55402"/>
    <w:rsid w:val="00D56318"/>
    <w:rsid w:val="00D566EF"/>
    <w:rsid w:val="00D5776F"/>
    <w:rsid w:val="00D57AB3"/>
    <w:rsid w:val="00D57DE2"/>
    <w:rsid w:val="00D57FC1"/>
    <w:rsid w:val="00D601C3"/>
    <w:rsid w:val="00D6087B"/>
    <w:rsid w:val="00D61130"/>
    <w:rsid w:val="00D616EE"/>
    <w:rsid w:val="00D61818"/>
    <w:rsid w:val="00D61B0F"/>
    <w:rsid w:val="00D62627"/>
    <w:rsid w:val="00D62676"/>
    <w:rsid w:val="00D62D5F"/>
    <w:rsid w:val="00D64277"/>
    <w:rsid w:val="00D64CCD"/>
    <w:rsid w:val="00D64E00"/>
    <w:rsid w:val="00D6583D"/>
    <w:rsid w:val="00D66451"/>
    <w:rsid w:val="00D6662C"/>
    <w:rsid w:val="00D6664E"/>
    <w:rsid w:val="00D66B6D"/>
    <w:rsid w:val="00D66EE5"/>
    <w:rsid w:val="00D67040"/>
    <w:rsid w:val="00D673D6"/>
    <w:rsid w:val="00D67D5F"/>
    <w:rsid w:val="00D70575"/>
    <w:rsid w:val="00D711A6"/>
    <w:rsid w:val="00D71E2F"/>
    <w:rsid w:val="00D72411"/>
    <w:rsid w:val="00D73227"/>
    <w:rsid w:val="00D73798"/>
    <w:rsid w:val="00D73D78"/>
    <w:rsid w:val="00D7405D"/>
    <w:rsid w:val="00D74288"/>
    <w:rsid w:val="00D74372"/>
    <w:rsid w:val="00D7477B"/>
    <w:rsid w:val="00D74FFD"/>
    <w:rsid w:val="00D7519E"/>
    <w:rsid w:val="00D758A6"/>
    <w:rsid w:val="00D75CC6"/>
    <w:rsid w:val="00D76065"/>
    <w:rsid w:val="00D76729"/>
    <w:rsid w:val="00D76760"/>
    <w:rsid w:val="00D7754E"/>
    <w:rsid w:val="00D77A58"/>
    <w:rsid w:val="00D77B28"/>
    <w:rsid w:val="00D80498"/>
    <w:rsid w:val="00D80C5F"/>
    <w:rsid w:val="00D81DE6"/>
    <w:rsid w:val="00D81EF9"/>
    <w:rsid w:val="00D82C36"/>
    <w:rsid w:val="00D83863"/>
    <w:rsid w:val="00D8386C"/>
    <w:rsid w:val="00D838DD"/>
    <w:rsid w:val="00D83D4A"/>
    <w:rsid w:val="00D83EE4"/>
    <w:rsid w:val="00D83F11"/>
    <w:rsid w:val="00D851E8"/>
    <w:rsid w:val="00D85585"/>
    <w:rsid w:val="00D855EE"/>
    <w:rsid w:val="00D86A0C"/>
    <w:rsid w:val="00D86A8C"/>
    <w:rsid w:val="00D86C16"/>
    <w:rsid w:val="00D878B8"/>
    <w:rsid w:val="00D90027"/>
    <w:rsid w:val="00D902FD"/>
    <w:rsid w:val="00D90B89"/>
    <w:rsid w:val="00D90DE7"/>
    <w:rsid w:val="00D90F30"/>
    <w:rsid w:val="00D91050"/>
    <w:rsid w:val="00D91F86"/>
    <w:rsid w:val="00D92A19"/>
    <w:rsid w:val="00D92BE8"/>
    <w:rsid w:val="00D92E88"/>
    <w:rsid w:val="00D92EF5"/>
    <w:rsid w:val="00D93776"/>
    <w:rsid w:val="00D93F64"/>
    <w:rsid w:val="00D9485D"/>
    <w:rsid w:val="00D94A0C"/>
    <w:rsid w:val="00D9537F"/>
    <w:rsid w:val="00D954C7"/>
    <w:rsid w:val="00D95833"/>
    <w:rsid w:val="00D95BB8"/>
    <w:rsid w:val="00D95EF7"/>
    <w:rsid w:val="00D95FB9"/>
    <w:rsid w:val="00D9602F"/>
    <w:rsid w:val="00D97AF2"/>
    <w:rsid w:val="00D97DD9"/>
    <w:rsid w:val="00DA059A"/>
    <w:rsid w:val="00DA09B6"/>
    <w:rsid w:val="00DA0B30"/>
    <w:rsid w:val="00DA1048"/>
    <w:rsid w:val="00DA16C6"/>
    <w:rsid w:val="00DA17A8"/>
    <w:rsid w:val="00DA1D7C"/>
    <w:rsid w:val="00DA1D94"/>
    <w:rsid w:val="00DA2009"/>
    <w:rsid w:val="00DA20EF"/>
    <w:rsid w:val="00DA20F7"/>
    <w:rsid w:val="00DA2209"/>
    <w:rsid w:val="00DA2C2A"/>
    <w:rsid w:val="00DA2C54"/>
    <w:rsid w:val="00DA2D81"/>
    <w:rsid w:val="00DA301B"/>
    <w:rsid w:val="00DA3451"/>
    <w:rsid w:val="00DA358F"/>
    <w:rsid w:val="00DA3721"/>
    <w:rsid w:val="00DA3DE0"/>
    <w:rsid w:val="00DA445F"/>
    <w:rsid w:val="00DA4B60"/>
    <w:rsid w:val="00DA5115"/>
    <w:rsid w:val="00DA513A"/>
    <w:rsid w:val="00DA52F5"/>
    <w:rsid w:val="00DA5CFD"/>
    <w:rsid w:val="00DA6A2C"/>
    <w:rsid w:val="00DA6AC5"/>
    <w:rsid w:val="00DA6D29"/>
    <w:rsid w:val="00DA6DF6"/>
    <w:rsid w:val="00DA7008"/>
    <w:rsid w:val="00DA70D1"/>
    <w:rsid w:val="00DA7623"/>
    <w:rsid w:val="00DA7FB2"/>
    <w:rsid w:val="00DB00F3"/>
    <w:rsid w:val="00DB0755"/>
    <w:rsid w:val="00DB22A8"/>
    <w:rsid w:val="00DB3047"/>
    <w:rsid w:val="00DB3295"/>
    <w:rsid w:val="00DB337A"/>
    <w:rsid w:val="00DB34D5"/>
    <w:rsid w:val="00DB352A"/>
    <w:rsid w:val="00DB37D7"/>
    <w:rsid w:val="00DB40D4"/>
    <w:rsid w:val="00DB4B99"/>
    <w:rsid w:val="00DB4FFC"/>
    <w:rsid w:val="00DB5815"/>
    <w:rsid w:val="00DB5C51"/>
    <w:rsid w:val="00DB652A"/>
    <w:rsid w:val="00DB6748"/>
    <w:rsid w:val="00DB73F5"/>
    <w:rsid w:val="00DB7448"/>
    <w:rsid w:val="00DB7773"/>
    <w:rsid w:val="00DB77B5"/>
    <w:rsid w:val="00DB7C76"/>
    <w:rsid w:val="00DC07E0"/>
    <w:rsid w:val="00DC1A21"/>
    <w:rsid w:val="00DC1DBE"/>
    <w:rsid w:val="00DC205A"/>
    <w:rsid w:val="00DC235A"/>
    <w:rsid w:val="00DC23FE"/>
    <w:rsid w:val="00DC28F8"/>
    <w:rsid w:val="00DC2ADA"/>
    <w:rsid w:val="00DC2D0E"/>
    <w:rsid w:val="00DC30B4"/>
    <w:rsid w:val="00DC41C2"/>
    <w:rsid w:val="00DC43B1"/>
    <w:rsid w:val="00DC4414"/>
    <w:rsid w:val="00DC44A7"/>
    <w:rsid w:val="00DC4598"/>
    <w:rsid w:val="00DC48DD"/>
    <w:rsid w:val="00DC4E8F"/>
    <w:rsid w:val="00DC540F"/>
    <w:rsid w:val="00DC5F99"/>
    <w:rsid w:val="00DC60B0"/>
    <w:rsid w:val="00DC65AE"/>
    <w:rsid w:val="00DC65F8"/>
    <w:rsid w:val="00DC66E4"/>
    <w:rsid w:val="00DC6857"/>
    <w:rsid w:val="00DC6F1D"/>
    <w:rsid w:val="00DC794B"/>
    <w:rsid w:val="00DD01D1"/>
    <w:rsid w:val="00DD0925"/>
    <w:rsid w:val="00DD1A8B"/>
    <w:rsid w:val="00DD1B7C"/>
    <w:rsid w:val="00DD20B2"/>
    <w:rsid w:val="00DD39B5"/>
    <w:rsid w:val="00DD4118"/>
    <w:rsid w:val="00DD4A2C"/>
    <w:rsid w:val="00DD54B7"/>
    <w:rsid w:val="00DD5C50"/>
    <w:rsid w:val="00DD64AD"/>
    <w:rsid w:val="00DD677A"/>
    <w:rsid w:val="00DD6ABC"/>
    <w:rsid w:val="00DD6BF4"/>
    <w:rsid w:val="00DD72F3"/>
    <w:rsid w:val="00DD761D"/>
    <w:rsid w:val="00DD76F7"/>
    <w:rsid w:val="00DD77E3"/>
    <w:rsid w:val="00DD7A9B"/>
    <w:rsid w:val="00DD7D5A"/>
    <w:rsid w:val="00DE032B"/>
    <w:rsid w:val="00DE0B55"/>
    <w:rsid w:val="00DE0F26"/>
    <w:rsid w:val="00DE1950"/>
    <w:rsid w:val="00DE1F12"/>
    <w:rsid w:val="00DE21FF"/>
    <w:rsid w:val="00DE2326"/>
    <w:rsid w:val="00DE254F"/>
    <w:rsid w:val="00DE3004"/>
    <w:rsid w:val="00DE333A"/>
    <w:rsid w:val="00DE39B5"/>
    <w:rsid w:val="00DE4DCC"/>
    <w:rsid w:val="00DE4F09"/>
    <w:rsid w:val="00DE51CD"/>
    <w:rsid w:val="00DE5EAE"/>
    <w:rsid w:val="00DE670C"/>
    <w:rsid w:val="00DE68DC"/>
    <w:rsid w:val="00DE7B76"/>
    <w:rsid w:val="00DF00F2"/>
    <w:rsid w:val="00DF09C7"/>
    <w:rsid w:val="00DF09F6"/>
    <w:rsid w:val="00DF1806"/>
    <w:rsid w:val="00DF19A2"/>
    <w:rsid w:val="00DF19D7"/>
    <w:rsid w:val="00DF1F53"/>
    <w:rsid w:val="00DF2692"/>
    <w:rsid w:val="00DF28BC"/>
    <w:rsid w:val="00DF2997"/>
    <w:rsid w:val="00DF35D4"/>
    <w:rsid w:val="00DF38CC"/>
    <w:rsid w:val="00DF4DF7"/>
    <w:rsid w:val="00DF54C0"/>
    <w:rsid w:val="00DF613B"/>
    <w:rsid w:val="00DF6E78"/>
    <w:rsid w:val="00DF7968"/>
    <w:rsid w:val="00DF7AFE"/>
    <w:rsid w:val="00DF7B77"/>
    <w:rsid w:val="00E00953"/>
    <w:rsid w:val="00E01A7E"/>
    <w:rsid w:val="00E01D70"/>
    <w:rsid w:val="00E02B11"/>
    <w:rsid w:val="00E0315D"/>
    <w:rsid w:val="00E03401"/>
    <w:rsid w:val="00E03431"/>
    <w:rsid w:val="00E0373C"/>
    <w:rsid w:val="00E04371"/>
    <w:rsid w:val="00E043C6"/>
    <w:rsid w:val="00E0445E"/>
    <w:rsid w:val="00E046DE"/>
    <w:rsid w:val="00E0476E"/>
    <w:rsid w:val="00E049D9"/>
    <w:rsid w:val="00E04BDA"/>
    <w:rsid w:val="00E05597"/>
    <w:rsid w:val="00E05606"/>
    <w:rsid w:val="00E05830"/>
    <w:rsid w:val="00E05D13"/>
    <w:rsid w:val="00E05DC6"/>
    <w:rsid w:val="00E06383"/>
    <w:rsid w:val="00E06BB7"/>
    <w:rsid w:val="00E07162"/>
    <w:rsid w:val="00E0738C"/>
    <w:rsid w:val="00E076D4"/>
    <w:rsid w:val="00E07926"/>
    <w:rsid w:val="00E07DED"/>
    <w:rsid w:val="00E108DD"/>
    <w:rsid w:val="00E109C8"/>
    <w:rsid w:val="00E1117C"/>
    <w:rsid w:val="00E1134D"/>
    <w:rsid w:val="00E11885"/>
    <w:rsid w:val="00E11BC2"/>
    <w:rsid w:val="00E11CF3"/>
    <w:rsid w:val="00E12E66"/>
    <w:rsid w:val="00E12FBC"/>
    <w:rsid w:val="00E13C49"/>
    <w:rsid w:val="00E141B6"/>
    <w:rsid w:val="00E14480"/>
    <w:rsid w:val="00E148BA"/>
    <w:rsid w:val="00E15B2D"/>
    <w:rsid w:val="00E15BFB"/>
    <w:rsid w:val="00E16046"/>
    <w:rsid w:val="00E1668B"/>
    <w:rsid w:val="00E16975"/>
    <w:rsid w:val="00E16BC5"/>
    <w:rsid w:val="00E174FB"/>
    <w:rsid w:val="00E204FC"/>
    <w:rsid w:val="00E20AFE"/>
    <w:rsid w:val="00E20B21"/>
    <w:rsid w:val="00E21516"/>
    <w:rsid w:val="00E22951"/>
    <w:rsid w:val="00E23B0E"/>
    <w:rsid w:val="00E24139"/>
    <w:rsid w:val="00E24297"/>
    <w:rsid w:val="00E244DF"/>
    <w:rsid w:val="00E246A5"/>
    <w:rsid w:val="00E24A20"/>
    <w:rsid w:val="00E24B4A"/>
    <w:rsid w:val="00E24BC1"/>
    <w:rsid w:val="00E26389"/>
    <w:rsid w:val="00E26512"/>
    <w:rsid w:val="00E26767"/>
    <w:rsid w:val="00E2742F"/>
    <w:rsid w:val="00E2759E"/>
    <w:rsid w:val="00E27FAE"/>
    <w:rsid w:val="00E30064"/>
    <w:rsid w:val="00E30140"/>
    <w:rsid w:val="00E30234"/>
    <w:rsid w:val="00E3024E"/>
    <w:rsid w:val="00E3041A"/>
    <w:rsid w:val="00E3045C"/>
    <w:rsid w:val="00E3078D"/>
    <w:rsid w:val="00E31645"/>
    <w:rsid w:val="00E32162"/>
    <w:rsid w:val="00E321CF"/>
    <w:rsid w:val="00E33755"/>
    <w:rsid w:val="00E33E3C"/>
    <w:rsid w:val="00E3468E"/>
    <w:rsid w:val="00E348C2"/>
    <w:rsid w:val="00E35538"/>
    <w:rsid w:val="00E356B7"/>
    <w:rsid w:val="00E356EC"/>
    <w:rsid w:val="00E35893"/>
    <w:rsid w:val="00E35ABA"/>
    <w:rsid w:val="00E35D69"/>
    <w:rsid w:val="00E36457"/>
    <w:rsid w:val="00E369D5"/>
    <w:rsid w:val="00E37821"/>
    <w:rsid w:val="00E37A16"/>
    <w:rsid w:val="00E37DD0"/>
    <w:rsid w:val="00E406EB"/>
    <w:rsid w:val="00E40920"/>
    <w:rsid w:val="00E4095E"/>
    <w:rsid w:val="00E40E13"/>
    <w:rsid w:val="00E41CDF"/>
    <w:rsid w:val="00E41E5E"/>
    <w:rsid w:val="00E41F3A"/>
    <w:rsid w:val="00E4205C"/>
    <w:rsid w:val="00E4219A"/>
    <w:rsid w:val="00E422B7"/>
    <w:rsid w:val="00E426FC"/>
    <w:rsid w:val="00E42995"/>
    <w:rsid w:val="00E4299A"/>
    <w:rsid w:val="00E42D53"/>
    <w:rsid w:val="00E432FE"/>
    <w:rsid w:val="00E4340A"/>
    <w:rsid w:val="00E43CB5"/>
    <w:rsid w:val="00E43E43"/>
    <w:rsid w:val="00E43E83"/>
    <w:rsid w:val="00E44226"/>
    <w:rsid w:val="00E44C8F"/>
    <w:rsid w:val="00E452C1"/>
    <w:rsid w:val="00E453FE"/>
    <w:rsid w:val="00E4551A"/>
    <w:rsid w:val="00E4551C"/>
    <w:rsid w:val="00E45675"/>
    <w:rsid w:val="00E45747"/>
    <w:rsid w:val="00E4721F"/>
    <w:rsid w:val="00E47D34"/>
    <w:rsid w:val="00E501E1"/>
    <w:rsid w:val="00E50B0E"/>
    <w:rsid w:val="00E51FF4"/>
    <w:rsid w:val="00E528E7"/>
    <w:rsid w:val="00E528FE"/>
    <w:rsid w:val="00E5444A"/>
    <w:rsid w:val="00E54905"/>
    <w:rsid w:val="00E54A4D"/>
    <w:rsid w:val="00E54BC8"/>
    <w:rsid w:val="00E5509A"/>
    <w:rsid w:val="00E5572D"/>
    <w:rsid w:val="00E55C29"/>
    <w:rsid w:val="00E55DC1"/>
    <w:rsid w:val="00E560E1"/>
    <w:rsid w:val="00E56336"/>
    <w:rsid w:val="00E56641"/>
    <w:rsid w:val="00E574A8"/>
    <w:rsid w:val="00E579E8"/>
    <w:rsid w:val="00E579F5"/>
    <w:rsid w:val="00E57F31"/>
    <w:rsid w:val="00E60644"/>
    <w:rsid w:val="00E613EF"/>
    <w:rsid w:val="00E61619"/>
    <w:rsid w:val="00E6165C"/>
    <w:rsid w:val="00E61C84"/>
    <w:rsid w:val="00E62079"/>
    <w:rsid w:val="00E62127"/>
    <w:rsid w:val="00E62220"/>
    <w:rsid w:val="00E622E6"/>
    <w:rsid w:val="00E625E4"/>
    <w:rsid w:val="00E62724"/>
    <w:rsid w:val="00E62C14"/>
    <w:rsid w:val="00E62DBC"/>
    <w:rsid w:val="00E630F5"/>
    <w:rsid w:val="00E63626"/>
    <w:rsid w:val="00E638DF"/>
    <w:rsid w:val="00E63B17"/>
    <w:rsid w:val="00E63CC5"/>
    <w:rsid w:val="00E6452D"/>
    <w:rsid w:val="00E64643"/>
    <w:rsid w:val="00E649CC"/>
    <w:rsid w:val="00E64CE9"/>
    <w:rsid w:val="00E65CE5"/>
    <w:rsid w:val="00E66B1E"/>
    <w:rsid w:val="00E6780E"/>
    <w:rsid w:val="00E67943"/>
    <w:rsid w:val="00E67E23"/>
    <w:rsid w:val="00E67F53"/>
    <w:rsid w:val="00E70894"/>
    <w:rsid w:val="00E70A4F"/>
    <w:rsid w:val="00E70A6A"/>
    <w:rsid w:val="00E7182D"/>
    <w:rsid w:val="00E718AD"/>
    <w:rsid w:val="00E71A61"/>
    <w:rsid w:val="00E71E90"/>
    <w:rsid w:val="00E72285"/>
    <w:rsid w:val="00E7251F"/>
    <w:rsid w:val="00E7288E"/>
    <w:rsid w:val="00E72E9D"/>
    <w:rsid w:val="00E7366C"/>
    <w:rsid w:val="00E737AE"/>
    <w:rsid w:val="00E73BFB"/>
    <w:rsid w:val="00E741E5"/>
    <w:rsid w:val="00E74373"/>
    <w:rsid w:val="00E74BC1"/>
    <w:rsid w:val="00E74CC3"/>
    <w:rsid w:val="00E74CFD"/>
    <w:rsid w:val="00E74FE9"/>
    <w:rsid w:val="00E75388"/>
    <w:rsid w:val="00E7562B"/>
    <w:rsid w:val="00E76CE3"/>
    <w:rsid w:val="00E77AB0"/>
    <w:rsid w:val="00E77C67"/>
    <w:rsid w:val="00E801D7"/>
    <w:rsid w:val="00E80463"/>
    <w:rsid w:val="00E8067D"/>
    <w:rsid w:val="00E807F8"/>
    <w:rsid w:val="00E809D9"/>
    <w:rsid w:val="00E811C5"/>
    <w:rsid w:val="00E8182D"/>
    <w:rsid w:val="00E8217C"/>
    <w:rsid w:val="00E8233C"/>
    <w:rsid w:val="00E833F3"/>
    <w:rsid w:val="00E846A3"/>
    <w:rsid w:val="00E85770"/>
    <w:rsid w:val="00E861E8"/>
    <w:rsid w:val="00E8633E"/>
    <w:rsid w:val="00E8652D"/>
    <w:rsid w:val="00E86A47"/>
    <w:rsid w:val="00E86C9D"/>
    <w:rsid w:val="00E87B99"/>
    <w:rsid w:val="00E90259"/>
    <w:rsid w:val="00E90DDD"/>
    <w:rsid w:val="00E91099"/>
    <w:rsid w:val="00E913FC"/>
    <w:rsid w:val="00E91BA9"/>
    <w:rsid w:val="00E91DDC"/>
    <w:rsid w:val="00E91F6D"/>
    <w:rsid w:val="00E91F6E"/>
    <w:rsid w:val="00E91F72"/>
    <w:rsid w:val="00E92203"/>
    <w:rsid w:val="00E92543"/>
    <w:rsid w:val="00E927C8"/>
    <w:rsid w:val="00E934E2"/>
    <w:rsid w:val="00E93557"/>
    <w:rsid w:val="00E93B8B"/>
    <w:rsid w:val="00E93E96"/>
    <w:rsid w:val="00E94161"/>
    <w:rsid w:val="00E94696"/>
    <w:rsid w:val="00E95F10"/>
    <w:rsid w:val="00E96297"/>
    <w:rsid w:val="00E96398"/>
    <w:rsid w:val="00E96DD3"/>
    <w:rsid w:val="00E972FC"/>
    <w:rsid w:val="00E973DA"/>
    <w:rsid w:val="00E97CAF"/>
    <w:rsid w:val="00E97DB4"/>
    <w:rsid w:val="00EA09C2"/>
    <w:rsid w:val="00EA0AEC"/>
    <w:rsid w:val="00EA0CDE"/>
    <w:rsid w:val="00EA1124"/>
    <w:rsid w:val="00EA12A6"/>
    <w:rsid w:val="00EA17F3"/>
    <w:rsid w:val="00EA2446"/>
    <w:rsid w:val="00EA24D8"/>
    <w:rsid w:val="00EA255C"/>
    <w:rsid w:val="00EA266B"/>
    <w:rsid w:val="00EA2C12"/>
    <w:rsid w:val="00EA2D26"/>
    <w:rsid w:val="00EA38BF"/>
    <w:rsid w:val="00EA3A83"/>
    <w:rsid w:val="00EA3E98"/>
    <w:rsid w:val="00EA3F74"/>
    <w:rsid w:val="00EA4515"/>
    <w:rsid w:val="00EA47BF"/>
    <w:rsid w:val="00EA4C5F"/>
    <w:rsid w:val="00EA4F20"/>
    <w:rsid w:val="00EA54AA"/>
    <w:rsid w:val="00EA583B"/>
    <w:rsid w:val="00EA5BF5"/>
    <w:rsid w:val="00EA611D"/>
    <w:rsid w:val="00EA6BA8"/>
    <w:rsid w:val="00EA6BAA"/>
    <w:rsid w:val="00EA71B9"/>
    <w:rsid w:val="00EA72BD"/>
    <w:rsid w:val="00EA7495"/>
    <w:rsid w:val="00EB0384"/>
    <w:rsid w:val="00EB05A5"/>
    <w:rsid w:val="00EB1231"/>
    <w:rsid w:val="00EB18F3"/>
    <w:rsid w:val="00EB2F20"/>
    <w:rsid w:val="00EB3B36"/>
    <w:rsid w:val="00EB485B"/>
    <w:rsid w:val="00EB51F9"/>
    <w:rsid w:val="00EB53AD"/>
    <w:rsid w:val="00EB573B"/>
    <w:rsid w:val="00EB58AD"/>
    <w:rsid w:val="00EB62B0"/>
    <w:rsid w:val="00EB649A"/>
    <w:rsid w:val="00EB6D07"/>
    <w:rsid w:val="00EB7146"/>
    <w:rsid w:val="00EB7308"/>
    <w:rsid w:val="00EB789B"/>
    <w:rsid w:val="00EB7A28"/>
    <w:rsid w:val="00EB7DFC"/>
    <w:rsid w:val="00EC0055"/>
    <w:rsid w:val="00EC069F"/>
    <w:rsid w:val="00EC07B7"/>
    <w:rsid w:val="00EC07BA"/>
    <w:rsid w:val="00EC1222"/>
    <w:rsid w:val="00EC165F"/>
    <w:rsid w:val="00EC1D13"/>
    <w:rsid w:val="00EC2258"/>
    <w:rsid w:val="00EC2BE2"/>
    <w:rsid w:val="00EC2DBA"/>
    <w:rsid w:val="00EC3EC9"/>
    <w:rsid w:val="00EC479C"/>
    <w:rsid w:val="00EC495E"/>
    <w:rsid w:val="00EC5F21"/>
    <w:rsid w:val="00EC6EF6"/>
    <w:rsid w:val="00EC723D"/>
    <w:rsid w:val="00ED009B"/>
    <w:rsid w:val="00ED0175"/>
    <w:rsid w:val="00ED0261"/>
    <w:rsid w:val="00ED04ED"/>
    <w:rsid w:val="00ED11C7"/>
    <w:rsid w:val="00ED16C7"/>
    <w:rsid w:val="00ED236E"/>
    <w:rsid w:val="00ED30FA"/>
    <w:rsid w:val="00ED3AB4"/>
    <w:rsid w:val="00ED3E17"/>
    <w:rsid w:val="00ED3F41"/>
    <w:rsid w:val="00ED452A"/>
    <w:rsid w:val="00ED4BDC"/>
    <w:rsid w:val="00ED51E4"/>
    <w:rsid w:val="00ED5F1A"/>
    <w:rsid w:val="00ED66EB"/>
    <w:rsid w:val="00ED671E"/>
    <w:rsid w:val="00ED7AE0"/>
    <w:rsid w:val="00EE03FB"/>
    <w:rsid w:val="00EE05EC"/>
    <w:rsid w:val="00EE0699"/>
    <w:rsid w:val="00EE1417"/>
    <w:rsid w:val="00EE1DC2"/>
    <w:rsid w:val="00EE1F71"/>
    <w:rsid w:val="00EE20BE"/>
    <w:rsid w:val="00EE2A5C"/>
    <w:rsid w:val="00EE2DEA"/>
    <w:rsid w:val="00EE35B6"/>
    <w:rsid w:val="00EE369C"/>
    <w:rsid w:val="00EE3A7A"/>
    <w:rsid w:val="00EE50B8"/>
    <w:rsid w:val="00EE51BE"/>
    <w:rsid w:val="00EE59EF"/>
    <w:rsid w:val="00EE5BE2"/>
    <w:rsid w:val="00EE6195"/>
    <w:rsid w:val="00EE6639"/>
    <w:rsid w:val="00EE67BC"/>
    <w:rsid w:val="00EE6827"/>
    <w:rsid w:val="00EE6939"/>
    <w:rsid w:val="00EE6A73"/>
    <w:rsid w:val="00EE6E3D"/>
    <w:rsid w:val="00EE725B"/>
    <w:rsid w:val="00EE795A"/>
    <w:rsid w:val="00EF0803"/>
    <w:rsid w:val="00EF119F"/>
    <w:rsid w:val="00EF181B"/>
    <w:rsid w:val="00EF3115"/>
    <w:rsid w:val="00EF312D"/>
    <w:rsid w:val="00EF317B"/>
    <w:rsid w:val="00EF321B"/>
    <w:rsid w:val="00EF3733"/>
    <w:rsid w:val="00EF383D"/>
    <w:rsid w:val="00EF39E1"/>
    <w:rsid w:val="00EF3EEC"/>
    <w:rsid w:val="00EF4325"/>
    <w:rsid w:val="00EF44D8"/>
    <w:rsid w:val="00EF454C"/>
    <w:rsid w:val="00EF56BF"/>
    <w:rsid w:val="00EF5B6E"/>
    <w:rsid w:val="00EF5E60"/>
    <w:rsid w:val="00EF63A7"/>
    <w:rsid w:val="00EF7513"/>
    <w:rsid w:val="00EF7662"/>
    <w:rsid w:val="00EF7A66"/>
    <w:rsid w:val="00F00075"/>
    <w:rsid w:val="00F00167"/>
    <w:rsid w:val="00F007BA"/>
    <w:rsid w:val="00F00D6B"/>
    <w:rsid w:val="00F0186B"/>
    <w:rsid w:val="00F0232A"/>
    <w:rsid w:val="00F02397"/>
    <w:rsid w:val="00F02612"/>
    <w:rsid w:val="00F02660"/>
    <w:rsid w:val="00F029F4"/>
    <w:rsid w:val="00F03164"/>
    <w:rsid w:val="00F03C79"/>
    <w:rsid w:val="00F03CAD"/>
    <w:rsid w:val="00F04161"/>
    <w:rsid w:val="00F04971"/>
    <w:rsid w:val="00F04EF4"/>
    <w:rsid w:val="00F05364"/>
    <w:rsid w:val="00F05CE5"/>
    <w:rsid w:val="00F05F8A"/>
    <w:rsid w:val="00F06B68"/>
    <w:rsid w:val="00F07ADD"/>
    <w:rsid w:val="00F07FE9"/>
    <w:rsid w:val="00F10B03"/>
    <w:rsid w:val="00F1144E"/>
    <w:rsid w:val="00F116B5"/>
    <w:rsid w:val="00F126F5"/>
    <w:rsid w:val="00F128C2"/>
    <w:rsid w:val="00F12D2D"/>
    <w:rsid w:val="00F13291"/>
    <w:rsid w:val="00F136A9"/>
    <w:rsid w:val="00F1371D"/>
    <w:rsid w:val="00F13D2B"/>
    <w:rsid w:val="00F13DB1"/>
    <w:rsid w:val="00F13E70"/>
    <w:rsid w:val="00F14A93"/>
    <w:rsid w:val="00F1532F"/>
    <w:rsid w:val="00F156BF"/>
    <w:rsid w:val="00F15C5F"/>
    <w:rsid w:val="00F164AC"/>
    <w:rsid w:val="00F16836"/>
    <w:rsid w:val="00F17586"/>
    <w:rsid w:val="00F176D9"/>
    <w:rsid w:val="00F209EF"/>
    <w:rsid w:val="00F21081"/>
    <w:rsid w:val="00F2154A"/>
    <w:rsid w:val="00F22413"/>
    <w:rsid w:val="00F22CDD"/>
    <w:rsid w:val="00F23C70"/>
    <w:rsid w:val="00F23D71"/>
    <w:rsid w:val="00F2442C"/>
    <w:rsid w:val="00F24702"/>
    <w:rsid w:val="00F247E8"/>
    <w:rsid w:val="00F248F7"/>
    <w:rsid w:val="00F25220"/>
    <w:rsid w:val="00F25378"/>
    <w:rsid w:val="00F25665"/>
    <w:rsid w:val="00F256EA"/>
    <w:rsid w:val="00F259CC"/>
    <w:rsid w:val="00F265BC"/>
    <w:rsid w:val="00F26A27"/>
    <w:rsid w:val="00F26D95"/>
    <w:rsid w:val="00F26DAB"/>
    <w:rsid w:val="00F2759F"/>
    <w:rsid w:val="00F27741"/>
    <w:rsid w:val="00F30B70"/>
    <w:rsid w:val="00F31564"/>
    <w:rsid w:val="00F316C4"/>
    <w:rsid w:val="00F318AE"/>
    <w:rsid w:val="00F31CB5"/>
    <w:rsid w:val="00F3265D"/>
    <w:rsid w:val="00F32B4A"/>
    <w:rsid w:val="00F32FDD"/>
    <w:rsid w:val="00F3356F"/>
    <w:rsid w:val="00F339EE"/>
    <w:rsid w:val="00F341A8"/>
    <w:rsid w:val="00F34575"/>
    <w:rsid w:val="00F34BE2"/>
    <w:rsid w:val="00F34EC1"/>
    <w:rsid w:val="00F3531E"/>
    <w:rsid w:val="00F35498"/>
    <w:rsid w:val="00F3595E"/>
    <w:rsid w:val="00F35D57"/>
    <w:rsid w:val="00F3613F"/>
    <w:rsid w:val="00F36634"/>
    <w:rsid w:val="00F3664A"/>
    <w:rsid w:val="00F3719A"/>
    <w:rsid w:val="00F3754E"/>
    <w:rsid w:val="00F3781E"/>
    <w:rsid w:val="00F400C7"/>
    <w:rsid w:val="00F40732"/>
    <w:rsid w:val="00F407EC"/>
    <w:rsid w:val="00F41505"/>
    <w:rsid w:val="00F4236A"/>
    <w:rsid w:val="00F432E8"/>
    <w:rsid w:val="00F43B7B"/>
    <w:rsid w:val="00F43C1B"/>
    <w:rsid w:val="00F43C3B"/>
    <w:rsid w:val="00F44E8C"/>
    <w:rsid w:val="00F451CE"/>
    <w:rsid w:val="00F452F6"/>
    <w:rsid w:val="00F457F4"/>
    <w:rsid w:val="00F4586B"/>
    <w:rsid w:val="00F45A8A"/>
    <w:rsid w:val="00F460AC"/>
    <w:rsid w:val="00F46189"/>
    <w:rsid w:val="00F461F0"/>
    <w:rsid w:val="00F46BC8"/>
    <w:rsid w:val="00F46E80"/>
    <w:rsid w:val="00F47863"/>
    <w:rsid w:val="00F517C3"/>
    <w:rsid w:val="00F5202A"/>
    <w:rsid w:val="00F528A5"/>
    <w:rsid w:val="00F53089"/>
    <w:rsid w:val="00F53C5E"/>
    <w:rsid w:val="00F54798"/>
    <w:rsid w:val="00F54E68"/>
    <w:rsid w:val="00F5516F"/>
    <w:rsid w:val="00F553EF"/>
    <w:rsid w:val="00F5586D"/>
    <w:rsid w:val="00F55878"/>
    <w:rsid w:val="00F55988"/>
    <w:rsid w:val="00F55E28"/>
    <w:rsid w:val="00F5601E"/>
    <w:rsid w:val="00F560EE"/>
    <w:rsid w:val="00F5619C"/>
    <w:rsid w:val="00F56770"/>
    <w:rsid w:val="00F56CED"/>
    <w:rsid w:val="00F573C2"/>
    <w:rsid w:val="00F5773A"/>
    <w:rsid w:val="00F57FC8"/>
    <w:rsid w:val="00F60344"/>
    <w:rsid w:val="00F608CF"/>
    <w:rsid w:val="00F616A6"/>
    <w:rsid w:val="00F6262A"/>
    <w:rsid w:val="00F62A37"/>
    <w:rsid w:val="00F63738"/>
    <w:rsid w:val="00F639A4"/>
    <w:rsid w:val="00F63E0A"/>
    <w:rsid w:val="00F63E41"/>
    <w:rsid w:val="00F64DDC"/>
    <w:rsid w:val="00F652E7"/>
    <w:rsid w:val="00F65598"/>
    <w:rsid w:val="00F65C59"/>
    <w:rsid w:val="00F65D5B"/>
    <w:rsid w:val="00F66A29"/>
    <w:rsid w:val="00F67956"/>
    <w:rsid w:val="00F67CD9"/>
    <w:rsid w:val="00F708B4"/>
    <w:rsid w:val="00F70DF1"/>
    <w:rsid w:val="00F710F0"/>
    <w:rsid w:val="00F71849"/>
    <w:rsid w:val="00F71982"/>
    <w:rsid w:val="00F71E22"/>
    <w:rsid w:val="00F72232"/>
    <w:rsid w:val="00F72678"/>
    <w:rsid w:val="00F72AE7"/>
    <w:rsid w:val="00F73130"/>
    <w:rsid w:val="00F73174"/>
    <w:rsid w:val="00F734E5"/>
    <w:rsid w:val="00F73CED"/>
    <w:rsid w:val="00F74559"/>
    <w:rsid w:val="00F75670"/>
    <w:rsid w:val="00F75F2B"/>
    <w:rsid w:val="00F763C9"/>
    <w:rsid w:val="00F769DE"/>
    <w:rsid w:val="00F76B49"/>
    <w:rsid w:val="00F771CA"/>
    <w:rsid w:val="00F77D5D"/>
    <w:rsid w:val="00F804E7"/>
    <w:rsid w:val="00F80513"/>
    <w:rsid w:val="00F8071C"/>
    <w:rsid w:val="00F80E7B"/>
    <w:rsid w:val="00F80F6B"/>
    <w:rsid w:val="00F812ED"/>
    <w:rsid w:val="00F81524"/>
    <w:rsid w:val="00F817E2"/>
    <w:rsid w:val="00F81B98"/>
    <w:rsid w:val="00F82AA4"/>
    <w:rsid w:val="00F82F06"/>
    <w:rsid w:val="00F82F4D"/>
    <w:rsid w:val="00F8364B"/>
    <w:rsid w:val="00F83D8A"/>
    <w:rsid w:val="00F853E3"/>
    <w:rsid w:val="00F857D1"/>
    <w:rsid w:val="00F858D2"/>
    <w:rsid w:val="00F85A79"/>
    <w:rsid w:val="00F85B1A"/>
    <w:rsid w:val="00F863CF"/>
    <w:rsid w:val="00F86B46"/>
    <w:rsid w:val="00F87367"/>
    <w:rsid w:val="00F87DF9"/>
    <w:rsid w:val="00F90559"/>
    <w:rsid w:val="00F913AE"/>
    <w:rsid w:val="00F91ADA"/>
    <w:rsid w:val="00F92350"/>
    <w:rsid w:val="00F928F4"/>
    <w:rsid w:val="00F937E4"/>
    <w:rsid w:val="00F9383C"/>
    <w:rsid w:val="00F93ADD"/>
    <w:rsid w:val="00F93B21"/>
    <w:rsid w:val="00F93E00"/>
    <w:rsid w:val="00F93EFD"/>
    <w:rsid w:val="00F943E7"/>
    <w:rsid w:val="00F944AB"/>
    <w:rsid w:val="00F94A9C"/>
    <w:rsid w:val="00F94C62"/>
    <w:rsid w:val="00F95A80"/>
    <w:rsid w:val="00F95F9E"/>
    <w:rsid w:val="00F961E5"/>
    <w:rsid w:val="00F97326"/>
    <w:rsid w:val="00F97685"/>
    <w:rsid w:val="00F97B6C"/>
    <w:rsid w:val="00F97C64"/>
    <w:rsid w:val="00F97C7D"/>
    <w:rsid w:val="00FA07E6"/>
    <w:rsid w:val="00FA0D40"/>
    <w:rsid w:val="00FA13DF"/>
    <w:rsid w:val="00FA1487"/>
    <w:rsid w:val="00FA187B"/>
    <w:rsid w:val="00FA1B29"/>
    <w:rsid w:val="00FA292B"/>
    <w:rsid w:val="00FA2B3B"/>
    <w:rsid w:val="00FA32D8"/>
    <w:rsid w:val="00FA4F2B"/>
    <w:rsid w:val="00FA5910"/>
    <w:rsid w:val="00FA5B53"/>
    <w:rsid w:val="00FA61BD"/>
    <w:rsid w:val="00FA6A12"/>
    <w:rsid w:val="00FA6A41"/>
    <w:rsid w:val="00FA6C79"/>
    <w:rsid w:val="00FA6F6C"/>
    <w:rsid w:val="00FA73FB"/>
    <w:rsid w:val="00FB0336"/>
    <w:rsid w:val="00FB0586"/>
    <w:rsid w:val="00FB077A"/>
    <w:rsid w:val="00FB1150"/>
    <w:rsid w:val="00FB2A10"/>
    <w:rsid w:val="00FB38FB"/>
    <w:rsid w:val="00FB3BB3"/>
    <w:rsid w:val="00FB3F17"/>
    <w:rsid w:val="00FB4291"/>
    <w:rsid w:val="00FB455D"/>
    <w:rsid w:val="00FB47CA"/>
    <w:rsid w:val="00FB513C"/>
    <w:rsid w:val="00FB537B"/>
    <w:rsid w:val="00FB5C55"/>
    <w:rsid w:val="00FB653F"/>
    <w:rsid w:val="00FB6656"/>
    <w:rsid w:val="00FB695B"/>
    <w:rsid w:val="00FB719B"/>
    <w:rsid w:val="00FB73EE"/>
    <w:rsid w:val="00FB796E"/>
    <w:rsid w:val="00FB7F54"/>
    <w:rsid w:val="00FC083E"/>
    <w:rsid w:val="00FC0A75"/>
    <w:rsid w:val="00FC10E3"/>
    <w:rsid w:val="00FC12B2"/>
    <w:rsid w:val="00FC1C09"/>
    <w:rsid w:val="00FC2195"/>
    <w:rsid w:val="00FC24E7"/>
    <w:rsid w:val="00FC2995"/>
    <w:rsid w:val="00FC3B76"/>
    <w:rsid w:val="00FC514F"/>
    <w:rsid w:val="00FC52BD"/>
    <w:rsid w:val="00FC538B"/>
    <w:rsid w:val="00FC57DF"/>
    <w:rsid w:val="00FC5EB1"/>
    <w:rsid w:val="00FC5EB4"/>
    <w:rsid w:val="00FC6018"/>
    <w:rsid w:val="00FC61F2"/>
    <w:rsid w:val="00FC6F02"/>
    <w:rsid w:val="00FC6F15"/>
    <w:rsid w:val="00FC70E9"/>
    <w:rsid w:val="00FC7D4E"/>
    <w:rsid w:val="00FC7E94"/>
    <w:rsid w:val="00FD0667"/>
    <w:rsid w:val="00FD0714"/>
    <w:rsid w:val="00FD08EC"/>
    <w:rsid w:val="00FD0FB0"/>
    <w:rsid w:val="00FD139E"/>
    <w:rsid w:val="00FD13CA"/>
    <w:rsid w:val="00FD15AA"/>
    <w:rsid w:val="00FD179F"/>
    <w:rsid w:val="00FD1B15"/>
    <w:rsid w:val="00FD1CCF"/>
    <w:rsid w:val="00FD21B9"/>
    <w:rsid w:val="00FD238F"/>
    <w:rsid w:val="00FD295E"/>
    <w:rsid w:val="00FD2A20"/>
    <w:rsid w:val="00FD2CC6"/>
    <w:rsid w:val="00FD30BB"/>
    <w:rsid w:val="00FD4528"/>
    <w:rsid w:val="00FD4761"/>
    <w:rsid w:val="00FD4AF4"/>
    <w:rsid w:val="00FD5804"/>
    <w:rsid w:val="00FD5C75"/>
    <w:rsid w:val="00FD74A7"/>
    <w:rsid w:val="00FD7BEA"/>
    <w:rsid w:val="00FE0665"/>
    <w:rsid w:val="00FE0BA7"/>
    <w:rsid w:val="00FE0D5B"/>
    <w:rsid w:val="00FE0E17"/>
    <w:rsid w:val="00FE1024"/>
    <w:rsid w:val="00FE151F"/>
    <w:rsid w:val="00FE195B"/>
    <w:rsid w:val="00FE1C73"/>
    <w:rsid w:val="00FE1C93"/>
    <w:rsid w:val="00FE1CFA"/>
    <w:rsid w:val="00FE2029"/>
    <w:rsid w:val="00FE216A"/>
    <w:rsid w:val="00FE315C"/>
    <w:rsid w:val="00FE533D"/>
    <w:rsid w:val="00FE575F"/>
    <w:rsid w:val="00FE59EF"/>
    <w:rsid w:val="00FE5ACC"/>
    <w:rsid w:val="00FE5D38"/>
    <w:rsid w:val="00FE654E"/>
    <w:rsid w:val="00FE679C"/>
    <w:rsid w:val="00FE6FF2"/>
    <w:rsid w:val="00FE7424"/>
    <w:rsid w:val="00FE7C12"/>
    <w:rsid w:val="00FE7F0D"/>
    <w:rsid w:val="00FF009F"/>
    <w:rsid w:val="00FF05D1"/>
    <w:rsid w:val="00FF0CB8"/>
    <w:rsid w:val="00FF0D78"/>
    <w:rsid w:val="00FF3213"/>
    <w:rsid w:val="00FF39AA"/>
    <w:rsid w:val="00FF3B99"/>
    <w:rsid w:val="00FF3CE4"/>
    <w:rsid w:val="00FF3E15"/>
    <w:rsid w:val="00FF4238"/>
    <w:rsid w:val="00FF42C6"/>
    <w:rsid w:val="00FF4BA2"/>
    <w:rsid w:val="00FF4C2C"/>
    <w:rsid w:val="00FF50EE"/>
    <w:rsid w:val="00FF5308"/>
    <w:rsid w:val="00FF5479"/>
    <w:rsid w:val="00FF6625"/>
    <w:rsid w:val="00FF6745"/>
    <w:rsid w:val="00FF6881"/>
    <w:rsid w:val="00FF69AB"/>
    <w:rsid w:val="00FF6BC8"/>
    <w:rsid w:val="00FF7584"/>
    <w:rsid w:val="00FF7AF4"/>
    <w:rsid w:val="00FF7E04"/>
    <w:rsid w:val="011C6B0E"/>
    <w:rsid w:val="01A40E22"/>
    <w:rsid w:val="01A9598E"/>
    <w:rsid w:val="022C77F8"/>
    <w:rsid w:val="02D8157C"/>
    <w:rsid w:val="03286D96"/>
    <w:rsid w:val="0477256C"/>
    <w:rsid w:val="04E04F20"/>
    <w:rsid w:val="05B03A46"/>
    <w:rsid w:val="061F7CEA"/>
    <w:rsid w:val="064E5E10"/>
    <w:rsid w:val="0692036C"/>
    <w:rsid w:val="06DC660B"/>
    <w:rsid w:val="07647E6E"/>
    <w:rsid w:val="079361CA"/>
    <w:rsid w:val="08215BFF"/>
    <w:rsid w:val="08253810"/>
    <w:rsid w:val="089A38E4"/>
    <w:rsid w:val="08BE6B96"/>
    <w:rsid w:val="08DC38C2"/>
    <w:rsid w:val="08DE51F4"/>
    <w:rsid w:val="091A637C"/>
    <w:rsid w:val="092E1C3F"/>
    <w:rsid w:val="093C2097"/>
    <w:rsid w:val="0956390A"/>
    <w:rsid w:val="09F40B64"/>
    <w:rsid w:val="09FC5007"/>
    <w:rsid w:val="0A260AC0"/>
    <w:rsid w:val="0A5F292E"/>
    <w:rsid w:val="0A922F90"/>
    <w:rsid w:val="0B534C85"/>
    <w:rsid w:val="0B820F5C"/>
    <w:rsid w:val="0C0D2585"/>
    <w:rsid w:val="0C1D4103"/>
    <w:rsid w:val="0C3534C7"/>
    <w:rsid w:val="0C3553F2"/>
    <w:rsid w:val="0C8D22B0"/>
    <w:rsid w:val="0CAA093A"/>
    <w:rsid w:val="0CC9463A"/>
    <w:rsid w:val="0CEA4CAF"/>
    <w:rsid w:val="0D796DF3"/>
    <w:rsid w:val="0DBB66F1"/>
    <w:rsid w:val="0E8E7263"/>
    <w:rsid w:val="0EFA2536"/>
    <w:rsid w:val="0F5D215C"/>
    <w:rsid w:val="104D3A6F"/>
    <w:rsid w:val="10541616"/>
    <w:rsid w:val="106B5F61"/>
    <w:rsid w:val="10CE0F15"/>
    <w:rsid w:val="10E575D1"/>
    <w:rsid w:val="10E81957"/>
    <w:rsid w:val="10F0504D"/>
    <w:rsid w:val="110622E0"/>
    <w:rsid w:val="11625EAB"/>
    <w:rsid w:val="124137FC"/>
    <w:rsid w:val="1270040A"/>
    <w:rsid w:val="12B66C73"/>
    <w:rsid w:val="13636038"/>
    <w:rsid w:val="1406267B"/>
    <w:rsid w:val="142868DD"/>
    <w:rsid w:val="14607D19"/>
    <w:rsid w:val="155E3A2E"/>
    <w:rsid w:val="15B52AC9"/>
    <w:rsid w:val="15C33CE6"/>
    <w:rsid w:val="169C493A"/>
    <w:rsid w:val="17B2199F"/>
    <w:rsid w:val="180E2A67"/>
    <w:rsid w:val="185B723A"/>
    <w:rsid w:val="188C2BBF"/>
    <w:rsid w:val="18BD427B"/>
    <w:rsid w:val="195D6BF2"/>
    <w:rsid w:val="19D331B8"/>
    <w:rsid w:val="19F766FD"/>
    <w:rsid w:val="19FF512A"/>
    <w:rsid w:val="1A1F6B4C"/>
    <w:rsid w:val="1A360538"/>
    <w:rsid w:val="1AAA1239"/>
    <w:rsid w:val="1AC174C8"/>
    <w:rsid w:val="1B4C2ADD"/>
    <w:rsid w:val="1B9865B0"/>
    <w:rsid w:val="1B9E1A1F"/>
    <w:rsid w:val="1BE57308"/>
    <w:rsid w:val="1C2223D5"/>
    <w:rsid w:val="1C483825"/>
    <w:rsid w:val="1C7A3928"/>
    <w:rsid w:val="1DCD3795"/>
    <w:rsid w:val="1E5E7670"/>
    <w:rsid w:val="1E9A222C"/>
    <w:rsid w:val="1ED432EC"/>
    <w:rsid w:val="1EF20459"/>
    <w:rsid w:val="2020032B"/>
    <w:rsid w:val="20530186"/>
    <w:rsid w:val="20887593"/>
    <w:rsid w:val="2176797D"/>
    <w:rsid w:val="22826741"/>
    <w:rsid w:val="22BE4709"/>
    <w:rsid w:val="23316A3F"/>
    <w:rsid w:val="23323DFF"/>
    <w:rsid w:val="2349016A"/>
    <w:rsid w:val="23D76263"/>
    <w:rsid w:val="24883349"/>
    <w:rsid w:val="24D846E2"/>
    <w:rsid w:val="25155C90"/>
    <w:rsid w:val="253061FE"/>
    <w:rsid w:val="257E71B4"/>
    <w:rsid w:val="2593181B"/>
    <w:rsid w:val="25A73AB6"/>
    <w:rsid w:val="262D70E7"/>
    <w:rsid w:val="2682080F"/>
    <w:rsid w:val="273B61E7"/>
    <w:rsid w:val="278E64C9"/>
    <w:rsid w:val="28102C65"/>
    <w:rsid w:val="2822595D"/>
    <w:rsid w:val="28782B59"/>
    <w:rsid w:val="289C3B0A"/>
    <w:rsid w:val="2917084C"/>
    <w:rsid w:val="29DC1260"/>
    <w:rsid w:val="2A0972E0"/>
    <w:rsid w:val="2A820364"/>
    <w:rsid w:val="2B3401BB"/>
    <w:rsid w:val="2BA91B0E"/>
    <w:rsid w:val="2BC62BD5"/>
    <w:rsid w:val="2C6B3A26"/>
    <w:rsid w:val="2C9D7825"/>
    <w:rsid w:val="2D836229"/>
    <w:rsid w:val="2DC23822"/>
    <w:rsid w:val="2DE51E34"/>
    <w:rsid w:val="2DF5776C"/>
    <w:rsid w:val="2E2D336D"/>
    <w:rsid w:val="2EA74078"/>
    <w:rsid w:val="2F305A79"/>
    <w:rsid w:val="2FAF7862"/>
    <w:rsid w:val="2FF06A47"/>
    <w:rsid w:val="301C4283"/>
    <w:rsid w:val="30332522"/>
    <w:rsid w:val="304C7917"/>
    <w:rsid w:val="30631347"/>
    <w:rsid w:val="30682DC5"/>
    <w:rsid w:val="307543F8"/>
    <w:rsid w:val="30AC1556"/>
    <w:rsid w:val="313B16B1"/>
    <w:rsid w:val="31A25F47"/>
    <w:rsid w:val="32F27553"/>
    <w:rsid w:val="333C6BDA"/>
    <w:rsid w:val="335C37EC"/>
    <w:rsid w:val="33871308"/>
    <w:rsid w:val="33CB642F"/>
    <w:rsid w:val="33FA4EB6"/>
    <w:rsid w:val="34B67F2A"/>
    <w:rsid w:val="352410B3"/>
    <w:rsid w:val="35B91636"/>
    <w:rsid w:val="35BE2C72"/>
    <w:rsid w:val="35E86EE5"/>
    <w:rsid w:val="366606BD"/>
    <w:rsid w:val="36FF10A8"/>
    <w:rsid w:val="370779A0"/>
    <w:rsid w:val="37361D23"/>
    <w:rsid w:val="3763464B"/>
    <w:rsid w:val="37720277"/>
    <w:rsid w:val="38CE1147"/>
    <w:rsid w:val="38E53EE9"/>
    <w:rsid w:val="3969369E"/>
    <w:rsid w:val="39820D9B"/>
    <w:rsid w:val="39975AB2"/>
    <w:rsid w:val="39D203D9"/>
    <w:rsid w:val="39DA0C03"/>
    <w:rsid w:val="3A2C0117"/>
    <w:rsid w:val="3A3D25D6"/>
    <w:rsid w:val="3B07050E"/>
    <w:rsid w:val="3B776903"/>
    <w:rsid w:val="3C124CA3"/>
    <w:rsid w:val="3C126A19"/>
    <w:rsid w:val="3D9462E8"/>
    <w:rsid w:val="3D9C6F5F"/>
    <w:rsid w:val="3E4B4908"/>
    <w:rsid w:val="3E4F1DC0"/>
    <w:rsid w:val="3E8256F6"/>
    <w:rsid w:val="3E8959D1"/>
    <w:rsid w:val="3EBE32B3"/>
    <w:rsid w:val="3EE55EAD"/>
    <w:rsid w:val="3F865475"/>
    <w:rsid w:val="3FAA6841"/>
    <w:rsid w:val="40143400"/>
    <w:rsid w:val="401F32A7"/>
    <w:rsid w:val="4039054B"/>
    <w:rsid w:val="406A4D27"/>
    <w:rsid w:val="4084600C"/>
    <w:rsid w:val="40BB6AC6"/>
    <w:rsid w:val="41130BB0"/>
    <w:rsid w:val="4123009C"/>
    <w:rsid w:val="427A14F3"/>
    <w:rsid w:val="4327501D"/>
    <w:rsid w:val="435750D3"/>
    <w:rsid w:val="43B323F3"/>
    <w:rsid w:val="44415648"/>
    <w:rsid w:val="4463424A"/>
    <w:rsid w:val="446F4B60"/>
    <w:rsid w:val="44806B44"/>
    <w:rsid w:val="45015BA7"/>
    <w:rsid w:val="452856F3"/>
    <w:rsid w:val="45451147"/>
    <w:rsid w:val="456C0413"/>
    <w:rsid w:val="45BA7B3F"/>
    <w:rsid w:val="45F3784A"/>
    <w:rsid w:val="460F6AC2"/>
    <w:rsid w:val="4664517C"/>
    <w:rsid w:val="46C961C5"/>
    <w:rsid w:val="47636351"/>
    <w:rsid w:val="47BE248C"/>
    <w:rsid w:val="47D70F8E"/>
    <w:rsid w:val="47EE218B"/>
    <w:rsid w:val="480D4C28"/>
    <w:rsid w:val="48166E2D"/>
    <w:rsid w:val="484770D2"/>
    <w:rsid w:val="49285059"/>
    <w:rsid w:val="4943260F"/>
    <w:rsid w:val="495973E9"/>
    <w:rsid w:val="49697DEF"/>
    <w:rsid w:val="497779A0"/>
    <w:rsid w:val="49DA6E06"/>
    <w:rsid w:val="49F23441"/>
    <w:rsid w:val="4A32323E"/>
    <w:rsid w:val="4B4112AB"/>
    <w:rsid w:val="4B421B29"/>
    <w:rsid w:val="4B553938"/>
    <w:rsid w:val="4BC14E2A"/>
    <w:rsid w:val="4BCC4A21"/>
    <w:rsid w:val="4D4D66E5"/>
    <w:rsid w:val="4D647A47"/>
    <w:rsid w:val="4E5C2963"/>
    <w:rsid w:val="4EF04A93"/>
    <w:rsid w:val="4EF6139D"/>
    <w:rsid w:val="4F106BD4"/>
    <w:rsid w:val="4F8744EF"/>
    <w:rsid w:val="50140E3F"/>
    <w:rsid w:val="501B1F31"/>
    <w:rsid w:val="502E02E9"/>
    <w:rsid w:val="507F6D90"/>
    <w:rsid w:val="50FD6FED"/>
    <w:rsid w:val="513C3E2F"/>
    <w:rsid w:val="51C743CF"/>
    <w:rsid w:val="54B44059"/>
    <w:rsid w:val="551E6D9A"/>
    <w:rsid w:val="554128AD"/>
    <w:rsid w:val="55EC6D69"/>
    <w:rsid w:val="55EF2EEE"/>
    <w:rsid w:val="565F06D4"/>
    <w:rsid w:val="574C7CAA"/>
    <w:rsid w:val="579808AC"/>
    <w:rsid w:val="57C042E2"/>
    <w:rsid w:val="57D80779"/>
    <w:rsid w:val="57F665B3"/>
    <w:rsid w:val="580B18C1"/>
    <w:rsid w:val="59142D12"/>
    <w:rsid w:val="597E49AF"/>
    <w:rsid w:val="59901F12"/>
    <w:rsid w:val="599A20E0"/>
    <w:rsid w:val="5A42109C"/>
    <w:rsid w:val="5A84170E"/>
    <w:rsid w:val="5AAF04B7"/>
    <w:rsid w:val="5AD57E87"/>
    <w:rsid w:val="5ADA0A15"/>
    <w:rsid w:val="5B131619"/>
    <w:rsid w:val="5B182420"/>
    <w:rsid w:val="5B1F3B33"/>
    <w:rsid w:val="5BB41345"/>
    <w:rsid w:val="5CBA2242"/>
    <w:rsid w:val="5D8338BD"/>
    <w:rsid w:val="5D9579B0"/>
    <w:rsid w:val="5DC11316"/>
    <w:rsid w:val="5E012CA5"/>
    <w:rsid w:val="5E172CAE"/>
    <w:rsid w:val="5E204F90"/>
    <w:rsid w:val="5E473277"/>
    <w:rsid w:val="5F2A39FE"/>
    <w:rsid w:val="5F6B2170"/>
    <w:rsid w:val="604C355F"/>
    <w:rsid w:val="610E4BB1"/>
    <w:rsid w:val="620D3CA4"/>
    <w:rsid w:val="626F7587"/>
    <w:rsid w:val="628E2C77"/>
    <w:rsid w:val="63147FA8"/>
    <w:rsid w:val="63787D34"/>
    <w:rsid w:val="637C0508"/>
    <w:rsid w:val="63C84FCC"/>
    <w:rsid w:val="6445107C"/>
    <w:rsid w:val="647C7625"/>
    <w:rsid w:val="64A74011"/>
    <w:rsid w:val="65210EC5"/>
    <w:rsid w:val="657347B8"/>
    <w:rsid w:val="657B3CDB"/>
    <w:rsid w:val="65D65491"/>
    <w:rsid w:val="665001E7"/>
    <w:rsid w:val="666F41F8"/>
    <w:rsid w:val="66773653"/>
    <w:rsid w:val="66CA773D"/>
    <w:rsid w:val="672B6975"/>
    <w:rsid w:val="6767722E"/>
    <w:rsid w:val="681C4F33"/>
    <w:rsid w:val="681E5825"/>
    <w:rsid w:val="686C22DB"/>
    <w:rsid w:val="69FE25A5"/>
    <w:rsid w:val="6A487CDB"/>
    <w:rsid w:val="6ADF52BF"/>
    <w:rsid w:val="6BD87992"/>
    <w:rsid w:val="6C2F36AA"/>
    <w:rsid w:val="6C5F13A9"/>
    <w:rsid w:val="6C814A00"/>
    <w:rsid w:val="6CDF540F"/>
    <w:rsid w:val="6D4F600C"/>
    <w:rsid w:val="6D627CAC"/>
    <w:rsid w:val="6D682FDC"/>
    <w:rsid w:val="6D9901D4"/>
    <w:rsid w:val="6DD965BA"/>
    <w:rsid w:val="6EB36764"/>
    <w:rsid w:val="6F0F7E8A"/>
    <w:rsid w:val="6F714FED"/>
    <w:rsid w:val="6FD837D7"/>
    <w:rsid w:val="702F3745"/>
    <w:rsid w:val="7060021C"/>
    <w:rsid w:val="71C14652"/>
    <w:rsid w:val="724A31A4"/>
    <w:rsid w:val="725B0F2D"/>
    <w:rsid w:val="726D2AEC"/>
    <w:rsid w:val="72BF2BFF"/>
    <w:rsid w:val="734D26FA"/>
    <w:rsid w:val="73AC610C"/>
    <w:rsid w:val="74004708"/>
    <w:rsid w:val="74D22132"/>
    <w:rsid w:val="75157483"/>
    <w:rsid w:val="757F39D0"/>
    <w:rsid w:val="75DE4B8C"/>
    <w:rsid w:val="75E7441E"/>
    <w:rsid w:val="77BF1ABD"/>
    <w:rsid w:val="77C80329"/>
    <w:rsid w:val="77F4247E"/>
    <w:rsid w:val="78062C50"/>
    <w:rsid w:val="791B2CFE"/>
    <w:rsid w:val="7957609C"/>
    <w:rsid w:val="79C4512D"/>
    <w:rsid w:val="7B68522C"/>
    <w:rsid w:val="7BBC43E6"/>
    <w:rsid w:val="7BF52F6E"/>
    <w:rsid w:val="7C363021"/>
    <w:rsid w:val="7CA642F1"/>
    <w:rsid w:val="7CCE1F3D"/>
    <w:rsid w:val="7D986366"/>
    <w:rsid w:val="7F586ACD"/>
    <w:rsid w:val="7FA90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ind w:right="-108"/>
      <w:outlineLvl w:val="2"/>
    </w:pPr>
    <w:rPr>
      <w:sz w:val="25"/>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annotation subject"/>
    <w:basedOn w:val="7"/>
    <w:next w:val="7"/>
    <w:link w:val="43"/>
    <w:qFormat/>
    <w:uiPriority w:val="0"/>
    <w:rPr>
      <w:b/>
      <w:bCs/>
      <w:lang w:val="en-US" w:eastAsia="zh-CN"/>
    </w:rPr>
  </w:style>
  <w:style w:type="paragraph" w:styleId="7">
    <w:name w:val="annotation text"/>
    <w:basedOn w:val="1"/>
    <w:link w:val="42"/>
    <w:qFormat/>
    <w:uiPriority w:val="0"/>
    <w:pPr>
      <w:jc w:val="left"/>
    </w:pPr>
    <w:rPr>
      <w:lang w:val="zh-CN" w:eastAsia="zh-CN"/>
    </w:rPr>
  </w:style>
  <w:style w:type="paragraph" w:styleId="8">
    <w:name w:val="Body Text"/>
    <w:basedOn w:val="1"/>
    <w:qFormat/>
    <w:uiPriority w:val="0"/>
    <w:pPr>
      <w:snapToGrid w:val="0"/>
      <w:spacing w:line="240" w:lineRule="atLeast"/>
    </w:pPr>
    <w:rPr>
      <w:sz w:val="24"/>
    </w:rPr>
  </w:style>
  <w:style w:type="paragraph" w:styleId="9">
    <w:name w:val="Body Text Indent"/>
    <w:basedOn w:val="1"/>
    <w:qFormat/>
    <w:uiPriority w:val="0"/>
    <w:pPr>
      <w:adjustRightInd w:val="0"/>
      <w:spacing w:after="120"/>
      <w:ind w:left="420" w:leftChars="200"/>
      <w:textAlignment w:val="baseline"/>
    </w:pPr>
    <w:rPr>
      <w:kern w:val="0"/>
    </w:rPr>
  </w:style>
  <w:style w:type="paragraph" w:styleId="10">
    <w:name w:val="toc 3"/>
    <w:basedOn w:val="1"/>
    <w:next w:val="1"/>
    <w:qFormat/>
    <w:uiPriority w:val="39"/>
    <w:pPr>
      <w:ind w:left="840"/>
    </w:p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styleId="14">
    <w:name w:val="footnote text"/>
    <w:basedOn w:val="1"/>
    <w:semiHidden/>
    <w:qFormat/>
    <w:uiPriority w:val="0"/>
    <w:pPr>
      <w:snapToGrid w:val="0"/>
      <w:jc w:val="left"/>
    </w:pPr>
    <w:rPr>
      <w:sz w:val="18"/>
      <w:szCs w:val="18"/>
    </w:rPr>
  </w:style>
  <w:style w:type="paragraph" w:styleId="15">
    <w:name w:val="Title"/>
    <w:basedOn w:val="1"/>
    <w:qFormat/>
    <w:uiPriority w:val="0"/>
    <w:pPr>
      <w:jc w:val="center"/>
    </w:pPr>
    <w:rPr>
      <w:b/>
      <w:sz w:val="32"/>
    </w:rPr>
  </w:style>
  <w:style w:type="character" w:styleId="17">
    <w:name w:val="Strong"/>
    <w:qFormat/>
    <w:uiPriority w:val="22"/>
    <w:rPr>
      <w:b/>
      <w:bCs/>
    </w:rPr>
  </w:style>
  <w:style w:type="character" w:styleId="18">
    <w:name w:val="page number"/>
    <w:basedOn w:val="16"/>
    <w:qFormat/>
    <w:uiPriority w:val="0"/>
  </w:style>
  <w:style w:type="character" w:styleId="19">
    <w:name w:val="annotation reference"/>
    <w:qFormat/>
    <w:uiPriority w:val="0"/>
    <w:rPr>
      <w:rFonts w:cs="Times New Roman"/>
      <w:sz w:val="21"/>
      <w:szCs w:val="21"/>
    </w:rPr>
  </w:style>
  <w:style w:type="character" w:styleId="20">
    <w:name w:val="footnote reference"/>
    <w:semiHidden/>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4">
    <w:name w:val="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5">
    <w:name w:val="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6">
    <w:name w:val="Char Char Char Char1 Char Char Char Char"/>
    <w:basedOn w:val="1"/>
    <w:qFormat/>
    <w:uiPriority w:val="0"/>
    <w:pPr>
      <w:widowControl/>
      <w:spacing w:after="160" w:line="240" w:lineRule="exact"/>
      <w:jc w:val="left"/>
    </w:pPr>
    <w:rPr>
      <w:rFonts w:ascii="Verdana" w:hAnsi="Verdana" w:eastAsia="Times New Roman" w:cs="Verdana"/>
      <w:kern w:val="0"/>
      <w:sz w:val="20"/>
      <w:lang w:eastAsia="en-US"/>
    </w:rPr>
  </w:style>
  <w:style w:type="paragraph" w:customStyle="1" w:styleId="27">
    <w:name w:val="Char1 Char Char Char Char Char1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8">
    <w:name w:val="Char Char Char Char Char Char 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9">
    <w:name w:val="列出段落1"/>
    <w:basedOn w:val="1"/>
    <w:qFormat/>
    <w:uiPriority w:val="0"/>
    <w:pPr>
      <w:ind w:firstLine="420" w:firstLineChars="200"/>
    </w:pPr>
  </w:style>
  <w:style w:type="paragraph" w:customStyle="1" w:styleId="30">
    <w:name w:val="Bod"/>
    <w:basedOn w:val="1"/>
    <w:qFormat/>
    <w:uiPriority w:val="0"/>
    <w:pPr>
      <w:widowControl/>
      <w:suppressAutoHyphens/>
      <w:spacing w:after="240"/>
      <w:ind w:firstLine="1440"/>
    </w:pPr>
    <w:rPr>
      <w:kern w:val="0"/>
      <w:sz w:val="24"/>
      <w:lang w:eastAsia="en-US"/>
    </w:rPr>
  </w:style>
  <w:style w:type="paragraph" w:customStyle="1" w:styleId="31">
    <w:name w:val="Plain"/>
    <w:basedOn w:val="1"/>
    <w:qFormat/>
    <w:uiPriority w:val="0"/>
    <w:pPr>
      <w:widowControl/>
      <w:suppressAutoHyphens/>
      <w:spacing w:after="240"/>
    </w:pPr>
    <w:rPr>
      <w:kern w:val="0"/>
      <w:sz w:val="24"/>
      <w:lang w:eastAsia="en-US"/>
    </w:rPr>
  </w:style>
  <w:style w:type="paragraph" w:customStyle="1" w:styleId="3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3">
    <w:name w:val="CM7"/>
    <w:basedOn w:val="32"/>
    <w:next w:val="32"/>
    <w:qFormat/>
    <w:uiPriority w:val="0"/>
    <w:pPr>
      <w:spacing w:after="355"/>
    </w:pPr>
    <w:rPr>
      <w:color w:val="auto"/>
    </w:rPr>
  </w:style>
  <w:style w:type="paragraph" w:customStyle="1" w:styleId="34">
    <w:name w:val="CM8"/>
    <w:basedOn w:val="32"/>
    <w:next w:val="32"/>
    <w:qFormat/>
    <w:uiPriority w:val="0"/>
    <w:pPr>
      <w:spacing w:after="255"/>
    </w:pPr>
    <w:rPr>
      <w:color w:val="auto"/>
    </w:rPr>
  </w:style>
  <w:style w:type="paragraph" w:customStyle="1" w:styleId="35">
    <w:name w:val="CM9"/>
    <w:basedOn w:val="32"/>
    <w:next w:val="32"/>
    <w:qFormat/>
    <w:uiPriority w:val="0"/>
    <w:pPr>
      <w:spacing w:after="465"/>
    </w:pPr>
    <w:rPr>
      <w:color w:val="auto"/>
    </w:rPr>
  </w:style>
  <w:style w:type="paragraph" w:customStyle="1" w:styleId="36">
    <w:name w:val="CM1"/>
    <w:basedOn w:val="32"/>
    <w:next w:val="32"/>
    <w:qFormat/>
    <w:uiPriority w:val="0"/>
    <w:pPr>
      <w:spacing w:line="468" w:lineRule="atLeast"/>
    </w:pPr>
    <w:rPr>
      <w:color w:val="auto"/>
    </w:rPr>
  </w:style>
  <w:style w:type="paragraph" w:customStyle="1" w:styleId="37">
    <w:name w:val="CM12"/>
    <w:basedOn w:val="32"/>
    <w:next w:val="32"/>
    <w:qFormat/>
    <w:uiPriority w:val="0"/>
    <w:pPr>
      <w:spacing w:after="78"/>
    </w:pPr>
    <w:rPr>
      <w:color w:val="auto"/>
    </w:rPr>
  </w:style>
  <w:style w:type="paragraph" w:customStyle="1" w:styleId="38">
    <w:name w:val="CM10"/>
    <w:basedOn w:val="32"/>
    <w:next w:val="32"/>
    <w:qFormat/>
    <w:uiPriority w:val="0"/>
    <w:pPr>
      <w:spacing w:after="410"/>
    </w:pPr>
    <w:rPr>
      <w:color w:val="auto"/>
    </w:rPr>
  </w:style>
  <w:style w:type="paragraph" w:customStyle="1" w:styleId="39">
    <w:name w:val="Char Char Char Char1"/>
    <w:basedOn w:val="3"/>
    <w:next w:val="1"/>
    <w:qFormat/>
    <w:uiPriority w:val="0"/>
    <w:pPr>
      <w:keepNext w:val="0"/>
      <w:widowControl/>
      <w:autoSpaceDE w:val="0"/>
      <w:autoSpaceDN w:val="0"/>
      <w:adjustRightInd w:val="0"/>
      <w:spacing w:before="0" w:after="160" w:line="240" w:lineRule="exact"/>
      <w:jc w:val="left"/>
    </w:pPr>
    <w:rPr>
      <w:rFonts w:ascii="Verdana" w:hAnsi="Verdana" w:eastAsia="Times New Roman"/>
      <w:b w:val="0"/>
      <w:bCs w:val="0"/>
      <w:color w:val="000000"/>
      <w:kern w:val="0"/>
      <w:sz w:val="22"/>
      <w:szCs w:val="22"/>
      <w:lang w:eastAsia="en-US"/>
    </w:rPr>
  </w:style>
  <w:style w:type="paragraph" w:customStyle="1" w:styleId="40">
    <w:name w:val="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41">
    <w:name w:val="List Paragraph"/>
    <w:basedOn w:val="1"/>
    <w:qFormat/>
    <w:uiPriority w:val="34"/>
    <w:pPr>
      <w:ind w:firstLine="420" w:firstLineChars="200"/>
    </w:pPr>
  </w:style>
  <w:style w:type="character" w:customStyle="1" w:styleId="42">
    <w:name w:val="批注文字 Char"/>
    <w:link w:val="7"/>
    <w:qFormat/>
    <w:locked/>
    <w:uiPriority w:val="0"/>
    <w:rPr>
      <w:rFonts w:eastAsia="宋体"/>
      <w:kern w:val="2"/>
      <w:sz w:val="21"/>
      <w:lang w:val="zh-CN" w:eastAsia="zh-CN" w:bidi="ar-SA"/>
    </w:rPr>
  </w:style>
  <w:style w:type="character" w:customStyle="1" w:styleId="43">
    <w:name w:val="批注主题 Char"/>
    <w:link w:val="6"/>
    <w:qFormat/>
    <w:uiPriority w:val="0"/>
    <w:rPr>
      <w:rFonts w:eastAsia="宋体"/>
      <w:b/>
      <w:bCs/>
      <w:kern w:val="2"/>
      <w:sz w:val="21"/>
      <w:lang w:val="zh-CN" w:eastAsia="zh-CN" w:bidi="ar-SA"/>
    </w:rPr>
  </w:style>
  <w:style w:type="paragraph" w:customStyle="1" w:styleId="44">
    <w:name w:val="Revision"/>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38C07-2052-467D-B59A-6E19178DF561}">
  <ds:schemaRefs/>
</ds:datastoreItem>
</file>

<file path=customXml/itemProps3.xml><?xml version="1.0" encoding="utf-8"?>
<ds:datastoreItem xmlns:ds="http://schemas.openxmlformats.org/officeDocument/2006/customXml" ds:itemID="{A9530123-9C33-4794-A6C7-0EAD6278CDC6}">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15819</Words>
  <Characters>18847</Characters>
  <Lines>116</Lines>
  <Paragraphs>32</Paragraphs>
  <ScaleCrop>false</ScaleCrop>
  <LinksUpToDate>false</LinksUpToDate>
  <CharactersWithSpaces>18881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2017-09-14T09:28:00Z</dcterms:created>
  <dc:creator>zhangb</dc:creator>
  <cp:lastModifiedBy>zhangb</cp:lastModifiedBy>
  <cp:lastPrinted>2017-03-09T08:21:00Z</cp:lastPrinted>
  <dcterms:modified xsi:type="dcterms:W3CDTF">2017-10-25T10:24:15Z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