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b/>
          <w:color w:val="000000"/>
          <w:sz w:val="32"/>
          <w:szCs w:val="32"/>
        </w:rPr>
      </w:pPr>
      <w:bookmarkStart w:id="0" w:name="_DV_M2"/>
      <w:bookmarkEnd w:id="0"/>
      <w:bookmarkStart w:id="1" w:name="_DV_M3"/>
      <w:bookmarkEnd w:id="1"/>
      <w:bookmarkStart w:id="2" w:name="_DV_M9"/>
      <w:bookmarkEnd w:id="2"/>
      <w:bookmarkStart w:id="3" w:name="_DV_M10"/>
      <w:bookmarkEnd w:id="3"/>
      <w:bookmarkStart w:id="4" w:name="_DV_M6"/>
      <w:bookmarkEnd w:id="4"/>
      <w:bookmarkStart w:id="5" w:name="_DV_M8"/>
      <w:bookmarkEnd w:id="5"/>
      <w:bookmarkStart w:id="6" w:name="_DV_M7"/>
      <w:bookmarkEnd w:id="6"/>
      <w:bookmarkStart w:id="7" w:name="_DV_M4"/>
      <w:bookmarkEnd w:id="7"/>
      <w:bookmarkStart w:id="8" w:name="_DV_M5"/>
      <w:bookmarkEnd w:id="8"/>
      <w:bookmarkStart w:id="9" w:name="_DV_M1"/>
      <w:bookmarkEnd w:id="9"/>
      <w:bookmarkStart w:id="10" w:name="_DV_M11"/>
      <w:bookmarkEnd w:id="10"/>
      <w:r>
        <w:rPr>
          <w:rFonts w:ascii="Times New Roman" w:hAnsi="Times New Roman" w:eastAsia="宋体" w:cs="Times New Roman"/>
          <w:b/>
          <w:sz w:val="30"/>
          <w:szCs w:val="30"/>
        </w:rPr>
        <w:fldChar w:fldCharType="begin"/>
      </w:r>
      <w:r>
        <w:rPr>
          <w:rFonts w:ascii="Times New Roman" w:hAnsi="Times New Roman" w:eastAsia="宋体" w:cs="Times New Roman"/>
          <w:b/>
          <w:sz w:val="30"/>
          <w:szCs w:val="30"/>
        </w:rPr>
        <w:instrText xml:space="preserve"> </w:instrText>
      </w:r>
      <w:r>
        <w:rPr>
          <w:rFonts w:hint="eastAsia" w:ascii="Times New Roman" w:hAnsi="Times New Roman" w:eastAsia="宋体" w:cs="Times New Roman"/>
          <w:b/>
          <w:sz w:val="30"/>
          <w:szCs w:val="30"/>
        </w:rPr>
        <w:instrText xml:space="preserve">MERGEFIELD [#setting classic_compatible=true] \* MERGEFORMAT</w:instrText>
      </w:r>
      <w:r>
        <w:rPr>
          <w:rFonts w:ascii="Times New Roman" w:hAnsi="Times New Roman" w:eastAsia="宋体" w:cs="Times New Roman"/>
          <w:b/>
          <w:sz w:val="30"/>
          <w:szCs w:val="30"/>
        </w:rPr>
        <w:instrText xml:space="preserve"> </w:instrText>
      </w:r>
      <w:r>
        <w:rPr>
          <w:rFonts w:ascii="Times New Roman" w:hAnsi="Times New Roman" w:eastAsia="宋体" w:cs="Times New Roman"/>
          <w:b/>
          <w:sz w:val="30"/>
          <w:szCs w:val="30"/>
        </w:rPr>
        <w:fldChar w:fldCharType="separate"/>
      </w:r>
      <w:r>
        <w:rPr>
          <w:rFonts w:ascii="Times New Roman" w:hAnsi="Times New Roman" w:eastAsia="宋体" w:cs="Times New Roman"/>
          <w:b/>
          <w:sz w:val="30"/>
          <w:szCs w:val="30"/>
        </w:rPr>
        <w:t>«[#setting»</w:t>
      </w:r>
      <w:r>
        <w:rPr>
          <w:rFonts w:ascii="Times New Roman" w:hAnsi="Times New Roman" w:eastAsia="宋体" w:cs="Times New Roman"/>
          <w:b/>
          <w:sz w:val="30"/>
          <w:szCs w:val="30"/>
        </w:rPr>
        <w:fldChar w:fldCharType="end"/>
      </w:r>
    </w:p>
    <w:p>
      <w:pPr>
        <w:spacing w:line="420" w:lineRule="atLeast"/>
        <w:ind w:right="-514"/>
        <w:jc w:val="center"/>
        <w:rPr>
          <w:rFonts w:ascii="Times New Roman" w:hAnsi="Times New Roman" w:eastAsia="宋体" w:cs="Times New Roman"/>
          <w:b/>
          <w:color w:val="000000"/>
          <w:sz w:val="32"/>
          <w:szCs w:val="32"/>
        </w:rPr>
      </w:pPr>
      <w:r>
        <w:rPr>
          <w:rFonts w:hint="eastAsia" w:ascii="Times New Roman" w:hAnsi="Times New Roman" w:eastAsia="宋体" w:cs="Times New Roman"/>
          <w:b/>
          <w:color w:val="000000"/>
          <w:sz w:val="32"/>
          <w:szCs w:val="32"/>
        </w:rPr>
        <w:t>关于设立</w:t>
      </w: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color w:val="000000"/>
          <w:sz w:val="32"/>
          <w:szCs w:val="32"/>
        </w:rPr>
      </w:pPr>
    </w:p>
    <w:p>
      <w:pPr>
        <w:pStyle w:val="15"/>
        <w:spacing w:line="420" w:lineRule="atLeast"/>
        <w:ind w:right="-514"/>
        <w:rPr>
          <w:rFonts w:ascii="Times New Roman" w:hAnsi="Times New Roman" w:eastAsia="宋体" w:cs="Times New Roman"/>
          <w:color w:val="000000"/>
          <w:szCs w:val="32"/>
        </w:rPr>
      </w:pPr>
      <w:r>
        <w:rPr>
          <w:rFonts w:hint="eastAsia" w:ascii="Times New Roman" w:hAnsi="Times New Roman" w:eastAsia="宋体" w:cs="Times New Roman"/>
          <w:color w:val="000000"/>
          <w:szCs w:val="32"/>
        </w:rPr>
        <w:t>中外合资经营</w:t>
      </w:r>
    </w:p>
    <w:p>
      <w:pPr>
        <w:pStyle w:val="15"/>
        <w:spacing w:line="420" w:lineRule="atLeast"/>
        <w:ind w:right="-514"/>
        <w:rPr>
          <w:rFonts w:ascii="Times New Roman" w:hAnsi="Times New Roman" w:eastAsia="宋体" w:cs="Times New Roman"/>
          <w:color w:val="000000"/>
          <w:szCs w:val="32"/>
        </w:rPr>
      </w:pPr>
    </w:p>
    <w:p>
      <w:pPr>
        <w:pStyle w:val="15"/>
        <w:spacing w:line="420" w:lineRule="atLeast"/>
        <w:ind w:right="-514"/>
        <w:rPr>
          <w:rFonts w:ascii="Times New Roman" w:hAnsi="Times New Roman" w:eastAsia="宋体" w:cs="Times New Roman"/>
          <w:color w:val="000000"/>
          <w:szCs w:val="32"/>
        </w:rPr>
      </w:pPr>
    </w:p>
    <w:p>
      <w:pPr>
        <w:spacing w:line="420" w:lineRule="atLeast"/>
        <w:ind w:right="-514"/>
        <w:jc w:val="center"/>
        <w:rPr>
          <w:rFonts w:ascii="Times New Roman" w:hAnsi="Times New Roman" w:eastAsia="宋体" w:cs="Times New Roman"/>
          <w:sz w:val="32"/>
        </w:rPr>
      </w:pPr>
      <w:r>
        <w:rPr>
          <w:rFonts w:hint="eastAsia" w:ascii="Times New Roman" w:hAnsi="Times New Roman" w:eastAsia="宋体" w:cs="Times New Roman"/>
          <w:b/>
          <w:sz w:val="32"/>
          <w:szCs w:val="32"/>
          <w:highlight w:val="yellow"/>
        </w:rPr>
        <w:fldChar w:fldCharType="begin"/>
      </w:r>
      <w:r>
        <w:rPr>
          <w:rFonts w:hint="eastAsia" w:ascii="Times New Roman" w:hAnsi="Times New Roman" w:eastAsia="宋体" w:cs="Times New Roman"/>
          <w:b/>
          <w:sz w:val="32"/>
          <w:szCs w:val="32"/>
          <w:highlight w:val="yellow"/>
        </w:rPr>
        <w:instrText xml:space="preserve"> MERGEFIELD ${agreement.jvObj.JVName} \* MERGEFORMAT </w:instrText>
      </w:r>
      <w:r>
        <w:rPr>
          <w:rFonts w:hint="eastAsia" w:ascii="Times New Roman" w:hAnsi="Times New Roman" w:eastAsia="宋体" w:cs="Times New Roman"/>
          <w:b/>
          <w:sz w:val="32"/>
          <w:szCs w:val="32"/>
          <w:highlight w:val="yellow"/>
        </w:rPr>
        <w:fldChar w:fldCharType="separate"/>
      </w:r>
      <w:r>
        <w:rPr>
          <w:rFonts w:hint="eastAsia" w:ascii="Times New Roman" w:hAnsi="Times New Roman" w:eastAsia="宋体" w:cs="Times New Roman"/>
          <w:b/>
          <w:sz w:val="32"/>
          <w:szCs w:val="32"/>
          <w:highlight w:val="yellow"/>
        </w:rPr>
        <w:t>«${agreement.jvObj.JVName}»</w:t>
      </w:r>
      <w:r>
        <w:rPr>
          <w:rFonts w:hint="eastAsia" w:ascii="Times New Roman" w:hAnsi="Times New Roman" w:eastAsia="宋体" w:cs="Times New Roman"/>
          <w:b/>
          <w:sz w:val="32"/>
          <w:szCs w:val="32"/>
          <w:highlight w:val="yellow"/>
        </w:rPr>
        <w:fldChar w:fldCharType="end"/>
      </w: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color w:val="000000"/>
          <w:sz w:val="32"/>
          <w:szCs w:val="32"/>
        </w:rPr>
      </w:pPr>
      <w:r>
        <w:rPr>
          <w:rFonts w:hint="eastAsia" w:ascii="Times New Roman" w:hAnsi="Times New Roman" w:eastAsia="宋体" w:cs="Times New Roman"/>
          <w:b/>
          <w:color w:val="000000"/>
          <w:sz w:val="32"/>
          <w:szCs w:val="32"/>
        </w:rPr>
        <w:t>之</w:t>
      </w: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合资合同</w:t>
      </w: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napToGrid w:val="0"/>
        <w:spacing w:line="420" w:lineRule="atLeast"/>
        <w:jc w:val="center"/>
        <w:rPr>
          <w:rFonts w:ascii="Times New Roman" w:hAnsi="Times New Roman" w:eastAsia="宋体" w:cs="Times New Roman"/>
          <w:sz w:val="26"/>
        </w:rPr>
      </w:pPr>
      <w:bookmarkStart w:id="11" w:name="_Toc460444973"/>
      <w:r>
        <w:rPr>
          <w:rFonts w:hint="eastAsia" w:ascii="Times New Roman" w:hAnsi="Times New Roman" w:eastAsia="宋体" w:cs="Times New Roman"/>
          <w:b/>
          <w:sz w:val="32"/>
          <w:szCs w:val="32"/>
        </w:rPr>
        <w:t>二零一七年_____月_____日</w:t>
      </w:r>
      <w:bookmarkEnd w:id="11"/>
      <w:r>
        <w:rPr>
          <w:rFonts w:ascii="Times New Roman" w:hAnsi="Times New Roman" w:eastAsia="宋体" w:cs="Times New Roman"/>
          <w:b/>
          <w:sz w:val="18"/>
        </w:rPr>
        <w:br w:type="page"/>
      </w:r>
    </w:p>
    <w:p>
      <w:pPr>
        <w:pStyle w:val="4"/>
        <w:spacing w:before="156" w:after="10" w:line="420" w:lineRule="atLeast"/>
        <w:jc w:val="center"/>
        <w:rPr>
          <w:rFonts w:ascii="Times New Roman" w:hAnsi="Times New Roman" w:eastAsia="宋体" w:cs="Times New Roman"/>
          <w:b/>
          <w:sz w:val="24"/>
        </w:rPr>
      </w:pPr>
      <w:bookmarkStart w:id="12" w:name="_Toc332999828"/>
      <w:r>
        <w:rPr>
          <w:rFonts w:hint="eastAsia" w:ascii="Times New Roman" w:hAnsi="Times New Roman" w:eastAsia="宋体" w:cs="Times New Roman"/>
          <w:b/>
          <w:sz w:val="24"/>
        </w:rPr>
        <w:t>前</w:t>
      </w:r>
      <w:r>
        <w:rPr>
          <w:rFonts w:hint="eastAsia" w:ascii="Times New Roman" w:hAnsi="Times New Roman" w:eastAsia="宋体" w:cs="Times New Roman"/>
          <w:b/>
          <w:sz w:val="24"/>
        </w:rPr>
        <w:tab/>
      </w:r>
      <w:r>
        <w:rPr>
          <w:rFonts w:hint="eastAsia" w:ascii="Times New Roman" w:hAnsi="Times New Roman" w:eastAsia="宋体" w:cs="Times New Roman"/>
          <w:b/>
          <w:sz w:val="24"/>
        </w:rPr>
        <w:t>言</w:t>
      </w:r>
      <w:bookmarkEnd w:id="12"/>
      <w:r>
        <w:rPr>
          <w:rFonts w:ascii="Times New Roman" w:hAnsi="Times New Roman" w:eastAsia="宋体" w:cs="Times New Roman"/>
          <w:b/>
          <w:sz w:val="24"/>
        </w:rPr>
        <w:br w:type="textWrapping"/>
      </w:r>
    </w:p>
    <w:p>
      <w:pPr>
        <w:tabs>
          <w:tab w:val="left" w:pos="-420"/>
          <w:tab w:val="left" w:pos="-315"/>
          <w:tab w:val="left" w:pos="0"/>
        </w:tabs>
        <w:spacing w:before="156" w:after="10" w:line="420" w:lineRule="atLeast"/>
        <w:ind w:right="-514" w:firstLine="480"/>
        <w:rPr>
          <w:rFonts w:ascii="Times New Roman" w:hAnsi="Times New Roman" w:eastAsia="宋体" w:cs="Times New Roman"/>
          <w:b w:val="0"/>
          <w:bCs/>
          <w:color w:val="000000"/>
          <w:sz w:val="24"/>
          <w:szCs w:val="24"/>
        </w:rPr>
      </w:pPr>
      <w:r>
        <w:rPr>
          <w:rFonts w:hint="eastAsia" w:ascii="Times New Roman" w:hAnsi="Times New Roman" w:eastAsia="宋体" w:cs="Times New Roman"/>
          <w:sz w:val="24"/>
        </w:rPr>
        <w:t>本合资合同（</w:t>
      </w:r>
      <w:r>
        <w:rPr>
          <w:rFonts w:hint="eastAsia"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u w:val="single"/>
        </w:rPr>
        <w:t>本合同”</w:t>
      </w:r>
      <w:r>
        <w:rPr>
          <w:rFonts w:hint="eastAsia" w:ascii="Times New Roman" w:hAnsi="Times New Roman" w:eastAsia="宋体" w:cs="Times New Roman"/>
          <w:color w:val="000000"/>
          <w:sz w:val="24"/>
          <w:szCs w:val="24"/>
        </w:rPr>
        <w:t>）由公司、【创始人】、【】及【】根据《中华</w:t>
      </w:r>
      <w:r>
        <w:rPr>
          <w:rFonts w:hint="eastAsia" w:ascii="Times New Roman" w:hAnsi="Times New Roman" w:eastAsia="宋体" w:cs="Times New Roman"/>
          <w:sz w:val="24"/>
        </w:rPr>
        <w:t>人民共和国中外合资经营企业法》（“</w:t>
      </w:r>
      <w:r>
        <w:rPr>
          <w:rFonts w:hint="eastAsia" w:ascii="Times New Roman" w:hAnsi="Times New Roman" w:eastAsia="宋体" w:cs="Times New Roman"/>
          <w:sz w:val="24"/>
          <w:u w:val="single"/>
        </w:rPr>
        <w:t>合资企业法”</w:t>
      </w:r>
      <w:r>
        <w:rPr>
          <w:rFonts w:hint="eastAsia" w:ascii="Times New Roman" w:hAnsi="Times New Roman" w:eastAsia="宋体" w:cs="Times New Roman"/>
          <w:sz w:val="24"/>
        </w:rPr>
        <w:t>）、《中华人民共和国公司法》（“</w:t>
      </w:r>
      <w:r>
        <w:rPr>
          <w:rFonts w:hint="eastAsia" w:ascii="Times New Roman" w:hAnsi="Times New Roman" w:eastAsia="宋体" w:cs="Times New Roman"/>
          <w:sz w:val="24"/>
          <w:u w:val="single"/>
        </w:rPr>
        <w:t>公司法”</w:t>
      </w:r>
      <w:r>
        <w:rPr>
          <w:rFonts w:hint="eastAsia" w:ascii="Times New Roman" w:hAnsi="Times New Roman" w:eastAsia="宋体" w:cs="Times New Roman"/>
          <w:sz w:val="24"/>
        </w:rPr>
        <w:t>）以及其他有关的中国法律、法规于2017年【 】月【 】日订立。各方在此一致同意按照平等互利的原则根据以下条款和条件在中华人民共和国【</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«${agreement.jvObj.JVAddr}»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】设立一家中外合资经营企业。</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p9term=0]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p>
    <w:p>
      <w:pPr>
        <w:pStyle w:val="4"/>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b/>
          <w:bCs w:val="0"/>
        </w:rPr>
      </w:pPr>
      <w:bookmarkStart w:id="13" w:name="_Toc332999829"/>
      <w:r>
        <w:rPr>
          <w:rFonts w:hint="eastAsia" w:ascii="Times New Roman" w:hAnsi="Times New Roman" w:eastAsia="宋体" w:cs="Times New Roman"/>
          <w:b/>
          <w:bCs w:val="0"/>
          <w:sz w:val="24"/>
        </w:rPr>
        <w:t>定义</w:t>
      </w:r>
      <w:bookmarkEnd w:id="13"/>
    </w:p>
    <w:p>
      <w:pPr>
        <w:snapToGrid w:val="0"/>
        <w:spacing w:before="156" w:after="10" w:line="420" w:lineRule="atLeast"/>
        <w:rPr>
          <w:rFonts w:ascii="Times New Roman" w:hAnsi="Times New Roman" w:eastAsia="宋体" w:cs="Times New Roman"/>
          <w:sz w:val="24"/>
        </w:rPr>
      </w:pPr>
      <w:r>
        <w:rPr>
          <w:rFonts w:hint="eastAsia" w:ascii="Times New Roman" w:hAnsi="Times New Roman" w:eastAsia="宋体" w:cs="Times New Roman"/>
          <w:sz w:val="24"/>
        </w:rPr>
        <w:t>除非本合同条款或上下文另有规定，下列用语应具有以下涵义：</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u w:val="single"/>
          <w:lang w:val="en-GB"/>
        </w:rPr>
        <w:t>“公司”</w:t>
      </w:r>
      <w:r>
        <w:rPr>
          <w:rFonts w:hint="eastAsia" w:ascii="Times New Roman" w:hAnsi="Times New Roman" w:eastAsia="宋体" w:cs="Times New Roman"/>
          <w:sz w:val="24"/>
          <w:lang w:val="en-GB"/>
        </w:rPr>
        <w:t>，指依据本合同设立的中外合资经营</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agreement.founderList?size gt 0]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“创始人”</w:t>
      </w:r>
      <w:r>
        <w:rPr>
          <w:rFonts w:hint="eastAsia" w:ascii="Times New Roman" w:hAnsi="Times New Roman" w:eastAsia="宋体" w:cs="Times New Roman"/>
          <w:sz w:val="24"/>
          <w:u w:val="none"/>
          <w:lang w:val="en-GB"/>
        </w:rPr>
        <w:t>指</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[#list agreement.founderList as founder]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«[#list»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${founder["shareholderName"]}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«${founder[»</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${founder["shareholderIDType"]}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«${founder[»</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号码：</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${founder["shareholderIDNumber"]}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«${founder[»</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[#if founder_index lt (agreement.founderList?size -2)]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«[#if»</w:t>
      </w:r>
      <w:r>
        <w:rPr>
          <w:rFonts w:hint="eastAsia" w:ascii="Times New Roman" w:hAnsi="Times New Roman" w:eastAsia="宋体" w:cs="Times New Roman"/>
          <w:sz w:val="24"/>
          <w:highlight w:val="yellow"/>
          <w:u w:val="none"/>
          <w:lang w:val="en-GB"/>
        </w:rPr>
        <w:fldChar w:fldCharType="end"/>
      </w:r>
      <w:r>
        <w:rPr>
          <w:rFonts w:hint="eastAsia" w:cs="Times New Roman"/>
          <w:sz w:val="24"/>
          <w:u w:val="none"/>
          <w:lang w:val="en-GB" w:eastAsia="zh-CN"/>
        </w:rPr>
        <w:t>、</w:t>
      </w:r>
      <w:r>
        <w:rPr>
          <w:rFonts w:hint="eastAsia" w:cs="Times New Roman"/>
          <w:sz w:val="24"/>
          <w:highlight w:val="yellow"/>
          <w:u w:val="none"/>
          <w:lang w:val="en-GB" w:eastAsia="zh-CN"/>
        </w:rPr>
        <w:fldChar w:fldCharType="begin"/>
      </w:r>
      <w:r>
        <w:rPr>
          <w:rFonts w:hint="eastAsia" w:cs="Times New Roman"/>
          <w:sz w:val="24"/>
          <w:highlight w:val="yellow"/>
          <w:u w:val="none"/>
          <w:lang w:val="en-GB" w:eastAsia="zh-CN"/>
        </w:rPr>
        <w:instrText xml:space="preserve"> MERGEFIELD [#elseif founder_index==(agreement.founderList?size-2)] \* MERGEFORMAT </w:instrText>
      </w:r>
      <w:r>
        <w:rPr>
          <w:rFonts w:hint="eastAsia" w:cs="Times New Roman"/>
          <w:sz w:val="24"/>
          <w:highlight w:val="yellow"/>
          <w:u w:val="none"/>
          <w:lang w:val="en-GB" w:eastAsia="zh-CN"/>
        </w:rPr>
        <w:fldChar w:fldCharType="separate"/>
      </w:r>
      <w:r>
        <w:rPr>
          <w:rFonts w:hint="eastAsia" w:cs="Times New Roman"/>
          <w:sz w:val="24"/>
          <w:highlight w:val="yellow"/>
          <w:u w:val="none"/>
          <w:lang w:val="en-GB" w:eastAsia="zh-CN"/>
        </w:rPr>
        <w:t>«[#elseif»</w:t>
      </w:r>
      <w:r>
        <w:rPr>
          <w:rFonts w:hint="eastAsia" w:cs="Times New Roman"/>
          <w:sz w:val="24"/>
          <w:highlight w:val="yellow"/>
          <w:u w:val="none"/>
          <w:lang w:val="en-GB" w:eastAsia="zh-CN"/>
        </w:rPr>
        <w:fldChar w:fldCharType="end"/>
      </w:r>
      <w:r>
        <w:rPr>
          <w:rFonts w:hint="eastAsia" w:cs="Times New Roman"/>
          <w:sz w:val="24"/>
          <w:u w:val="none"/>
          <w:lang w:val="en-US" w:eastAsia="zh-CN"/>
        </w:rPr>
        <w:t>及</w:t>
      </w:r>
      <w:r>
        <w:rPr>
          <w:rFonts w:hint="eastAsia" w:cs="Times New Roman"/>
          <w:sz w:val="24"/>
          <w:highlight w:val="yellow"/>
          <w:u w:val="none"/>
          <w:lang w:val="en-US" w:eastAsia="zh-CN"/>
        </w:rPr>
        <w:fldChar w:fldCharType="begin"/>
      </w:r>
      <w:r>
        <w:rPr>
          <w:rFonts w:hint="eastAsia" w:cs="Times New Roman"/>
          <w:sz w:val="24"/>
          <w:highlight w:val="yellow"/>
          <w:u w:val="none"/>
          <w:lang w:val="en-US" w:eastAsia="zh-CN"/>
        </w:rPr>
        <w:instrText xml:space="preserve"> MERGEFIELD [/#if] \* MERGEFORMAT </w:instrText>
      </w:r>
      <w:r>
        <w:rPr>
          <w:rFonts w:hint="eastAsia" w:cs="Times New Roman"/>
          <w:sz w:val="24"/>
          <w:highlight w:val="yellow"/>
          <w:u w:val="none"/>
          <w:lang w:val="en-US" w:eastAsia="zh-CN"/>
        </w:rPr>
        <w:fldChar w:fldCharType="separate"/>
      </w:r>
      <w:r>
        <w:rPr>
          <w:rFonts w:hint="eastAsia" w:cs="Times New Roman"/>
          <w:sz w:val="24"/>
          <w:highlight w:val="yellow"/>
          <w:u w:val="none"/>
          <w:lang w:val="en-US" w:eastAsia="zh-CN"/>
        </w:rPr>
        <w:t>«[/#if]»</w:t>
      </w:r>
      <w:r>
        <w:rPr>
          <w:rFonts w:hint="eastAsia" w:cs="Times New Roman"/>
          <w:sz w:val="24"/>
          <w:highlight w:val="yellow"/>
          <w:u w:val="none"/>
          <w:lang w:val="en-US" w:eastAsia="zh-CN"/>
        </w:rPr>
        <w:fldChar w:fldCharType="end"/>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[/#list]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«[/#list]»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[/#if]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«[/#if]»</w:t>
      </w:r>
      <w:r>
        <w:rPr>
          <w:rFonts w:hint="eastAsia" w:ascii="Times New Roman" w:hAnsi="Times New Roman" w:eastAsia="宋体" w:cs="Times New Roman"/>
          <w:sz w:val="24"/>
          <w:highlight w:val="yellow"/>
          <w:u w:val="none"/>
          <w:lang w:val="en-GB"/>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none"/>
          <w:lang w:val="en-GB"/>
        </w:rPr>
        <w:t>一方的</w:t>
      </w:r>
      <w:r>
        <w:rPr>
          <w:rFonts w:hint="eastAsia" w:ascii="Times New Roman" w:hAnsi="Times New Roman" w:eastAsia="宋体" w:cs="Times New Roman"/>
          <w:sz w:val="24"/>
          <w:u w:val="single"/>
          <w:lang w:val="en-GB"/>
        </w:rPr>
        <w:t>“子公司”</w:t>
      </w:r>
      <w:r>
        <w:rPr>
          <w:rFonts w:hint="eastAsia" w:ascii="Times New Roman" w:hAnsi="Times New Roman" w:eastAsia="宋体" w:cs="Times New Roman"/>
          <w:sz w:val="24"/>
          <w:u w:val="none"/>
          <w:lang w:val="en-GB"/>
        </w:rPr>
        <w:t>指任何公司或其他实体：</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701" w:leftChars="0" w:right="0" w:rightChars="0" w:hanging="901" w:firstLineChars="0"/>
        <w:jc w:val="both"/>
        <w:textAlignment w:val="auto"/>
        <w:outlineLvl w:val="9"/>
        <w:rPr>
          <w:rFonts w:ascii="Times New Roman" w:hAnsi="Times New Roman" w:eastAsia="宋体" w:cs="Times New Roman"/>
          <w:sz w:val="24"/>
          <w:lang w:val="en-GB"/>
        </w:rPr>
      </w:pPr>
      <w:r>
        <w:rPr>
          <w:rFonts w:hint="eastAsia" w:ascii="Times New Roman" w:hAnsi="Times New Roman" w:eastAsia="宋体" w:cs="Times New Roman"/>
          <w:sz w:val="24"/>
          <w:lang w:val="en-GB"/>
        </w:rPr>
        <w:t>其 (i) 百分之五十（50%）以上有权在董事（或履行类似职权的其他人）的选举中投票的股份或其他权益；或(ii) 百分之五十（50%）以上的利润或资本，由该方直接或（通过该方的一家或数家子公司）间接地拥有或控制，或由该方和该方的一家或数家子公司共同拥有或控制；或</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701" w:leftChars="0" w:right="0" w:rightChars="0" w:hanging="901"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其资产或部分资产依照中国会计准则与该方的净收益合并在一起并为财务报告之目的载入该方账册。</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val="en-GB"/>
        </w:rPr>
      </w:pPr>
      <w:r>
        <w:rPr>
          <w:rFonts w:hint="eastAsia" w:ascii="Times New Roman" w:hAnsi="Times New Roman" w:eastAsia="宋体" w:cs="Times New Roman"/>
          <w:sz w:val="24"/>
          <w:u w:val="none"/>
          <w:lang w:val="en-GB"/>
        </w:rPr>
        <w:t>一方的</w:t>
      </w:r>
      <w:r>
        <w:rPr>
          <w:rFonts w:hint="eastAsia" w:ascii="Times New Roman" w:hAnsi="Times New Roman" w:eastAsia="宋体" w:cs="Times New Roman"/>
          <w:sz w:val="24"/>
          <w:u w:val="single"/>
          <w:lang w:val="en-GB"/>
        </w:rPr>
        <w:t>“关联方”</w:t>
      </w:r>
      <w:r>
        <w:rPr>
          <w:rFonts w:hint="eastAsia" w:ascii="Times New Roman" w:hAnsi="Times New Roman" w:eastAsia="宋体" w:cs="Times New Roman"/>
          <w:sz w:val="24"/>
          <w:u w:val="none"/>
          <w:lang w:val="en-GB"/>
        </w:rPr>
        <w:t>，指除公司以外任何控制该方或被该方控制或与该方共同受其控制的任何公司、合伙企业、合资公司或者其他实体；若该方为个人，则指该方的任何直系亲属。当某个实体通过持有有表决权的证券、合同或其他形式而有能力直接或间接的领导或导致领导另一个实体的经营和政策时，即视为前者“</w:t>
      </w:r>
      <w:r>
        <w:rPr>
          <w:rFonts w:hint="eastAsia" w:ascii="Times New Roman" w:hAnsi="Times New Roman" w:eastAsia="宋体" w:cs="Times New Roman"/>
          <w:sz w:val="24"/>
          <w:u w:val="single"/>
          <w:lang w:val="en-GB"/>
        </w:rPr>
        <w:t>控制</w:t>
      </w:r>
      <w:r>
        <w:rPr>
          <w:rFonts w:hint="eastAsia" w:ascii="Times New Roman" w:hAnsi="Times New Roman" w:eastAsia="宋体" w:cs="Times New Roman"/>
          <w:sz w:val="24"/>
          <w:u w:val="none"/>
          <w:lang w:val="en-GB"/>
        </w:rPr>
        <w:t>”后者。</w:t>
      </w:r>
      <w:r>
        <w:rPr>
          <w:rFonts w:hint="eastAsia" w:ascii="Times New Roman" w:hAnsi="Times New Roman" w:eastAsia="宋体" w:cs="Times New Roman"/>
          <w:sz w:val="24"/>
          <w:u w:val="single"/>
          <w:lang w:val="en-GB"/>
        </w:rPr>
        <w:t>“直系亲属”</w:t>
      </w:r>
      <w:r>
        <w:rPr>
          <w:rFonts w:hint="eastAsia" w:ascii="Times New Roman" w:hAnsi="Times New Roman" w:eastAsia="宋体" w:cs="Times New Roman"/>
          <w:sz w:val="24"/>
          <w:u w:val="none"/>
          <w:lang w:val="en-GB"/>
        </w:rPr>
        <w:t>系指配偶、子女、父母、祖父母、外祖父母、兄弟姐妹。</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val="en-GB"/>
        </w:rPr>
      </w:pPr>
      <w:r>
        <w:rPr>
          <w:rFonts w:hint="eastAsia" w:ascii="Times New Roman" w:hAnsi="Times New Roman" w:eastAsia="宋体" w:cs="Times New Roman"/>
          <w:sz w:val="24"/>
          <w:u w:val="single"/>
          <w:lang w:val="en-GB"/>
        </w:rPr>
        <w:t>“控股子公司”</w:t>
      </w:r>
      <w:r>
        <w:rPr>
          <w:rFonts w:hint="eastAsia" w:ascii="Times New Roman" w:hAnsi="Times New Roman" w:eastAsia="宋体" w:cs="Times New Roman"/>
          <w:sz w:val="24"/>
          <w:u w:val="none"/>
          <w:lang w:val="en-GB"/>
        </w:rPr>
        <w:t>，指（i）公司拥有股权超过50%的子公司，或（ii）公司为持股最多的股东的公司。</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“增资协议”</w:t>
      </w:r>
      <w:r>
        <w:rPr>
          <w:rFonts w:hint="eastAsia" w:ascii="Times New Roman" w:hAnsi="Times New Roman" w:eastAsia="宋体" w:cs="Times New Roman"/>
          <w:sz w:val="24"/>
          <w:u w:val="none"/>
          <w:lang w:val="en-GB"/>
        </w:rPr>
        <w:t>，指由公司、本合同各方及其它相关方于2017年【 】月【 】日签订的《关于设立中外合资经营</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${agreement.jvObj.JVName}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«${agreement.jvObj.JVName}»</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之增资协议》。</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“本次投资”</w:t>
      </w:r>
      <w:r>
        <w:rPr>
          <w:rFonts w:hint="eastAsia" w:ascii="Times New Roman" w:hAnsi="Times New Roman" w:eastAsia="宋体" w:cs="Times New Roman"/>
          <w:sz w:val="24"/>
          <w:u w:val="none"/>
          <w:lang w:val="en-GB"/>
        </w:rPr>
        <w:t>，指本轮投资方（定义如下）按照增资协议</w:t>
      </w:r>
      <w:r>
        <w:rPr>
          <w:rFonts w:hint="eastAsia" w:ascii="Times New Roman" w:hAnsi="Times New Roman" w:eastAsia="宋体" w:cs="Times New Roman"/>
          <w:sz w:val="24"/>
          <w:u w:val="none"/>
          <w:lang w:val="en-GB" w:eastAsia="zh-CN"/>
        </w:rPr>
        <w:t>第一条第</w:t>
      </w:r>
      <w:r>
        <w:rPr>
          <w:rFonts w:hint="eastAsia" w:ascii="Times New Roman" w:hAnsi="Times New Roman" w:eastAsia="宋体" w:cs="Times New Roman"/>
          <w:sz w:val="24"/>
          <w:u w:val="none"/>
          <w:lang w:val="en-US" w:eastAsia="zh-CN"/>
        </w:rPr>
        <w:t>1项</w:t>
      </w:r>
      <w:r>
        <w:rPr>
          <w:rFonts w:hint="eastAsia" w:ascii="Times New Roman" w:hAnsi="Times New Roman" w:eastAsia="宋体" w:cs="Times New Roman"/>
          <w:sz w:val="24"/>
          <w:u w:val="none"/>
          <w:lang w:val="en-GB"/>
        </w:rPr>
        <w:t>确定的条款和条件由【本轮投资方】向公司进行的股权投资。</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“投资款”</w:t>
      </w:r>
      <w:r>
        <w:rPr>
          <w:rFonts w:hint="eastAsia" w:ascii="Times New Roman" w:hAnsi="Times New Roman" w:eastAsia="宋体" w:cs="Times New Roman"/>
          <w:sz w:val="24"/>
          <w:u w:val="none"/>
          <w:lang w:val="en-GB"/>
        </w:rPr>
        <w:t>，指投资方为取得公司股权实际所支付的金额。为避免疑问，本次投资完成后，各投资方的投资款如下表所示：</w:t>
      </w:r>
    </w:p>
    <w:tbl>
      <w:tblPr>
        <w:tblStyle w:val="21"/>
        <w:tblW w:w="9060"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7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2024" w:type="dxa"/>
            <w:shd w:val="clear" w:color="auto" w:fill="BFBFBF"/>
            <w:vAlign w:val="center"/>
          </w:tcPr>
          <w:p>
            <w:pPr>
              <w:snapToGrid w:val="0"/>
              <w:spacing w:before="120" w:beforeLines="50" w:after="120" w:afterLines="50" w:line="420" w:lineRule="atLeast"/>
              <w:jc w:val="center"/>
              <w:rPr>
                <w:rFonts w:ascii="Times New Roman" w:hAnsi="Times New Roman" w:eastAsia="宋体" w:cs="Times New Roman"/>
                <w:b/>
                <w:color w:val="000000"/>
                <w:sz w:val="24"/>
              </w:rPr>
            </w:pPr>
            <w:r>
              <w:rPr>
                <w:rFonts w:hint="eastAsia" w:ascii="Times New Roman" w:hAnsi="Times New Roman" w:eastAsia="宋体" w:cs="Times New Roman"/>
                <w:b/>
                <w:color w:val="000000"/>
                <w:sz w:val="24"/>
              </w:rPr>
              <w:t>投资方</w:t>
            </w:r>
            <w:r>
              <w:rPr>
                <w:rFonts w:ascii="Times New Roman" w:hAnsi="Times New Roman" w:eastAsia="宋体" w:cs="Times New Roman"/>
                <w:b/>
                <w:color w:val="000000"/>
                <w:sz w:val="24"/>
              </w:rPr>
              <w:t>名称</w:t>
            </w:r>
          </w:p>
        </w:tc>
        <w:tc>
          <w:tcPr>
            <w:tcW w:w="7036" w:type="dxa"/>
            <w:shd w:val="clear" w:color="auto" w:fill="BFBFBF"/>
            <w:vAlign w:val="center"/>
          </w:tcPr>
          <w:p>
            <w:pPr>
              <w:snapToGrid w:val="0"/>
              <w:spacing w:before="120" w:beforeLines="50" w:after="120" w:afterLines="50" w:line="420" w:lineRule="atLeast"/>
              <w:jc w:val="center"/>
              <w:rPr>
                <w:rFonts w:ascii="Times New Roman" w:hAnsi="Times New Roman" w:eastAsia="宋体" w:cs="Times New Roman"/>
                <w:b/>
                <w:color w:val="000000"/>
                <w:sz w:val="24"/>
              </w:rPr>
            </w:pPr>
            <w:r>
              <w:rPr>
                <w:rFonts w:hint="eastAsia" w:ascii="Times New Roman" w:hAnsi="Times New Roman" w:eastAsia="宋体" w:cs="Times New Roman"/>
                <w:b/>
                <w:color w:val="000000"/>
                <w:sz w:val="24"/>
              </w:rPr>
              <w:t>投资款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024" w:type="dxa"/>
            <w:shd w:val="clear" w:color="auto" w:fill="auto"/>
            <w:vAlign w:val="center"/>
          </w:tcPr>
          <w:p>
            <w:pPr>
              <w:snapToGrid w:val="0"/>
              <w:spacing w:before="120" w:beforeLines="50" w:after="120" w:afterLines="50" w:line="420" w:lineRule="atLeast"/>
              <w:jc w:val="center"/>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fldChar w:fldCharType="begin"/>
            </w:r>
            <w:r>
              <w:rPr>
                <w:rFonts w:hint="eastAsia" w:ascii="Times New Roman" w:hAnsi="Times New Roman" w:eastAsia="宋体" w:cs="Times New Roman"/>
                <w:color w:val="000000"/>
                <w:sz w:val="24"/>
                <w:szCs w:val="24"/>
              </w:rPr>
              <w:instrText xml:space="preserve"> MERGEFIELD @before-row[#list agreement.eiList as ei] \* MERGEFORMAT </w:instrText>
            </w:r>
            <w:r>
              <w:rPr>
                <w:rFonts w:hint="eastAsia" w:ascii="Times New Roman" w:hAnsi="Times New Roman" w:eastAsia="宋体" w:cs="Times New Roman"/>
                <w:color w:val="000000"/>
                <w:sz w:val="24"/>
                <w:szCs w:val="24"/>
              </w:rPr>
              <w:fldChar w:fldCharType="separate"/>
            </w:r>
            <w:r>
              <w:rPr>
                <w:rFonts w:hint="eastAsia" w:ascii="Times New Roman" w:hAnsi="Times New Roman" w:eastAsia="宋体" w:cs="Times New Roman"/>
                <w:color w:val="000000"/>
                <w:sz w:val="24"/>
                <w:szCs w:val="24"/>
              </w:rPr>
              <w:t>«@before-row[#list»</w:t>
            </w:r>
            <w:r>
              <w:rPr>
                <w:rFonts w:hint="eastAsia" w:ascii="Times New Roman" w:hAnsi="Times New Roman" w:eastAsia="宋体" w:cs="Times New Roman"/>
                <w:color w:val="000000"/>
                <w:sz w:val="24"/>
                <w:szCs w:val="24"/>
              </w:rPr>
              <w:fldChar w:fldCharType="end"/>
            </w:r>
            <w:r>
              <w:rPr>
                <w:rFonts w:hint="eastAsia" w:ascii="Times New Roman" w:hAnsi="Times New Roman" w:eastAsia="宋体" w:cs="Times New Roman"/>
                <w:color w:val="000000"/>
                <w:sz w:val="24"/>
                <w:szCs w:val="24"/>
              </w:rPr>
              <w:fldChar w:fldCharType="begin"/>
            </w:r>
            <w:r>
              <w:rPr>
                <w:rFonts w:hint="eastAsia" w:ascii="Times New Roman" w:hAnsi="Times New Roman" w:eastAsia="宋体" w:cs="Times New Roman"/>
                <w:color w:val="000000"/>
                <w:sz w:val="24"/>
                <w:szCs w:val="24"/>
              </w:rPr>
              <w:instrText xml:space="preserve"> MERGEFIELD ${ei["investorName"]} \* MERGEFORMAT </w:instrText>
            </w:r>
            <w:r>
              <w:rPr>
                <w:rFonts w:hint="eastAsia" w:ascii="Times New Roman" w:hAnsi="Times New Roman" w:eastAsia="宋体" w:cs="Times New Roman"/>
                <w:color w:val="000000"/>
                <w:sz w:val="24"/>
                <w:szCs w:val="24"/>
              </w:rPr>
              <w:fldChar w:fldCharType="separate"/>
            </w:r>
            <w:r>
              <w:rPr>
                <w:rFonts w:hint="eastAsia" w:ascii="Times New Roman" w:hAnsi="Times New Roman" w:eastAsia="宋体" w:cs="Times New Roman"/>
                <w:color w:val="000000"/>
                <w:sz w:val="24"/>
                <w:szCs w:val="24"/>
              </w:rPr>
              <w:t>«${ei[»</w:t>
            </w:r>
            <w:r>
              <w:rPr>
                <w:rFonts w:hint="eastAsia" w:ascii="Times New Roman" w:hAnsi="Times New Roman" w:eastAsia="宋体" w:cs="Times New Roman"/>
                <w:color w:val="000000"/>
                <w:sz w:val="24"/>
                <w:szCs w:val="24"/>
              </w:rPr>
              <w:fldChar w:fldCharType="end"/>
            </w:r>
            <w:r>
              <w:rPr>
                <w:rFonts w:hint="eastAsia" w:ascii="Times New Roman" w:hAnsi="Times New Roman" w:eastAsia="宋体" w:cs="Times New Roman"/>
                <w:color w:val="000000"/>
                <w:sz w:val="24"/>
                <w:szCs w:val="24"/>
              </w:rPr>
              <w:fldChar w:fldCharType="begin"/>
            </w:r>
            <w:r>
              <w:rPr>
                <w:rFonts w:hint="eastAsia" w:ascii="Times New Roman" w:hAnsi="Times New Roman" w:eastAsia="宋体" w:cs="Times New Roman"/>
                <w:color w:val="000000"/>
                <w:sz w:val="24"/>
                <w:szCs w:val="24"/>
              </w:rPr>
              <w:instrText xml:space="preserve"> MERGEFIELD @after-row[/#list] \* MERGEFORMAT </w:instrText>
            </w:r>
            <w:r>
              <w:rPr>
                <w:rFonts w:hint="eastAsia" w:ascii="Times New Roman" w:hAnsi="Times New Roman" w:eastAsia="宋体" w:cs="Times New Roman"/>
                <w:color w:val="000000"/>
                <w:sz w:val="24"/>
                <w:szCs w:val="24"/>
              </w:rPr>
              <w:fldChar w:fldCharType="separate"/>
            </w:r>
            <w:r>
              <w:rPr>
                <w:rFonts w:hint="eastAsia" w:ascii="Times New Roman" w:hAnsi="Times New Roman" w:eastAsia="宋体" w:cs="Times New Roman"/>
                <w:color w:val="000000"/>
                <w:sz w:val="24"/>
                <w:szCs w:val="24"/>
              </w:rPr>
              <w:t>«@after-row[/#list]»</w:t>
            </w:r>
            <w:r>
              <w:rPr>
                <w:rFonts w:hint="eastAsia" w:ascii="Times New Roman" w:hAnsi="Times New Roman" w:eastAsia="宋体" w:cs="Times New Roman"/>
                <w:color w:val="000000"/>
                <w:sz w:val="24"/>
                <w:szCs w:val="24"/>
              </w:rPr>
              <w:fldChar w:fldCharType="end"/>
            </w:r>
          </w:p>
        </w:tc>
        <w:tc>
          <w:tcPr>
            <w:tcW w:w="7036" w:type="dxa"/>
            <w:shd w:val="clear" w:color="auto" w:fill="auto"/>
            <w:vAlign w:val="center"/>
          </w:tcPr>
          <w:p>
            <w:pPr>
              <w:snapToGrid w:val="0"/>
              <w:spacing w:before="120" w:beforeLines="50" w:after="120" w:afterLines="50" w:line="420" w:lineRule="atLeast"/>
              <w:rPr>
                <w:rFonts w:ascii="Times New Roman" w:hAnsi="Times New Roman" w:eastAsia="宋体" w:cs="Times New Roman"/>
                <w:color w:val="000000"/>
                <w:sz w:val="24"/>
              </w:rPr>
            </w:pP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ei.investCurrency=="美元"]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等值于【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${ei["investmentAmount"]}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】元人民币的美元现汇（按实际付款日中国人民银行公布的人民币对美元的汇率中间价折算）（“</w:t>
            </w:r>
            <w:r>
              <w:rPr>
                <w:rFonts w:hint="eastAsia" w:ascii="Times New Roman" w:hAnsi="Times New Roman" w:eastAsia="宋体" w:cs="Times New Roman"/>
                <w:sz w:val="24"/>
                <w:szCs w:val="24"/>
                <w:u w:val="single"/>
              </w:rPr>
              <w:fldChar w:fldCharType="begin"/>
            </w:r>
            <w:r>
              <w:rPr>
                <w:rFonts w:hint="eastAsia" w:ascii="Times New Roman" w:hAnsi="Times New Roman" w:eastAsia="宋体" w:cs="Times New Roman"/>
                <w:sz w:val="24"/>
                <w:szCs w:val="24"/>
                <w:u w:val="single"/>
              </w:rPr>
              <w:instrText xml:space="preserve"> MERGEFIELD ${ei["investorNameAbbr"]} \* MERGEFORMAT </w:instrText>
            </w:r>
            <w:r>
              <w:rPr>
                <w:rFonts w:hint="eastAsia" w:ascii="Times New Roman" w:hAnsi="Times New Roman" w:eastAsia="宋体" w:cs="Times New Roman"/>
                <w:sz w:val="24"/>
                <w:szCs w:val="24"/>
                <w:u w:val="single"/>
              </w:rPr>
              <w:fldChar w:fldCharType="separate"/>
            </w:r>
            <w:r>
              <w:rPr>
                <w:rFonts w:hint="eastAsia" w:ascii="Times New Roman" w:hAnsi="Times New Roman" w:eastAsia="宋体" w:cs="Times New Roman"/>
                <w:sz w:val="24"/>
                <w:szCs w:val="24"/>
                <w:u w:val="single"/>
              </w:rPr>
              <w:t>«${ei[»</w:t>
            </w:r>
            <w:r>
              <w:rPr>
                <w:rFonts w:hint="eastAsia" w:ascii="Times New Roman" w:hAnsi="Times New Roman" w:eastAsia="宋体" w:cs="Times New Roman"/>
                <w:sz w:val="24"/>
                <w:szCs w:val="24"/>
                <w:u w:val="single"/>
              </w:rPr>
              <w:fldChar w:fldCharType="end"/>
            </w:r>
            <w:r>
              <w:rPr>
                <w:rFonts w:hint="eastAsia" w:ascii="Times New Roman" w:hAnsi="Times New Roman" w:eastAsia="宋体" w:cs="Times New Roman"/>
                <w:sz w:val="24"/>
                <w:szCs w:val="24"/>
                <w:u w:val="single"/>
              </w:rPr>
              <w:t>投资款</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[#else]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«[#else]»</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${ei["investmentAmount"]}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】元人民币（简称“</w:t>
            </w:r>
            <w:r>
              <w:rPr>
                <w:rFonts w:hint="eastAsia" w:ascii="Times New Roman" w:hAnsi="Times New Roman" w:eastAsia="宋体" w:cs="Times New Roman"/>
                <w:sz w:val="24"/>
                <w:szCs w:val="24"/>
                <w:u w:val="single"/>
              </w:rPr>
              <w:fldChar w:fldCharType="begin"/>
            </w:r>
            <w:r>
              <w:rPr>
                <w:rFonts w:hint="eastAsia" w:ascii="Times New Roman" w:hAnsi="Times New Roman" w:eastAsia="宋体" w:cs="Times New Roman"/>
                <w:sz w:val="24"/>
                <w:szCs w:val="24"/>
                <w:u w:val="single"/>
              </w:rPr>
              <w:instrText xml:space="preserve"> MERGEFIELD ${ei["investorNameAbbr"]} \* MERGEFORMAT </w:instrText>
            </w:r>
            <w:r>
              <w:rPr>
                <w:rFonts w:hint="eastAsia" w:ascii="Times New Roman" w:hAnsi="Times New Roman" w:eastAsia="宋体" w:cs="Times New Roman"/>
                <w:sz w:val="24"/>
                <w:szCs w:val="24"/>
                <w:u w:val="single"/>
              </w:rPr>
              <w:fldChar w:fldCharType="separate"/>
            </w:r>
            <w:r>
              <w:rPr>
                <w:rFonts w:hint="eastAsia" w:ascii="Times New Roman" w:hAnsi="Times New Roman" w:eastAsia="宋体" w:cs="Times New Roman"/>
                <w:sz w:val="24"/>
                <w:szCs w:val="24"/>
                <w:u w:val="single"/>
              </w:rPr>
              <w:t>«${ei[»</w:t>
            </w:r>
            <w:r>
              <w:rPr>
                <w:rFonts w:hint="eastAsia" w:ascii="Times New Roman" w:hAnsi="Times New Roman" w:eastAsia="宋体" w:cs="Times New Roman"/>
                <w:sz w:val="24"/>
                <w:szCs w:val="24"/>
                <w:u w:val="single"/>
              </w:rPr>
              <w:fldChar w:fldCharType="end"/>
            </w:r>
            <w:r>
              <w:rPr>
                <w:rFonts w:hint="eastAsia" w:ascii="Times New Roman" w:hAnsi="Times New Roman" w:eastAsia="宋体" w:cs="Times New Roman"/>
                <w:sz w:val="24"/>
                <w:szCs w:val="24"/>
                <w:u w:val="single"/>
              </w:rPr>
              <w:t>投资款</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024" w:type="dxa"/>
            <w:shd w:val="clear" w:color="auto" w:fill="auto"/>
            <w:vAlign w:val="center"/>
          </w:tcPr>
          <w:p>
            <w:pPr>
              <w:snapToGrid w:val="0"/>
              <w:spacing w:before="120" w:beforeLines="50" w:after="120" w:afterLines="50" w:line="420" w:lineRule="atLeast"/>
              <w:jc w:val="center"/>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w:t>
            </w:r>
          </w:p>
        </w:tc>
        <w:tc>
          <w:tcPr>
            <w:tcW w:w="7036" w:type="dxa"/>
            <w:shd w:val="clear" w:color="auto" w:fill="auto"/>
            <w:vAlign w:val="center"/>
          </w:tcPr>
          <w:p>
            <w:pPr>
              <w:snapToGrid w:val="0"/>
              <w:spacing w:before="120" w:beforeLines="50" w:after="120" w:afterLines="50" w:line="420" w:lineRule="atLeast"/>
              <w:rPr>
                <w:rFonts w:ascii="Times New Roman" w:hAnsi="Times New Roman" w:eastAsia="宋体" w:cs="Times New Roman"/>
                <w:sz w:val="24"/>
              </w:rPr>
            </w:pPr>
            <w:commentRangeStart w:id="0"/>
            <w:r>
              <w:rPr>
                <w:rFonts w:hint="eastAsia" w:ascii="Times New Roman" w:hAnsi="Times New Roman" w:eastAsia="宋体" w:cs="Times New Roman"/>
                <w:sz w:val="24"/>
              </w:rPr>
              <w:t>其作为【天使轮投资方/A轮投资方/其他】，投资款为</w:t>
            </w:r>
            <w:r>
              <w:rPr>
                <w:rFonts w:hint="eastAsia" w:ascii="Times New Roman" w:hAnsi="Times New Roman" w:eastAsia="宋体" w:cs="Times New Roman"/>
                <w:sz w:val="24"/>
                <w:szCs w:val="24"/>
              </w:rPr>
              <w:t>等值于【】元人民币的美元现汇（按实际付款日中国人民银行公布的人民币对美元的汇率中间价折算）（“</w:t>
            </w:r>
            <w:r>
              <w:rPr>
                <w:rFonts w:hint="eastAsia" w:ascii="Times New Roman" w:hAnsi="Times New Roman" w:eastAsia="宋体" w:cs="Times New Roman"/>
                <w:sz w:val="24"/>
                <w:szCs w:val="24"/>
                <w:u w:val="single"/>
              </w:rPr>
              <w:t>【本轮投资方简称】投资款</w:t>
            </w:r>
            <w:r>
              <w:rPr>
                <w:rFonts w:hint="eastAsia" w:ascii="Times New Roman" w:hAnsi="Times New Roman" w:eastAsia="宋体" w:cs="Times New Roman"/>
                <w:sz w:val="24"/>
                <w:szCs w:val="24"/>
              </w:rPr>
              <w:t>”）/【】元人民币（简称“【</w:t>
            </w:r>
            <w:r>
              <w:rPr>
                <w:rFonts w:hint="eastAsia" w:ascii="Times New Roman" w:hAnsi="Times New Roman" w:eastAsia="宋体" w:cs="Times New Roman"/>
                <w:sz w:val="24"/>
                <w:szCs w:val="24"/>
                <w:u w:val="single"/>
              </w:rPr>
              <w:t>本轮投资方简称】投资款</w:t>
            </w:r>
            <w:r>
              <w:rPr>
                <w:rFonts w:hint="eastAsia" w:ascii="Times New Roman" w:hAnsi="Times New Roman" w:eastAsia="宋体" w:cs="Times New Roman"/>
                <w:sz w:val="24"/>
                <w:szCs w:val="24"/>
              </w:rPr>
              <w:t>”）</w:t>
            </w:r>
            <w:r>
              <w:rPr>
                <w:rFonts w:hint="eastAsia" w:ascii="Times New Roman" w:hAnsi="Times New Roman" w:eastAsia="宋体" w:cs="Times New Roman"/>
                <w:sz w:val="24"/>
              </w:rPr>
              <w:t>（“【</w:t>
            </w:r>
            <w:r>
              <w:rPr>
                <w:rFonts w:hint="eastAsia" w:ascii="Times New Roman" w:hAnsi="Times New Roman" w:eastAsia="宋体" w:cs="Times New Roman"/>
                <w:sz w:val="24"/>
                <w:u w:val="single"/>
              </w:rPr>
              <w:t>天使轮/A轮/其他】投资款</w:t>
            </w:r>
            <w:r>
              <w:rPr>
                <w:rFonts w:hint="eastAsia" w:ascii="Times New Roman" w:hAnsi="Times New Roman" w:eastAsia="宋体" w:cs="Times New Roman"/>
                <w:sz w:val="24"/>
              </w:rPr>
              <w:t>”）；其作为本轮投资方，投资款为</w:t>
            </w:r>
            <w:r>
              <w:rPr>
                <w:rFonts w:hint="eastAsia" w:ascii="Times New Roman" w:hAnsi="Times New Roman" w:eastAsia="宋体" w:cs="Times New Roman"/>
                <w:sz w:val="24"/>
                <w:szCs w:val="24"/>
              </w:rPr>
              <w:t>等值于【】元人民币的美元现汇（按实际付款日中国人民银行公布的人民币对美元的汇率中间价折算）（“</w:t>
            </w:r>
            <w:r>
              <w:rPr>
                <w:rFonts w:hint="eastAsia" w:ascii="Times New Roman" w:hAnsi="Times New Roman" w:eastAsia="宋体" w:cs="Times New Roman"/>
                <w:sz w:val="24"/>
                <w:szCs w:val="24"/>
                <w:u w:val="single"/>
              </w:rPr>
              <w:t>【本轮投资方简称】投资款</w:t>
            </w:r>
            <w:r>
              <w:rPr>
                <w:rFonts w:hint="eastAsia" w:ascii="Times New Roman" w:hAnsi="Times New Roman" w:eastAsia="宋体" w:cs="Times New Roman"/>
                <w:sz w:val="24"/>
                <w:szCs w:val="24"/>
              </w:rPr>
              <w:t>”）/【】元人民币（简称“【</w:t>
            </w:r>
            <w:r>
              <w:rPr>
                <w:rFonts w:hint="eastAsia" w:ascii="Times New Roman" w:hAnsi="Times New Roman" w:eastAsia="宋体" w:cs="Times New Roman"/>
                <w:sz w:val="24"/>
                <w:szCs w:val="24"/>
                <w:u w:val="single"/>
              </w:rPr>
              <w:t>本轮投资方简称】投资款</w:t>
            </w:r>
            <w:r>
              <w:rPr>
                <w:rFonts w:hint="eastAsia" w:ascii="Times New Roman" w:hAnsi="Times New Roman" w:eastAsia="宋体" w:cs="Times New Roman"/>
                <w:sz w:val="24"/>
                <w:szCs w:val="24"/>
              </w:rPr>
              <w:t>”）</w:t>
            </w:r>
            <w:r>
              <w:rPr>
                <w:rFonts w:hint="eastAsia" w:ascii="Times New Roman" w:hAnsi="Times New Roman" w:eastAsia="宋体" w:cs="Times New Roman"/>
                <w:sz w:val="24"/>
              </w:rPr>
              <w:t>（“【】</w:t>
            </w:r>
            <w:r>
              <w:rPr>
                <w:rFonts w:hint="eastAsia" w:ascii="Times New Roman" w:hAnsi="Times New Roman" w:eastAsia="宋体" w:cs="Times New Roman"/>
                <w:sz w:val="24"/>
                <w:u w:val="single"/>
              </w:rPr>
              <w:t>本轮投资款</w:t>
            </w:r>
            <w:r>
              <w:rPr>
                <w:rFonts w:hint="eastAsia" w:ascii="Times New Roman" w:hAnsi="Times New Roman" w:eastAsia="宋体" w:cs="Times New Roman"/>
                <w:sz w:val="24"/>
              </w:rPr>
              <w:t>”）</w:t>
            </w:r>
            <w:commentRangeEnd w:id="0"/>
            <w:r>
              <w:rPr>
                <w:rFonts w:ascii="Times New Roman" w:hAnsi="Times New Roman" w:eastAsia="宋体" w:cs="Times New Roman"/>
              </w:rPr>
              <w:commentReference w:id="0"/>
            </w:r>
          </w:p>
          <w:p>
            <w:pPr>
              <w:snapToGrid w:val="0"/>
              <w:spacing w:before="120" w:beforeLines="50" w:after="120" w:afterLines="50" w:line="420" w:lineRule="atLeast"/>
              <w:rPr>
                <w:rFonts w:ascii="Times New Roman" w:hAnsi="Times New Roman" w:eastAsia="宋体" w:cs="Times New Roman"/>
                <w:sz w:val="24"/>
              </w:rPr>
            </w:pPr>
          </w:p>
        </w:tc>
      </w:tr>
    </w:tbl>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“公司章程”</w:t>
      </w:r>
      <w:r>
        <w:rPr>
          <w:rFonts w:hint="eastAsia" w:ascii="Times New Roman" w:hAnsi="Times New Roman" w:eastAsia="宋体" w:cs="Times New Roman"/>
          <w:sz w:val="24"/>
          <w:u w:val="none"/>
          <w:lang w:val="en-GB"/>
        </w:rPr>
        <w:t>，指于本合同签订之日由各方同时签订并在此后不时修订的公司的章程。</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“交割日”</w:t>
      </w:r>
      <w:r>
        <w:rPr>
          <w:rFonts w:hint="eastAsia" w:ascii="Times New Roman" w:hAnsi="Times New Roman" w:eastAsia="宋体" w:cs="Times New Roman"/>
          <w:sz w:val="24"/>
          <w:u w:val="none"/>
          <w:lang w:val="en-GB"/>
        </w:rPr>
        <w:t>，指增资协议项下的交割日。</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“美元”或“$”</w:t>
      </w:r>
      <w:r>
        <w:rPr>
          <w:rFonts w:hint="eastAsia" w:ascii="Times New Roman" w:hAnsi="Times New Roman" w:eastAsia="宋体" w:cs="Times New Roman"/>
          <w:sz w:val="24"/>
          <w:u w:val="none"/>
          <w:lang w:val="en-GB"/>
        </w:rPr>
        <w:t>，指美国法定货币。</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“董事会”</w:t>
      </w:r>
      <w:r>
        <w:rPr>
          <w:rFonts w:hint="eastAsia" w:ascii="Times New Roman" w:hAnsi="Times New Roman" w:eastAsia="宋体" w:cs="Times New Roman"/>
          <w:sz w:val="24"/>
          <w:u w:val="none"/>
          <w:lang w:val="en-GB"/>
        </w:rPr>
        <w:t>，指公司董事会。</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“董事”</w:t>
      </w:r>
      <w:r>
        <w:rPr>
          <w:rFonts w:hint="eastAsia" w:ascii="Times New Roman" w:hAnsi="Times New Roman" w:eastAsia="宋体" w:cs="Times New Roman"/>
          <w:sz w:val="24"/>
          <w:u w:val="none"/>
          <w:lang w:val="en-GB"/>
        </w:rPr>
        <w:t>，指董事会成员。</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“营业执照”</w:t>
      </w:r>
      <w:r>
        <w:rPr>
          <w:rFonts w:hint="eastAsia" w:ascii="Times New Roman" w:hAnsi="Times New Roman" w:eastAsia="宋体" w:cs="Times New Roman"/>
          <w:sz w:val="24"/>
          <w:u w:val="none"/>
          <w:lang w:val="en-GB"/>
        </w:rPr>
        <w:t>，指营业注册机关向公司颁发的企业法人营业执照。</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“营业注册机关”</w:t>
      </w:r>
      <w:r>
        <w:rPr>
          <w:rFonts w:hint="eastAsia" w:ascii="Times New Roman" w:hAnsi="Times New Roman" w:eastAsia="宋体" w:cs="Times New Roman"/>
          <w:sz w:val="24"/>
          <w:u w:val="none"/>
          <w:lang w:val="en-GB"/>
        </w:rPr>
        <w:t>，指对公司登记享有管辖权的工商行政管理局或其继任者。</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“中国”</w:t>
      </w:r>
      <w:r>
        <w:rPr>
          <w:rFonts w:hint="eastAsia" w:ascii="Times New Roman" w:hAnsi="Times New Roman" w:eastAsia="宋体" w:cs="Times New Roman"/>
          <w:sz w:val="24"/>
          <w:u w:val="none"/>
          <w:lang w:val="en-GB"/>
        </w:rPr>
        <w:t>，指中华人民共和国。</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“首次公开发行”</w:t>
      </w:r>
      <w:r>
        <w:rPr>
          <w:rFonts w:hint="eastAsia" w:ascii="Times New Roman" w:hAnsi="Times New Roman" w:eastAsia="宋体" w:cs="Times New Roman"/>
          <w:sz w:val="24"/>
          <w:u w:val="none"/>
          <w:lang w:val="en-GB"/>
        </w:rPr>
        <w:t>，是指公司的股票在经公司董事会批准（其中应包含投资方董事同意）的中国或其他国家、地区的证券交易所公开上市发行，且公司首次公开发行股票上市时的价值应不低于【</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${agreement["initialPublicOfferingObj"].listingValue}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«${agreement[»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】亿美金且融资金额不少于【</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${agreement["initialPublicOfferingObj"].financingAmount}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«${agreement[»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】万美金；除有关法律、行政法规、中国证券监督管理委员会（“</w:t>
      </w:r>
      <w:r>
        <w:rPr>
          <w:rFonts w:hint="eastAsia" w:ascii="Times New Roman" w:hAnsi="Times New Roman" w:eastAsia="宋体" w:cs="Times New Roman"/>
          <w:sz w:val="24"/>
          <w:u w:val="single"/>
          <w:lang w:val="en-GB"/>
        </w:rPr>
        <w:t>中国证监会</w:t>
      </w:r>
      <w:r>
        <w:rPr>
          <w:rFonts w:hint="eastAsia" w:ascii="Times New Roman" w:hAnsi="Times New Roman" w:eastAsia="宋体" w:cs="Times New Roman"/>
          <w:sz w:val="24"/>
          <w:u w:val="none"/>
          <w:lang w:val="en-GB"/>
        </w:rPr>
        <w:t>”）规章或证券交易所股票上市规则规定的禁售期或限售期除外，投资方持有的公司股份在公司首次公开发行后不受其他流通限制。</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“不可抗力事件”</w:t>
      </w:r>
      <w:r>
        <w:rPr>
          <w:rFonts w:hint="eastAsia" w:ascii="Times New Roman" w:hAnsi="Times New Roman" w:eastAsia="宋体" w:cs="Times New Roman"/>
          <w:sz w:val="24"/>
          <w:u w:val="none"/>
          <w:lang w:val="en-GB"/>
        </w:rPr>
        <w:t>，指本合同签订后发生的非一方所能控制的、导致任何一方或公司无法全部或部分履行本合同的任何不可预见或不可避免的事件或情况，包括但不限于：火灾、风暴、台风、水灾、地震、爆炸、战争以及严重的罢工或怠工。</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“审批机关”</w:t>
      </w:r>
      <w:r>
        <w:rPr>
          <w:rFonts w:hint="eastAsia" w:ascii="Times New Roman" w:hAnsi="Times New Roman" w:eastAsia="宋体" w:cs="Times New Roman"/>
          <w:sz w:val="24"/>
          <w:u w:val="none"/>
          <w:lang w:val="en-GB"/>
        </w:rPr>
        <w:t>，指对本合同及本合同规定的相关事项有管辖权的政府主管部门或其继任者或法律要求本合同中有关事项必须取得其批准或备案的其他政府部门。</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“合资期限”</w:t>
      </w:r>
      <w:r>
        <w:rPr>
          <w:rFonts w:hint="eastAsia" w:ascii="Times New Roman" w:hAnsi="Times New Roman" w:eastAsia="宋体" w:cs="Times New Roman"/>
          <w:sz w:val="24"/>
          <w:u w:val="none"/>
          <w:lang w:val="en-GB"/>
        </w:rPr>
        <w:t>，指本合同【第24.1条】规定的公司经营期限。</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“各方”</w:t>
      </w:r>
      <w:r>
        <w:rPr>
          <w:rFonts w:hint="eastAsia" w:ascii="Times New Roman" w:hAnsi="Times New Roman" w:eastAsia="宋体" w:cs="Times New Roman"/>
          <w:sz w:val="24"/>
          <w:u w:val="none"/>
          <w:lang w:val="en-GB"/>
        </w:rPr>
        <w:t>，指本合同中甲方、乙方及丙方的总称，“</w:t>
      </w:r>
      <w:r>
        <w:rPr>
          <w:rFonts w:hint="eastAsia" w:ascii="Times New Roman" w:hAnsi="Times New Roman" w:eastAsia="宋体" w:cs="Times New Roman"/>
          <w:sz w:val="24"/>
          <w:u w:val="single"/>
          <w:lang w:val="en-GB"/>
        </w:rPr>
        <w:t>一方</w:t>
      </w:r>
      <w:r>
        <w:rPr>
          <w:rFonts w:hint="eastAsia" w:ascii="Times New Roman" w:hAnsi="Times New Roman" w:eastAsia="宋体" w:cs="Times New Roman"/>
          <w:sz w:val="24"/>
          <w:u w:val="none"/>
          <w:lang w:val="en-GB"/>
        </w:rPr>
        <w:t>”指本合同各方中的任何一方。</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[#list agreement.shareholderList as aa]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«[#list»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aa.shareholdersType=="天使投资人"]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“天使轮投资方”</w:t>
      </w:r>
      <w:r>
        <w:rPr>
          <w:rFonts w:hint="eastAsia" w:ascii="Times New Roman" w:hAnsi="Times New Roman" w:eastAsia="宋体" w:cs="Times New Roman"/>
          <w:sz w:val="24"/>
          <w:u w:val="none"/>
          <w:lang w:val="en-GB"/>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aa.shareholdersList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lt(aa.shareholdersList?size-2)]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==(aa.shareholdersList?size-2)]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lang w:val="en-GB"/>
        </w:rPr>
        <w:t>。</w:t>
      </w:r>
      <w:commentRangeStart w:id="1"/>
      <w:r>
        <w:rPr>
          <w:rFonts w:hint="eastAsia" w:ascii="Times New Roman" w:hAnsi="Times New Roman" w:eastAsia="宋体" w:cs="Times New Roman"/>
          <w:sz w:val="24"/>
          <w:u w:val="none"/>
          <w:lang w:val="en-GB"/>
        </w:rPr>
        <w:t>为避免歧义，【】以【其投入的天使轮投资款简称】为限被视为天使轮投资方并享有本合同项下相应的天使轮投资方权利。</w:t>
      </w:r>
      <w:commentRangeEnd w:id="1"/>
      <w:r>
        <w:rPr>
          <w:rFonts w:hint="eastAsia" w:ascii="Times New Roman" w:hAnsi="Times New Roman" w:eastAsia="宋体" w:cs="Times New Roman"/>
          <w:sz w:val="24"/>
          <w:u w:val="single"/>
          <w:lang w:val="en-GB"/>
        </w:rPr>
        <w:commentReference w:id="1"/>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agreement.shareholderList as aa]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aa.shareholdersType=="A轮投资人"]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“A轮投资方”</w:t>
      </w:r>
      <w:r>
        <w:rPr>
          <w:rFonts w:hint="eastAsia" w:ascii="Times New Roman" w:hAnsi="Times New Roman" w:eastAsia="宋体" w:cs="Times New Roman"/>
          <w:sz w:val="24"/>
          <w:u w:val="none"/>
          <w:lang w:val="en-GB"/>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aa.shareholdersList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lt(aa.shareholdersList?size-2)]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==(aa.shareholdersList?size-2)]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lang w:val="en-GB"/>
        </w:rPr>
        <w:t>。</w:t>
      </w:r>
      <w:commentRangeStart w:id="2"/>
      <w:r>
        <w:rPr>
          <w:rFonts w:hint="eastAsia" w:ascii="Times New Roman" w:hAnsi="Times New Roman" w:eastAsia="宋体" w:cs="Times New Roman"/>
          <w:sz w:val="24"/>
          <w:u w:val="none"/>
          <w:lang w:val="en-GB"/>
        </w:rPr>
        <w:t>【为避免歧义，【】以【其投入的A轮投资款简称】为限被视为A轮投资方并享有本合同项下相应的A轮投资方权利。】</w:t>
      </w:r>
      <w:commentRangeEnd w:id="2"/>
      <w:r>
        <w:rPr>
          <w:rFonts w:hint="eastAsia" w:ascii="Times New Roman" w:hAnsi="Times New Roman" w:eastAsia="宋体" w:cs="Times New Roman"/>
          <w:sz w:val="24"/>
          <w:u w:val="single"/>
          <w:lang w:val="en-GB"/>
        </w:rPr>
        <w:commentReference w:id="2"/>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“本轮投资方”</w:t>
      </w:r>
      <w:r>
        <w:rPr>
          <w:rFonts w:hint="eastAsia" w:ascii="Times New Roman" w:hAnsi="Times New Roman" w:eastAsia="宋体" w:cs="Times New Roman"/>
          <w:sz w:val="24"/>
          <w:u w:val="none"/>
          <w:lang w:val="en-GB"/>
        </w:rPr>
        <w:t>，指本合同中的乙方。</w:t>
      </w:r>
      <w:commentRangeStart w:id="3"/>
      <w:r>
        <w:rPr>
          <w:rFonts w:hint="eastAsia" w:ascii="Times New Roman" w:hAnsi="Times New Roman" w:eastAsia="宋体" w:cs="Times New Roman"/>
          <w:sz w:val="24"/>
          <w:u w:val="none"/>
          <w:lang w:val="en-GB"/>
        </w:rPr>
        <w:t>【为避免歧义，【】仅以【】本轮投资款为限被视为本轮投资方并享有本合同项下相应的本轮投资方权利。】</w:t>
      </w:r>
      <w:commentRangeEnd w:id="3"/>
      <w:r>
        <w:rPr>
          <w:rFonts w:hint="eastAsia" w:ascii="Times New Roman" w:hAnsi="Times New Roman" w:eastAsia="宋体" w:cs="Times New Roman"/>
          <w:sz w:val="24"/>
          <w:u w:val="none"/>
          <w:lang w:val="en-GB"/>
        </w:rPr>
        <w:commentReference w:id="3"/>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“投资方”</w:t>
      </w:r>
      <w:r>
        <w:rPr>
          <w:rFonts w:hint="eastAsia" w:ascii="Times New Roman" w:hAnsi="Times New Roman" w:eastAsia="宋体" w:cs="Times New Roman"/>
          <w:sz w:val="24"/>
          <w:u w:val="none"/>
          <w:lang w:val="en-GB"/>
        </w:rPr>
        <w:t>，指本合同中【天使轮投资方】、【A轮投资方】、【其他】与本轮投资方的总称。</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“多数投资方”</w:t>
      </w:r>
      <w:r>
        <w:rPr>
          <w:rFonts w:hint="eastAsia" w:ascii="Times New Roman" w:hAnsi="Times New Roman" w:eastAsia="宋体" w:cs="Times New Roman"/>
          <w:sz w:val="24"/>
          <w:u w:val="none"/>
          <w:lang w:val="en-GB"/>
        </w:rPr>
        <w:t>，指合计或单独持有的股权在公司届时全部投资方持有的股权中超过【50%】以上的投资方。</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agreement.jvObj.currentShareholders?size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“现有股东”</w:t>
      </w:r>
      <w:r>
        <w:rPr>
          <w:rFonts w:hint="eastAsia" w:ascii="Times New Roman" w:hAnsi="Times New Roman" w:eastAsia="宋体" w:cs="Times New Roman"/>
          <w:sz w:val="24"/>
          <w:u w:val="none"/>
          <w:lang w:val="en-GB"/>
        </w:rPr>
        <w:t>，指</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agreement.jvObj.currentShareholders as holder]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${holder}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«${holder}»</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holder_index lt(agreement.jvObj.currentShareholders?size-2)]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[#elseif holder_index ==(agreement.jvObj.currentShareholders?size-2)]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“人民币”</w:t>
      </w:r>
      <w:r>
        <w:rPr>
          <w:rFonts w:hint="eastAsia" w:ascii="Times New Roman" w:hAnsi="Times New Roman" w:eastAsia="宋体" w:cs="Times New Roman"/>
          <w:sz w:val="24"/>
          <w:u w:val="none"/>
          <w:lang w:val="en-GB"/>
        </w:rPr>
        <w:t>，指中国法定货币。</w:t>
      </w:r>
    </w:p>
    <w:p>
      <w:pPr>
        <w:snapToGrid w:val="0"/>
        <w:spacing w:line="420" w:lineRule="atLeast"/>
        <w:rPr>
          <w:rFonts w:ascii="Times New Roman" w:hAnsi="Times New Roman" w:eastAsia="宋体" w:cs="Times New Roman"/>
          <w:sz w:val="24"/>
          <w:u w:val="single"/>
        </w:rPr>
      </w:pPr>
    </w:p>
    <w:p>
      <w:pPr>
        <w:pStyle w:val="4"/>
        <w:numPr>
          <w:ilvl w:val="0"/>
          <w:numId w:val="1"/>
        </w:numPr>
        <w:tabs>
          <w:tab w:val="left" w:pos="900"/>
        </w:tabs>
        <w:spacing w:line="420" w:lineRule="atLeast"/>
        <w:ind w:left="425" w:leftChars="0" w:right="-108" w:rightChars="0" w:hanging="425" w:firstLineChars="0"/>
        <w:jc w:val="center"/>
        <w:rPr>
          <w:rFonts w:hint="eastAsia"/>
          <w:b/>
          <w:bCs w:val="0"/>
        </w:rPr>
      </w:pPr>
      <w:bookmarkStart w:id="14" w:name="_Toc332999830"/>
      <w:r>
        <w:rPr>
          <w:rFonts w:hint="eastAsia" w:ascii="Times New Roman" w:hAnsi="Times New Roman" w:eastAsia="宋体" w:cs="Times New Roman"/>
          <w:b/>
          <w:bCs w:val="0"/>
          <w:sz w:val="24"/>
          <w:szCs w:val="22"/>
        </w:rPr>
        <w:t>公司各方</w:t>
      </w:r>
      <w:bookmarkEnd w:id="14"/>
    </w:p>
    <w:p>
      <w:pPr>
        <w:keepNext w:val="0"/>
        <w:keepLines w:val="0"/>
        <w:pageBreakBefore w:val="0"/>
        <w:widowControl w:val="0"/>
        <w:numPr>
          <w:ilvl w:val="1"/>
          <w:numId w:val="1"/>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lang w:val="en-GB"/>
        </w:rPr>
        <w:t>各方</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rPr>
        <w:t>本合同各方为：</w:t>
      </w:r>
    </w:p>
    <w:tbl>
      <w:tblPr>
        <w:tblStyle w:val="21"/>
        <w:tblW w:w="9015" w:type="dxa"/>
        <w:tblInd w:w="143" w:type="dxa"/>
        <w:tblLayout w:type="fixed"/>
        <w:tblCellMar>
          <w:top w:w="0" w:type="dxa"/>
          <w:left w:w="108" w:type="dxa"/>
          <w:bottom w:w="0" w:type="dxa"/>
          <w:right w:w="108" w:type="dxa"/>
        </w:tblCellMar>
      </w:tblPr>
      <w:tblGrid>
        <w:gridCol w:w="1241"/>
        <w:gridCol w:w="6095"/>
        <w:gridCol w:w="1679"/>
      </w:tblGrid>
      <w:tr>
        <w:tblPrEx>
          <w:tblLayout w:type="fixed"/>
        </w:tblPrEx>
        <w:tc>
          <w:tcPr>
            <w:tcW w:w="7336" w:type="dxa"/>
            <w:gridSpan w:val="2"/>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b/>
                <w:sz w:val="24"/>
              </w:rPr>
              <w:t>甲方：</w:t>
            </w:r>
          </w:p>
        </w:tc>
        <w:tc>
          <w:tcPr>
            <w:tcW w:w="1679" w:type="dxa"/>
          </w:tcPr>
          <w:p>
            <w:pPr>
              <w:spacing w:before="156" w:after="10" w:line="420" w:lineRule="atLeast"/>
              <w:ind w:right="-108"/>
              <w:jc w:val="left"/>
              <w:rPr>
                <w:rFonts w:ascii="Times New Roman" w:hAnsi="Times New Roman" w:eastAsia="宋体" w:cs="Times New Roman"/>
                <w:sz w:val="24"/>
              </w:rPr>
            </w:pPr>
          </w:p>
        </w:tc>
      </w:tr>
      <w:tr>
        <w:tblPrEx>
          <w:tblLayout w:type="fixed"/>
          <w:tblCellMar>
            <w:top w:w="0" w:type="dxa"/>
            <w:left w:w="108" w:type="dxa"/>
            <w:bottom w:w="0" w:type="dxa"/>
            <w:right w:w="108" w:type="dxa"/>
          </w:tblCellMar>
        </w:tblPrEx>
        <w:tc>
          <w:tcPr>
            <w:tcW w:w="7336" w:type="dxa"/>
            <w:gridSpan w:val="2"/>
          </w:tcPr>
          <w:p>
            <w:pPr>
              <w:spacing w:before="156" w:after="10" w:line="420" w:lineRule="atLeast"/>
              <w:ind w:right="-108"/>
              <w:jc w:val="left"/>
              <w:rPr>
                <w:rFonts w:hint="eastAsia" w:ascii="Times New Roman" w:hAnsi="Times New Roman" w:eastAsia="宋体" w:cs="Times New Roman"/>
                <w:b/>
                <w:sz w:val="24"/>
                <w:szCs w:val="48"/>
              </w:rPr>
            </w:pP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@before-row[#list agreement.founderList as founder]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«@before-row[#list»</w:t>
            </w:r>
            <w:r>
              <w:rPr>
                <w:rFonts w:hint="eastAsia" w:ascii="Times New Roman" w:hAnsi="Times New Roman" w:eastAsia="宋体" w:cs="Times New Roman"/>
                <w:b/>
                <w:sz w:val="24"/>
                <w:szCs w:val="48"/>
              </w:rPr>
              <w:fldChar w:fldCharType="end"/>
            </w: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${founder["shareholderName"]}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«${founder[»</w:t>
            </w:r>
            <w:r>
              <w:rPr>
                <w:rFonts w:hint="eastAsia" w:ascii="Times New Roman" w:hAnsi="Times New Roman" w:eastAsia="宋体" w:cs="Times New Roman"/>
                <w:b/>
                <w:sz w:val="24"/>
                <w:szCs w:val="48"/>
              </w:rPr>
              <w:fldChar w:fldCharType="end"/>
            </w:r>
          </w:p>
        </w:tc>
        <w:tc>
          <w:tcPr>
            <w:tcW w:w="1679" w:type="dxa"/>
          </w:tcPr>
          <w:p>
            <w:pPr>
              <w:spacing w:before="156" w:after="10" w:line="420" w:lineRule="atLeast"/>
              <w:ind w:right="-108"/>
              <w:jc w:val="left"/>
              <w:rPr>
                <w:rFonts w:ascii="Times New Roman" w:hAnsi="Times New Roman" w:eastAsia="宋体" w:cs="Times New Roman"/>
                <w:sz w:val="24"/>
              </w:rPr>
            </w:pPr>
          </w:p>
        </w:tc>
      </w:tr>
      <w:tr>
        <w:tblPrEx>
          <w:tblLayout w:type="fixed"/>
          <w:tblCellMar>
            <w:top w:w="0" w:type="dxa"/>
            <w:left w:w="108" w:type="dxa"/>
            <w:bottom w:w="0" w:type="dxa"/>
            <w:right w:w="108" w:type="dxa"/>
          </w:tblCellMar>
        </w:tblPrEx>
        <w:trPr>
          <w:trHeight w:val="398" w:hRule="atLeast"/>
        </w:trPr>
        <w:tc>
          <w:tcPr>
            <w:tcW w:w="1241" w:type="dxa"/>
          </w:tcPr>
          <w:p>
            <w:pPr>
              <w:spacing w:before="156" w:after="10" w:line="420" w:lineRule="atLeast"/>
              <w:ind w:right="-108"/>
              <w:jc w:val="left"/>
              <w:rPr>
                <w:rFonts w:ascii="Times New Roman" w:hAnsi="Times New Roman" w:eastAsia="宋体" w:cs="Times New Roman"/>
                <w:sz w:val="24"/>
              </w:rPr>
            </w:pPr>
          </w:p>
        </w:tc>
        <w:tc>
          <w:tcPr>
            <w:tcW w:w="6095"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${founder["shareholderIDType"]}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«${founder[»</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号码：</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${founder["shareholderIDNumber"]}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«${founder[»</w:t>
            </w:r>
            <w:r>
              <w:rPr>
                <w:rFonts w:hint="eastAsia" w:ascii="Times New Roman" w:hAnsi="Times New Roman" w:eastAsia="宋体" w:cs="Times New Roman"/>
                <w:sz w:val="24"/>
                <w:highlight w:val="yellow"/>
              </w:rPr>
              <w:fldChar w:fldCharType="end"/>
            </w:r>
          </w:p>
        </w:tc>
        <w:tc>
          <w:tcPr>
            <w:tcW w:w="1679"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p>
        </w:tc>
      </w:tr>
      <w:tr>
        <w:tblPrEx>
          <w:tblLayout w:type="fixed"/>
          <w:tblCellMar>
            <w:top w:w="0" w:type="dxa"/>
            <w:left w:w="108" w:type="dxa"/>
            <w:bottom w:w="0" w:type="dxa"/>
            <w:right w:w="108" w:type="dxa"/>
          </w:tblCellMar>
        </w:tblPrEx>
        <w:trPr>
          <w:trHeight w:val="398" w:hRule="atLeast"/>
        </w:trPr>
        <w:tc>
          <w:tcPr>
            <w:tcW w:w="9015" w:type="dxa"/>
            <w:gridSpan w:val="3"/>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b/>
                <w:sz w:val="24"/>
              </w:rPr>
              <w:t>乙方：</w:t>
            </w:r>
          </w:p>
        </w:tc>
      </w:tr>
      <w:tr>
        <w:tblPrEx>
          <w:tblLayout w:type="fixed"/>
          <w:tblCellMar>
            <w:top w:w="0" w:type="dxa"/>
            <w:left w:w="108" w:type="dxa"/>
            <w:bottom w:w="0" w:type="dxa"/>
            <w:right w:w="108" w:type="dxa"/>
          </w:tblCellMar>
        </w:tblPrEx>
        <w:trPr>
          <w:trHeight w:val="398" w:hRule="atLeast"/>
        </w:trPr>
        <w:tc>
          <w:tcPr>
            <w:tcW w:w="9015" w:type="dxa"/>
            <w:gridSpan w:val="3"/>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agreement.personalList?size gt 0]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@before-row[#list agreement.personalList as holder]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«@before-row[#list»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${holder["shareholderName"]}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«${holder[»</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tc>
      </w:tr>
      <w:tr>
        <w:tblPrEx>
          <w:tblLayout w:type="fixed"/>
          <w:tblCellMar>
            <w:top w:w="0" w:type="dxa"/>
            <w:left w:w="108" w:type="dxa"/>
            <w:bottom w:w="0" w:type="dxa"/>
            <w:right w:w="108" w:type="dxa"/>
          </w:tblCellMar>
        </w:tblPrEx>
        <w:trPr>
          <w:trHeight w:val="398" w:hRule="atLeast"/>
        </w:trPr>
        <w:tc>
          <w:tcPr>
            <w:tcW w:w="1241" w:type="dxa"/>
          </w:tcPr>
          <w:p>
            <w:pPr>
              <w:spacing w:before="156" w:after="10" w:line="420" w:lineRule="atLeast"/>
              <w:ind w:right="-108"/>
              <w:jc w:val="left"/>
              <w:rPr>
                <w:rFonts w:ascii="Times New Roman" w:hAnsi="Times New Roman" w:eastAsia="宋体" w:cs="Times New Roman"/>
                <w:sz w:val="24"/>
              </w:rPr>
            </w:pPr>
          </w:p>
        </w:tc>
        <w:tc>
          <w:tcPr>
            <w:tcW w:w="6095"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${holder["shareholderIDType"]}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«${holder[»</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】号码：【</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${holder["shareholderIDNumber"]}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«${holder[»</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p>
        </w:tc>
        <w:tc>
          <w:tcPr>
            <w:tcW w:w="1679"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r>
              <w:rPr>
                <w:rFonts w:hint="eastAsia" w:ascii="Times New Roman" w:hAnsi="Times New Roman" w:eastAsia="宋体" w:cs="Times New Roman"/>
                <w:b/>
                <w:bCs/>
                <w:sz w:val="24"/>
              </w:rPr>
              <w:fldChar w:fldCharType="begin"/>
            </w:r>
            <w:r>
              <w:rPr>
                <w:rFonts w:hint="eastAsia" w:ascii="Times New Roman" w:hAnsi="Times New Roman" w:eastAsia="宋体" w:cs="Times New Roman"/>
                <w:b/>
                <w:bCs/>
                <w:sz w:val="24"/>
              </w:rPr>
              <w:instrText xml:space="preserve"> MERGEFIELD [/#if] \* MERGEFORMAT </w:instrText>
            </w:r>
            <w:r>
              <w:rPr>
                <w:rFonts w:hint="eastAsia" w:ascii="Times New Roman" w:hAnsi="Times New Roman" w:eastAsia="宋体" w:cs="Times New Roman"/>
                <w:b/>
                <w:bCs/>
                <w:sz w:val="24"/>
              </w:rPr>
              <w:fldChar w:fldCharType="separate"/>
            </w:r>
            <w:r>
              <w:rPr>
                <w:rFonts w:hint="eastAsia" w:ascii="Times New Roman" w:hAnsi="Times New Roman" w:eastAsia="宋体" w:cs="Times New Roman"/>
                <w:b/>
                <w:bCs/>
                <w:sz w:val="24"/>
              </w:rPr>
              <w:t>«[/#if]»</w:t>
            </w:r>
            <w:r>
              <w:rPr>
                <w:rFonts w:hint="eastAsia" w:ascii="Times New Roman" w:hAnsi="Times New Roman" w:eastAsia="宋体" w:cs="Times New Roman"/>
                <w:b/>
                <w:bCs/>
                <w:sz w:val="24"/>
              </w:rPr>
              <w:fldChar w:fldCharType="end"/>
            </w:r>
          </w:p>
        </w:tc>
      </w:tr>
      <w:tr>
        <w:tblPrEx>
          <w:tblLayout w:type="fixed"/>
          <w:tblCellMar>
            <w:top w:w="0" w:type="dxa"/>
            <w:left w:w="108" w:type="dxa"/>
            <w:bottom w:w="0" w:type="dxa"/>
            <w:right w:w="108" w:type="dxa"/>
          </w:tblCellMar>
        </w:tblPrEx>
        <w:trPr>
          <w:trHeight w:val="398" w:hRule="atLeast"/>
        </w:trPr>
        <w:tc>
          <w:tcPr>
            <w:tcW w:w="9015" w:type="dxa"/>
            <w:gridSpan w:val="3"/>
          </w:tcPr>
          <w:p>
            <w:pPr>
              <w:spacing w:before="156" w:after="10" w:line="420" w:lineRule="atLeast"/>
              <w:ind w:right="-108"/>
              <w:jc w:val="left"/>
              <w:rPr>
                <w:rFonts w:hint="eastAsia" w:ascii="Times New Roman" w:hAnsi="Times New Roman" w:eastAsia="宋体" w:cs="Times New Roman"/>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@before-row[#list agreement.eiPersonalList as ei]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«@before-row[#list»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${ei["investorName"]}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«${ei[»</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tc>
      </w:tr>
      <w:tr>
        <w:tblPrEx>
          <w:tblLayout w:type="fixed"/>
          <w:tblCellMar>
            <w:top w:w="0" w:type="dxa"/>
            <w:left w:w="108" w:type="dxa"/>
            <w:bottom w:w="0" w:type="dxa"/>
            <w:right w:w="108" w:type="dxa"/>
          </w:tblCellMar>
        </w:tblPrEx>
        <w:trPr>
          <w:trHeight w:val="398" w:hRule="atLeast"/>
        </w:trPr>
        <w:tc>
          <w:tcPr>
            <w:tcW w:w="1241" w:type="dxa"/>
          </w:tcPr>
          <w:p>
            <w:pPr>
              <w:spacing w:before="156" w:after="10" w:line="420" w:lineRule="atLeast"/>
              <w:ind w:right="-108"/>
              <w:jc w:val="left"/>
              <w:rPr>
                <w:rFonts w:hint="eastAsia" w:ascii="Times New Roman" w:hAnsi="Times New Roman" w:eastAsia="宋体" w:cs="Times New Roman"/>
                <w:b/>
                <w:sz w:val="24"/>
              </w:rPr>
            </w:pPr>
          </w:p>
        </w:tc>
        <w:tc>
          <w:tcPr>
            <w:tcW w:w="6095" w:type="dxa"/>
          </w:tcPr>
          <w:p>
            <w:pPr>
              <w:spacing w:before="156" w:after="10" w:line="420" w:lineRule="atLeast"/>
              <w:ind w:right="-108"/>
              <w:jc w:val="left"/>
              <w:rPr>
                <w:rFonts w:hint="eastAsia" w:ascii="Times New Roman" w:hAnsi="Times New Roman" w:eastAsia="宋体" w:cs="Times New Roman"/>
                <w:b/>
                <w:sz w:val="24"/>
              </w:rPr>
            </w:pP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${ei["investorIDType"]}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«${ei[»</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】号码：【</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${ei["investorID"]}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«${ei[»</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p>
        </w:tc>
        <w:tc>
          <w:tcPr>
            <w:tcW w:w="1679" w:type="dxa"/>
            <w:vAlign w:val="top"/>
          </w:tcPr>
          <w:p>
            <w:pPr>
              <w:spacing w:before="156" w:after="10" w:line="420" w:lineRule="atLeast"/>
              <w:ind w:right="-108" w:rightChars="0"/>
              <w:jc w:val="left"/>
              <w:rPr>
                <w:rFonts w:hint="eastAsia" w:ascii="Times New Roman" w:hAnsi="Times New Roman" w:eastAsia="宋体" w:cs="Times New Roman"/>
                <w:b/>
                <w:sz w:val="24"/>
              </w:rPr>
            </w:pPr>
            <w:r>
              <w:rPr>
                <w:rFonts w:hint="eastAsia" w:ascii="Times New Roman" w:hAnsi="Times New Roman" w:eastAsia="宋体" w:cs="Times New Roman"/>
                <w:sz w:val="24"/>
              </w:rPr>
              <w:t>国籍：【】</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p>
        </w:tc>
      </w:tr>
      <w:tr>
        <w:tblPrEx>
          <w:tblLayout w:type="fixed"/>
          <w:tblCellMar>
            <w:top w:w="0" w:type="dxa"/>
            <w:left w:w="108" w:type="dxa"/>
            <w:bottom w:w="0" w:type="dxa"/>
            <w:right w:w="108" w:type="dxa"/>
          </w:tblCellMar>
        </w:tblPrEx>
        <w:trPr>
          <w:trHeight w:val="398" w:hRule="atLeast"/>
        </w:trPr>
        <w:tc>
          <w:tcPr>
            <w:tcW w:w="9015" w:type="dxa"/>
            <w:gridSpan w:val="3"/>
          </w:tcPr>
          <w:p>
            <w:pPr>
              <w:spacing w:before="156" w:after="10" w:line="420" w:lineRule="atLeast"/>
              <w:ind w:right="-108" w:rightChars="0"/>
              <w:jc w:val="left"/>
              <w:rPr>
                <w:rFonts w:hint="eastAsia" w:ascii="Times New Roman" w:hAnsi="Times New Roman" w:eastAsia="宋体" w:cs="Times New Roman"/>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@before-row[#list agreement.eiOcList as ei]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«@before-row[#list»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${ei["investorName"]}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«${ei[»</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tc>
      </w:tr>
      <w:tr>
        <w:tblPrEx>
          <w:tblLayout w:type="fixed"/>
          <w:tblCellMar>
            <w:top w:w="0" w:type="dxa"/>
            <w:left w:w="108" w:type="dxa"/>
            <w:bottom w:w="0" w:type="dxa"/>
            <w:right w:w="108" w:type="dxa"/>
          </w:tblCellMar>
        </w:tblPrEx>
        <w:trPr>
          <w:trHeight w:val="511" w:hRule="atLeast"/>
        </w:trPr>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t>【 】</w:t>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b w:val="0"/>
                <w:bCs w:val="0"/>
                <w:sz w:val="24"/>
              </w:rPr>
              <w:t>董事</w:t>
            </w:r>
            <w:r>
              <w:rPr>
                <w:rFonts w:ascii="Times New Roman" w:hAnsi="Times New Roman" w:eastAsia="宋体" w:cs="Times New Roman"/>
                <w:b w:val="0"/>
                <w:bCs w:val="0"/>
                <w:sz w:val="24"/>
              </w:rPr>
              <w:t>：</w:t>
            </w:r>
            <w:r>
              <w:rPr>
                <w:rFonts w:hint="eastAsia" w:ascii="Times New Roman" w:hAnsi="Times New Roman" w:eastAsia="宋体" w:cs="Times New Roman"/>
                <w:sz w:val="24"/>
                <w:highlight w:val="yellow"/>
              </w:rPr>
              <w:t>【 】</w:t>
            </w:r>
          </w:p>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ascii="Times New Roman" w:hAnsi="Times New Roman" w:eastAsia="宋体" w:cs="Times New Roman"/>
                <w:sz w:val="24"/>
              </w:rPr>
              <w:t>：</w:t>
            </w:r>
            <w:r>
              <w:rPr>
                <w:rFonts w:hint="eastAsia" w:ascii="Times New Roman" w:hAnsi="Times New Roman" w:eastAsia="宋体" w:cs="Times New Roman"/>
                <w:sz w:val="24"/>
                <w:highlight w:val="yellow"/>
              </w:rPr>
              <w:t>【 】</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p>
        </w:tc>
      </w:tr>
      <w:tr>
        <w:tblPrEx>
          <w:tblLayout w:type="fixed"/>
          <w:tblCellMar>
            <w:top w:w="0" w:type="dxa"/>
            <w:left w:w="108" w:type="dxa"/>
            <w:bottom w:w="0" w:type="dxa"/>
            <w:right w:w="108" w:type="dxa"/>
          </w:tblCellMar>
        </w:tblPrEx>
        <w:tc>
          <w:tcPr>
            <w:tcW w:w="9015" w:type="dxa"/>
            <w:gridSpan w:val="3"/>
          </w:tcPr>
          <w:p>
            <w:pPr>
              <w:spacing w:before="156" w:after="10" w:line="420" w:lineRule="atLeast"/>
              <w:ind w:right="-514"/>
              <w:jc w:val="left"/>
              <w:rPr>
                <w:rFonts w:hint="eastAsia" w:ascii="Times New Roman" w:hAnsi="Times New Roman" w:eastAsia="宋体" w:cs="Times New Roman"/>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@before-row[#list agreement.eiDcList as ei]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«@before-row[#list»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${ei["investorName"]}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«${ei[»</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t>【 】</w:t>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法定代表人/执行事务合伙人：</w:t>
            </w:r>
            <w:r>
              <w:rPr>
                <w:rFonts w:hint="eastAsia" w:ascii="Times New Roman" w:hAnsi="Times New Roman" w:eastAsia="宋体" w:cs="Times New Roman"/>
                <w:sz w:val="24"/>
                <w:highlight w:val="yellow"/>
              </w:rPr>
              <w:t>【 】</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p>
        </w:tc>
      </w:tr>
      <w:tr>
        <w:tblPrEx>
          <w:tblLayout w:type="fixed"/>
          <w:tblCellMar>
            <w:top w:w="0" w:type="dxa"/>
            <w:left w:w="108" w:type="dxa"/>
            <w:bottom w:w="0" w:type="dxa"/>
            <w:right w:w="108" w:type="dxa"/>
          </w:tblCellMar>
        </w:tblPrEx>
        <w:tc>
          <w:tcPr>
            <w:tcW w:w="9015" w:type="dxa"/>
            <w:gridSpan w:val="3"/>
          </w:tcPr>
          <w:p>
            <w:pPr>
              <w:spacing w:before="156" w:after="10" w:line="420" w:lineRule="atLeast"/>
              <w:ind w:left="594" w:leftChars="283" w:right="-514"/>
              <w:jc w:val="left"/>
              <w:rPr>
                <w:rFonts w:hint="eastAsia" w:ascii="Times New Roman" w:hAnsi="Times New Roman" w:eastAsia="宋体" w:cs="Times New Roman"/>
                <w:b/>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agreement.shareholderList as holder]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holder.shareholdersList as h]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h.type!="个人"]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${h["shareholderName"]}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«${h[»</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${h["shareholderNameAbbr"]}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«${h[»</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p>
            <w:pPr>
              <w:spacing w:before="156" w:after="10" w:line="420" w:lineRule="atLeast"/>
              <w:ind w:left="594" w:leftChars="283" w:right="-514"/>
              <w:jc w:val="left"/>
              <w:rPr>
                <w:rFonts w:hint="eastAsia" w:ascii="Times New Roman" w:hAnsi="Times New Roman" w:eastAsia="宋体" w:cs="Times New Roman"/>
                <w:sz w:val="24"/>
                <w:highlight w:val="yellow"/>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h.type=="境外企业"]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bCs/>
                <w:sz w:val="24"/>
              </w:rPr>
              <w:t>董事</w:t>
            </w:r>
            <w:r>
              <w:rPr>
                <w:rFonts w:ascii="Times New Roman" w:hAnsi="Times New Roman" w:eastAsia="宋体" w:cs="Times New Roman"/>
                <w:b/>
                <w:bCs/>
                <w:sz w:val="24"/>
              </w:rPr>
              <w:t>：</w:t>
            </w:r>
            <w:r>
              <w:rPr>
                <w:rFonts w:hint="eastAsia" w:ascii="Times New Roman" w:hAnsi="Times New Roman" w:eastAsia="宋体" w:cs="Times New Roman"/>
                <w:sz w:val="24"/>
                <w:highlight w:val="yellow"/>
              </w:rPr>
              <w:t>【 】</w:t>
            </w:r>
          </w:p>
          <w:p>
            <w:pPr>
              <w:spacing w:before="156" w:after="10" w:line="420" w:lineRule="atLeast"/>
              <w:ind w:left="594" w:leftChars="283" w:right="-514"/>
              <w:jc w:val="left"/>
              <w:rPr>
                <w:rFonts w:hint="eastAsia" w:ascii="Times New Roman" w:hAnsi="Times New Roman" w:eastAsia="宋体" w:cs="Times New Roman"/>
                <w:sz w:val="24"/>
                <w:highlight w:val="yellow"/>
              </w:rPr>
            </w:pPr>
            <w:r>
              <w:rPr>
                <w:rFonts w:hint="eastAsia" w:ascii="Times New Roman" w:hAnsi="Times New Roman" w:eastAsia="宋体" w:cs="Times New Roman"/>
                <w:b/>
                <w:bCs/>
                <w:sz w:val="24"/>
              </w:rPr>
              <w:t>国籍</w:t>
            </w:r>
            <w:r>
              <w:rPr>
                <w:rFonts w:ascii="Times New Roman" w:hAnsi="Times New Roman" w:eastAsia="宋体" w:cs="Times New Roman"/>
                <w:b/>
                <w:bCs/>
                <w:sz w:val="24"/>
              </w:rPr>
              <w:t>：</w:t>
            </w:r>
            <w:r>
              <w:rPr>
                <w:rFonts w:hint="eastAsia" w:ascii="Times New Roman" w:hAnsi="Times New Roman" w:eastAsia="宋体" w:cs="Times New Roman"/>
                <w:sz w:val="24"/>
                <w:highlight w:val="yellow"/>
              </w:rPr>
              <w:t>【 】</w:t>
            </w:r>
            <w:r>
              <w:rPr>
                <w:rFonts w:hint="eastAsia" w:ascii="Times New Roman" w:hAnsi="Times New Roman" w:eastAsia="宋体" w:cs="Times New Roman"/>
                <w:b/>
                <w:bCs/>
                <w:sz w:val="24"/>
                <w:highlight w:val="yellow"/>
              </w:rPr>
              <w:fldChar w:fldCharType="begin"/>
            </w:r>
            <w:r>
              <w:rPr>
                <w:rFonts w:hint="eastAsia" w:ascii="Times New Roman" w:hAnsi="Times New Roman" w:eastAsia="宋体" w:cs="Times New Roman"/>
                <w:b/>
                <w:bCs/>
                <w:sz w:val="24"/>
                <w:highlight w:val="yellow"/>
              </w:rPr>
              <w:instrText xml:space="preserve"> MERGEFIELD [#else] \* MERGEFORMAT </w:instrText>
            </w:r>
            <w:r>
              <w:rPr>
                <w:rFonts w:hint="eastAsia" w:ascii="Times New Roman" w:hAnsi="Times New Roman" w:eastAsia="宋体" w:cs="Times New Roman"/>
                <w:b/>
                <w:bCs/>
                <w:sz w:val="24"/>
                <w:highlight w:val="yellow"/>
              </w:rPr>
              <w:fldChar w:fldCharType="separate"/>
            </w:r>
            <w:r>
              <w:rPr>
                <w:rFonts w:hint="eastAsia" w:ascii="Times New Roman" w:hAnsi="Times New Roman" w:eastAsia="宋体" w:cs="Times New Roman"/>
                <w:b/>
                <w:bCs/>
                <w:sz w:val="24"/>
                <w:highlight w:val="yellow"/>
              </w:rPr>
              <w:t>«[#else]»</w:t>
            </w:r>
            <w:r>
              <w:rPr>
                <w:rFonts w:hint="eastAsia" w:ascii="Times New Roman" w:hAnsi="Times New Roman" w:eastAsia="宋体" w:cs="Times New Roman"/>
                <w:b/>
                <w:bCs/>
                <w:sz w:val="24"/>
                <w:highlight w:val="yellow"/>
              </w:rPr>
              <w:fldChar w:fldCharType="end"/>
            </w:r>
          </w:p>
          <w:p>
            <w:pPr>
              <w:spacing w:before="156" w:after="10" w:line="420" w:lineRule="atLeast"/>
              <w:ind w:left="594" w:leftChars="283" w:right="-514"/>
              <w:jc w:val="left"/>
              <w:rPr>
                <w:rFonts w:ascii="Times New Roman" w:hAnsi="Times New Roman" w:eastAsia="宋体" w:cs="Times New Roman"/>
                <w:b/>
                <w:sz w:val="24"/>
              </w:rPr>
            </w:pPr>
            <w:r>
              <w:rPr>
                <w:rFonts w:hint="eastAsia" w:ascii="Times New Roman" w:hAnsi="Times New Roman" w:eastAsia="宋体" w:cs="Times New Roman"/>
                <w:b/>
                <w:sz w:val="24"/>
              </w:rPr>
              <w:t>注册地址：【</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${h["registerAddr"]}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«${h[»</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p>
            <w:pPr>
              <w:spacing w:before="156" w:after="10" w:line="420" w:lineRule="atLeast"/>
              <w:ind w:left="594" w:leftChars="283" w:right="-514"/>
              <w:jc w:val="left"/>
              <w:rPr>
                <w:rFonts w:hint="eastAsia" w:ascii="Times New Roman" w:hAnsi="Times New Roman" w:eastAsia="宋体" w:cs="Times New Roman"/>
                <w:b/>
                <w:sz w:val="24"/>
              </w:rPr>
            </w:pPr>
            <w:r>
              <w:rPr>
                <w:rFonts w:hint="eastAsia" w:ascii="Times New Roman" w:hAnsi="Times New Roman" w:eastAsia="宋体" w:cs="Times New Roman"/>
                <w:b/>
                <w:sz w:val="24"/>
              </w:rPr>
              <w:t>法定代表人</w:t>
            </w:r>
            <w:r>
              <w:rPr>
                <w:rFonts w:hint="eastAsia" w:cs="Times New Roman"/>
                <w:b/>
                <w:bCs w:val="0"/>
                <w:sz w:val="24"/>
                <w:lang w:val="en-US" w:eastAsia="zh-CN"/>
              </w:rPr>
              <w:t>/</w:t>
            </w:r>
            <w:r>
              <w:rPr>
                <w:rFonts w:hint="eastAsia" w:ascii="Times New Roman" w:hAnsi="Times New Roman" w:eastAsia="宋体" w:cs="Times New Roman"/>
                <w:b/>
                <w:sz w:val="24"/>
              </w:rPr>
              <w:t>执行事务合伙人</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pacing w:before="156" w:after="10" w:line="420" w:lineRule="atLeast"/>
              <w:ind w:left="594" w:leftChars="283" w:right="-514"/>
              <w:jc w:val="left"/>
              <w:rPr>
                <w:rFonts w:hint="eastAsia" w:ascii="Times New Roman" w:hAnsi="Times New Roman" w:eastAsia="宋体" w:cs="Times New Roman"/>
                <w:b/>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pacing w:before="156" w:after="10" w:line="420" w:lineRule="atLeast"/>
              <w:ind w:right="-514"/>
              <w:jc w:val="left"/>
              <w:rPr>
                <w:rFonts w:ascii="Times New Roman" w:hAnsi="Times New Roman" w:eastAsia="宋体" w:cs="Times New Roman"/>
                <w:b/>
                <w:sz w:val="24"/>
              </w:rPr>
            </w:pPr>
            <w:r>
              <w:rPr>
                <w:rFonts w:hint="eastAsia" w:ascii="Times New Roman" w:hAnsi="Times New Roman" w:eastAsia="宋体" w:cs="Times New Roman"/>
                <w:b/>
                <w:sz w:val="24"/>
              </w:rPr>
              <w:t>丙方：</w:t>
            </w:r>
          </w:p>
        </w:tc>
      </w:tr>
      <w:tr>
        <w:tblPrEx>
          <w:tblLayout w:type="fixed"/>
          <w:tblCellMar>
            <w:top w:w="0" w:type="dxa"/>
            <w:left w:w="108" w:type="dxa"/>
            <w:bottom w:w="0" w:type="dxa"/>
            <w:right w:w="108" w:type="dxa"/>
          </w:tblCellMar>
        </w:tblPrEx>
        <w:tc>
          <w:tcPr>
            <w:tcW w:w="9015" w:type="dxa"/>
            <w:gridSpan w:val="3"/>
          </w:tcPr>
          <w:p>
            <w:pPr>
              <w:spacing w:before="156" w:after="10" w:line="420" w:lineRule="atLeast"/>
              <w:ind w:right="-514"/>
              <w:jc w:val="left"/>
              <w:rPr>
                <w:rFonts w:ascii="Times New Roman" w:hAnsi="Times New Roman" w:eastAsia="宋体" w:cs="Times New Roman"/>
                <w:b/>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${agreement["jvObj"].JVName}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«${agreement[»</w:t>
            </w:r>
            <w:r>
              <w:rPr>
                <w:rFonts w:hint="eastAsia" w:ascii="Times New Roman" w:hAnsi="Times New Roman" w:eastAsia="宋体" w:cs="Times New Roman"/>
                <w:b/>
                <w:sz w:val="24"/>
              </w:rPr>
              <w:fldChar w:fldCharType="end"/>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${agreement["jvObj"].JVRegisterAddr}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p>
            <w:pPr>
              <w:spacing w:before="156" w:after="10" w:line="420" w:lineRule="atLeast"/>
              <w:ind w:right="-514"/>
              <w:jc w:val="left"/>
              <w:rPr>
                <w:rFonts w:ascii="Times New Roman" w:hAnsi="Times New Roman" w:eastAsia="宋体" w:cs="Times New Roman"/>
                <w:b/>
                <w:sz w:val="24"/>
              </w:rPr>
            </w:pPr>
            <w:r>
              <w:rPr>
                <w:rFonts w:hint="eastAsia" w:ascii="Times New Roman" w:hAnsi="Times New Roman" w:eastAsia="宋体" w:cs="Times New Roman"/>
                <w:b/>
                <w:sz w:val="24"/>
              </w:rPr>
              <w:t>【】</w:t>
            </w: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法定代表人：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${agreement["jvObj"].legalRepresentative}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p>
        </w:tc>
      </w:tr>
    </w:tbl>
    <w:p>
      <w:pPr>
        <w:keepNext w:val="0"/>
        <w:keepLines w:val="0"/>
        <w:pageBreakBefore w:val="0"/>
        <w:widowControl w:val="0"/>
        <w:numPr>
          <w:ilvl w:val="1"/>
          <w:numId w:val="1"/>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声明和保证</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14"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本合同一方向其他方的声明和保证：</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其有权签订本合同并且履行其在本合同项下全部义务的完全民事行为能力。</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其拥有完整的法律权利、权力和授权签署本合同、公司章程和本合同中提及的其作为当事方的任何协议和文件，并遵守和履行本合同及上述协议及文件项下的义务；本合同一经签署即构成对其合法、有效、有约束力的义务并可据以对其强制执行。</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签署、交付、履行本合同和本合同中提及的其作为当事方的任何协议和文件均不会导致违反其章程，或者导致其构成对其已经签署的合同的违约。</w:t>
      </w:r>
    </w:p>
    <w:p>
      <w:pPr>
        <w:keepNext w:val="0"/>
        <w:keepLines w:val="0"/>
        <w:pageBreakBefore w:val="0"/>
        <w:widowControl w:val="0"/>
        <w:numPr>
          <w:ilvl w:val="0"/>
          <w:numId w:val="0"/>
        </w:numPr>
        <w:tabs>
          <w:tab w:val="left" w:pos="1470"/>
        </w:tabs>
        <w:kinsoku/>
        <w:wordWrap/>
        <w:overflowPunct/>
        <w:topLinePunct w:val="0"/>
        <w:autoSpaceDE/>
        <w:autoSpaceDN/>
        <w:bidi w:val="0"/>
        <w:adjustRightInd/>
        <w:snapToGrid w:val="0"/>
        <w:spacing w:before="156" w:after="10" w:line="420" w:lineRule="atLeast"/>
        <w:ind w:left="799" w:leftChars="0" w:right="0" w:rightChars="0"/>
        <w:jc w:val="both"/>
        <w:textAlignment w:val="auto"/>
        <w:outlineLvl w:val="9"/>
        <w:rPr>
          <w:rFonts w:hint="eastAsia" w:ascii="Times New Roman" w:hAnsi="Times New Roman" w:eastAsia="宋体" w:cs="Times New Roman"/>
          <w:sz w:val="24"/>
          <w:lang w:val="en-GB"/>
        </w:rPr>
      </w:pPr>
    </w:p>
    <w:p>
      <w:pPr>
        <w:pStyle w:val="4"/>
        <w:numPr>
          <w:ilvl w:val="0"/>
          <w:numId w:val="1"/>
        </w:numPr>
        <w:tabs>
          <w:tab w:val="left" w:pos="900"/>
        </w:tabs>
        <w:spacing w:line="420" w:lineRule="atLeast"/>
        <w:ind w:left="425" w:leftChars="0" w:right="-108" w:rightChars="0" w:hanging="425" w:firstLineChars="0"/>
        <w:jc w:val="center"/>
        <w:rPr>
          <w:rFonts w:hint="eastAsia"/>
          <w:b/>
          <w:bCs w:val="0"/>
        </w:rPr>
      </w:pPr>
      <w:r>
        <w:rPr>
          <w:rFonts w:hint="eastAsia" w:ascii="Times New Roman" w:hAnsi="Times New Roman" w:eastAsia="宋体" w:cs="Times New Roman"/>
          <w:b/>
          <w:bCs w:val="0"/>
          <w:sz w:val="24"/>
          <w:szCs w:val="22"/>
        </w:rPr>
        <w:t>公司各方</w:t>
      </w:r>
    </w:p>
    <w:p>
      <w:pPr>
        <w:keepNext w:val="0"/>
        <w:keepLines w:val="0"/>
        <w:pageBreakBefore w:val="0"/>
        <w:widowControl w:val="0"/>
        <w:numPr>
          <w:ilvl w:val="1"/>
          <w:numId w:val="1"/>
        </w:numPr>
        <w:tabs>
          <w:tab w:val="left" w:pos="709"/>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lang w:val="en-GB"/>
        </w:rPr>
        <w:t>设立公司</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rPr>
        <w:t>各方在此同意依据合资企业法、公司法和其他有关的中国法律、法规之规定，按照本合同以及公司章程的规定共同设立中外合资经营的公司。公司为根据中国法律设立之法人，受中国法律之保护和管辖。公司的全部行为应遵守中国有关的法律和法规。</w:t>
      </w:r>
    </w:p>
    <w:p>
      <w:pPr>
        <w:keepNext w:val="0"/>
        <w:keepLines w:val="0"/>
        <w:pageBreakBefore w:val="0"/>
        <w:widowControl w:val="0"/>
        <w:numPr>
          <w:ilvl w:val="1"/>
          <w:numId w:val="1"/>
        </w:numPr>
        <w:tabs>
          <w:tab w:val="left" w:pos="709"/>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lang w:val="en-GB"/>
        </w:rPr>
        <w:t>有限责任公司</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rPr>
        <w:t>公司为根据中国法律设立的有限责任公司。各方以各自认缴的出资额为限并依各自在公司持有的股权比例承担公司的亏损、风险、责任以及其他任何义务。除非各方另有书面约定，除上述认缴注册资本的义务以外，任何一方均不应因公司行为而对公司或第三方负有任何无论是单独还是连带之责任。除甲方及丙方各主体应对其</w:t>
      </w:r>
      <w:r>
        <w:rPr>
          <w:rFonts w:ascii="Times New Roman" w:hAnsi="Times New Roman" w:eastAsia="宋体" w:cs="Times New Roman"/>
          <w:sz w:val="24"/>
        </w:rPr>
        <w:t>在本</w:t>
      </w:r>
      <w:r>
        <w:rPr>
          <w:rFonts w:hint="eastAsia" w:ascii="Times New Roman" w:hAnsi="Times New Roman" w:eastAsia="宋体" w:cs="Times New Roman"/>
          <w:sz w:val="24"/>
        </w:rPr>
        <w:t>合同</w:t>
      </w:r>
      <w:r>
        <w:rPr>
          <w:rFonts w:ascii="Times New Roman" w:hAnsi="Times New Roman" w:eastAsia="宋体" w:cs="Times New Roman"/>
          <w:sz w:val="24"/>
        </w:rPr>
        <w:t>项下的义务承担连带责任</w:t>
      </w:r>
      <w:r>
        <w:rPr>
          <w:rFonts w:hint="eastAsia" w:ascii="Times New Roman" w:hAnsi="Times New Roman" w:eastAsia="宋体" w:cs="Times New Roman"/>
          <w:sz w:val="24"/>
        </w:rPr>
        <w:t>以外，在任何情况下，一方也不对另一方的行为所造成的任何亏损、风险、责任及其他任何义务负责。</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left"/>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lang w:val="en-GB"/>
        </w:rPr>
        <w:t>公司名称和地址</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rPr>
        <w:t>公司的名称为：</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709" w:firstLineChars="0"/>
        <w:jc w:val="left"/>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公司法定地址为：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${agreement.jvObj.JVRegisterAddr}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«${agreement.jvObj.JVRegisterAddr}»</w:t>
      </w:r>
      <w:r>
        <w:rPr>
          <w:rFonts w:hint="eastAsia" w:ascii="Times New Roman" w:hAnsi="Times New Roman" w:eastAsia="宋体" w:cs="Times New Roman"/>
          <w:sz w:val="24"/>
          <w:highlight w:val="yellow"/>
        </w:rPr>
        <w:fldChar w:fldCharType="end"/>
      </w:r>
    </w:p>
    <w:p>
      <w:pPr>
        <w:keepNext w:val="0"/>
        <w:keepLines w:val="0"/>
        <w:pageBreakBefore w:val="0"/>
        <w:widowControl w:val="0"/>
        <w:kinsoku/>
        <w:wordWrap/>
        <w:overflowPunct/>
        <w:topLinePunct w:val="0"/>
        <w:autoSpaceDE/>
        <w:autoSpaceDN/>
        <w:bidi w:val="0"/>
        <w:adjustRightInd/>
        <w:snapToGrid/>
        <w:spacing w:before="156" w:after="10" w:line="420" w:lineRule="atLeast"/>
        <w:ind w:left="0" w:leftChars="0" w:right="0" w:rightChars="0" w:firstLine="709"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成立日</w:t>
      </w:r>
    </w:p>
    <w:p>
      <w:pPr>
        <w:keepNext w:val="0"/>
        <w:keepLines w:val="0"/>
        <w:pageBreakBefore w:val="0"/>
        <w:widowControl w:val="0"/>
        <w:kinsoku/>
        <w:wordWrap/>
        <w:overflowPunct/>
        <w:topLinePunct w:val="0"/>
        <w:autoSpaceDE/>
        <w:autoSpaceDN/>
        <w:bidi w:val="0"/>
        <w:adjustRightInd/>
        <w:snapToGrid/>
        <w:spacing w:before="156" w:after="10" w:line="420" w:lineRule="atLeast"/>
        <w:ind w:left="0" w:leftChars="0" w:right="0" w:rightChars="0" w:firstLine="709"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营业执照颁发之日为公司的成立日。</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5" w:name="_Toc332999832"/>
      <w:r>
        <w:rPr>
          <w:rFonts w:hint="eastAsia" w:ascii="Times New Roman" w:hAnsi="Times New Roman" w:eastAsia="宋体" w:cs="Times New Roman"/>
          <w:b/>
          <w:bCs w:val="0"/>
          <w:sz w:val="24"/>
          <w:szCs w:val="22"/>
        </w:rPr>
        <w:t>公司的宗旨和经营范围</w:t>
      </w:r>
      <w:bookmarkEnd w:id="15"/>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left"/>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经营宗旨</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u w:val="none"/>
          <w:lang w:val="en-GB"/>
        </w:rPr>
        <w:t>公司本着企业的社会价值最大化原则，不断提高企业生产经营水平和管理决策水平，通过制度创新和技术创新，不断增强企业的竞争力和抗风险能力，成为国际一流企业。</w:t>
      </w:r>
    </w:p>
    <w:p>
      <w:pPr>
        <w:keepNext w:val="0"/>
        <w:keepLines w:val="0"/>
        <w:pageBreakBefore w:val="0"/>
        <w:widowControl w:val="0"/>
        <w:numPr>
          <w:ilvl w:val="1"/>
          <w:numId w:val="1"/>
        </w:numPr>
        <w:tabs>
          <w:tab w:val="left" w:pos="709"/>
          <w:tab w:val="clear" w:pos="0"/>
        </w:tabs>
        <w:kinsoku/>
        <w:wordWrap/>
        <w:overflowPunct/>
        <w:topLinePunct w:val="0"/>
        <w:autoSpaceDE/>
        <w:autoSpaceDN/>
        <w:bidi w:val="0"/>
        <w:adjustRightInd/>
        <w:snapToGrid/>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u w:val="single"/>
        </w:rPr>
      </w:pPr>
      <w:r>
        <w:rPr>
          <w:rFonts w:hint="eastAsia" w:ascii="Times New Roman" w:hAnsi="Times New Roman" w:eastAsia="宋体" w:cs="Times New Roman"/>
          <w:sz w:val="24"/>
          <w:u w:val="single"/>
        </w:rPr>
        <w:t>经营范围</w:t>
      </w:r>
      <w:r>
        <w:rPr>
          <w:rFonts w:hint="eastAsia" w:ascii="Times New Roman" w:hAnsi="Times New Roman" w:eastAsia="宋体" w:cs="Times New Roman"/>
          <w:sz w:val="24"/>
          <w:u w:val="single"/>
        </w:rPr>
        <w:br w:type="textWrapping"/>
      </w:r>
      <w:r>
        <w:rPr>
          <w:rFonts w:hint="eastAsia" w:ascii="Times New Roman" w:hAnsi="Times New Roman" w:eastAsia="宋体" w:cs="Times New Roman"/>
          <w:sz w:val="24"/>
        </w:rPr>
        <w:t>公司的经营范围为：【】</w:t>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6" w:name="_Toc332999833"/>
      <w:r>
        <w:rPr>
          <w:rFonts w:hint="eastAsia" w:ascii="Times New Roman" w:hAnsi="Times New Roman" w:eastAsia="宋体" w:cs="Times New Roman"/>
          <w:b/>
          <w:bCs w:val="0"/>
          <w:sz w:val="24"/>
          <w:szCs w:val="22"/>
        </w:rPr>
        <w:t>投资总额和注册资本</w:t>
      </w:r>
      <w:bookmarkEnd w:id="16"/>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投资总额</w:t>
      </w:r>
      <w:r>
        <w:rPr>
          <w:rFonts w:hint="eastAsia" w:ascii="Times New Roman" w:hAnsi="Times New Roman" w:eastAsia="宋体" w:cs="Times New Roman"/>
          <w:sz w:val="24"/>
          <w:u w:val="single"/>
        </w:rPr>
        <w:br w:type="textWrapping"/>
      </w:r>
      <w:r>
        <w:rPr>
          <w:rFonts w:hint="eastAsia" w:ascii="Times New Roman" w:hAnsi="Times New Roman" w:eastAsia="宋体" w:cs="Times New Roman"/>
          <w:sz w:val="24"/>
        </w:rPr>
        <w:t>公司的投资总额为【】元人民币。</w:t>
      </w:r>
      <w:r>
        <w:rPr>
          <w:rFonts w:hint="eastAsia" w:ascii="Times New Roman" w:hAnsi="Times New Roman" w:eastAsia="宋体" w:cs="Times New Roman"/>
          <w:b/>
          <w:i/>
          <w:sz w:val="24"/>
          <w:highlight w:val="yellow"/>
        </w:rPr>
        <w:t>【S</w:t>
      </w:r>
      <w:r>
        <w:rPr>
          <w:rFonts w:ascii="Times New Roman" w:hAnsi="Times New Roman" w:eastAsia="宋体" w:cs="Times New Roman"/>
          <w:b/>
          <w:i/>
          <w:sz w:val="24"/>
          <w:highlight w:val="yellow"/>
        </w:rPr>
        <w:t>H Note：</w:t>
      </w:r>
      <w:r>
        <w:rPr>
          <w:rFonts w:hint="eastAsia" w:ascii="Times New Roman" w:hAnsi="Times New Roman" w:eastAsia="宋体" w:cs="Times New Roman"/>
          <w:b/>
          <w:i/>
          <w:sz w:val="24"/>
          <w:highlight w:val="yellow"/>
        </w:rPr>
        <w:t>根据</w:t>
      </w:r>
      <w:r>
        <w:rPr>
          <w:rFonts w:ascii="Times New Roman" w:hAnsi="Times New Roman" w:eastAsia="宋体" w:cs="Times New Roman"/>
          <w:b/>
          <w:i/>
          <w:sz w:val="24"/>
          <w:highlight w:val="yellow"/>
        </w:rPr>
        <w:t>《</w:t>
      </w:r>
      <w:r>
        <w:rPr>
          <w:rFonts w:ascii="Times New Roman" w:hAnsi="Times New Roman" w:eastAsia="宋体" w:cs="Times New Roman"/>
          <w:b/>
          <w:bCs/>
          <w:i/>
          <w:sz w:val="24"/>
          <w:highlight w:val="yellow"/>
        </w:rPr>
        <w:t>关于外国投资者并购境内企业的规定</w:t>
      </w:r>
      <w:r>
        <w:rPr>
          <w:rFonts w:hint="eastAsia" w:ascii="Times New Roman" w:hAnsi="Times New Roman" w:eastAsia="宋体" w:cs="Times New Roman"/>
          <w:b/>
          <w:i/>
          <w:sz w:val="24"/>
          <w:highlight w:val="yellow"/>
        </w:rPr>
        <w:t>》</w:t>
      </w:r>
      <w:r>
        <w:rPr>
          <w:rFonts w:ascii="Times New Roman" w:hAnsi="Times New Roman" w:eastAsia="宋体" w:cs="Times New Roman"/>
          <w:b/>
          <w:i/>
          <w:sz w:val="24"/>
          <w:highlight w:val="yellow"/>
        </w:rPr>
        <w:t>，</w:t>
      </w:r>
      <w:r>
        <w:rPr>
          <w:rFonts w:hint="eastAsia" w:ascii="Times New Roman" w:hAnsi="Times New Roman" w:eastAsia="宋体" w:cs="Times New Roman"/>
          <w:b/>
          <w:i/>
          <w:sz w:val="24"/>
          <w:highlight w:val="yellow"/>
        </w:rPr>
        <w:t>注册</w:t>
      </w:r>
      <w:r>
        <w:rPr>
          <w:rFonts w:ascii="Times New Roman" w:hAnsi="Times New Roman" w:eastAsia="宋体" w:cs="Times New Roman"/>
          <w:b/>
          <w:i/>
          <w:sz w:val="24"/>
          <w:highlight w:val="yellow"/>
        </w:rPr>
        <w:t>资本在</w:t>
      </w:r>
      <w:r>
        <w:rPr>
          <w:rFonts w:hint="eastAsia" w:ascii="Times New Roman" w:hAnsi="Times New Roman" w:eastAsia="宋体" w:cs="Times New Roman"/>
          <w:b/>
          <w:i/>
          <w:sz w:val="24"/>
          <w:highlight w:val="yellow"/>
        </w:rPr>
        <w:t>【210万】</w:t>
      </w:r>
      <w:r>
        <w:rPr>
          <w:rFonts w:ascii="Times New Roman" w:hAnsi="Times New Roman" w:eastAsia="宋体" w:cs="Times New Roman"/>
          <w:b/>
          <w:i/>
          <w:sz w:val="24"/>
          <w:highlight w:val="yellow"/>
        </w:rPr>
        <w:t>美元</w:t>
      </w:r>
      <w:r>
        <w:rPr>
          <w:rFonts w:hint="eastAsia" w:ascii="Times New Roman" w:hAnsi="Times New Roman" w:eastAsia="宋体" w:cs="Times New Roman"/>
          <w:b/>
          <w:i/>
          <w:sz w:val="24"/>
          <w:highlight w:val="yellow"/>
        </w:rPr>
        <w:t>以下</w:t>
      </w:r>
      <w:r>
        <w:rPr>
          <w:rFonts w:ascii="Times New Roman" w:hAnsi="Times New Roman" w:eastAsia="宋体" w:cs="Times New Roman"/>
          <w:b/>
          <w:i/>
          <w:sz w:val="24"/>
          <w:highlight w:val="yellow"/>
        </w:rPr>
        <w:t>的，投资总额不得超过</w:t>
      </w:r>
      <w:r>
        <w:rPr>
          <w:rFonts w:hint="eastAsia" w:ascii="Times New Roman" w:hAnsi="Times New Roman" w:eastAsia="宋体" w:cs="Times New Roman"/>
          <w:b/>
          <w:i/>
          <w:sz w:val="24"/>
          <w:highlight w:val="yellow"/>
        </w:rPr>
        <w:t>注册</w:t>
      </w:r>
      <w:r>
        <w:rPr>
          <w:rFonts w:ascii="Times New Roman" w:hAnsi="Times New Roman" w:eastAsia="宋体" w:cs="Times New Roman"/>
          <w:b/>
          <w:i/>
          <w:sz w:val="24"/>
          <w:highlight w:val="yellow"/>
        </w:rPr>
        <w:t>资本的</w:t>
      </w:r>
      <w:r>
        <w:rPr>
          <w:rFonts w:hint="eastAsia" w:ascii="Times New Roman" w:hAnsi="Times New Roman" w:eastAsia="宋体" w:cs="Times New Roman"/>
          <w:b/>
          <w:i/>
          <w:sz w:val="24"/>
          <w:highlight w:val="yellow"/>
        </w:rPr>
        <w:t>【10/7】，请公司</w:t>
      </w:r>
      <w:r>
        <w:rPr>
          <w:rFonts w:ascii="Times New Roman" w:hAnsi="Times New Roman" w:eastAsia="宋体" w:cs="Times New Roman"/>
          <w:b/>
          <w:i/>
          <w:sz w:val="24"/>
          <w:highlight w:val="yellow"/>
        </w:rPr>
        <w:t>确认前述投资总额。】</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注册资本</w:t>
      </w:r>
      <w:r>
        <w:rPr>
          <w:rFonts w:ascii="Times New Roman" w:hAnsi="Times New Roman" w:eastAsia="宋体" w:cs="Times New Roman"/>
          <w:sz w:val="24"/>
        </w:rPr>
        <w:br w:type="textWrapping"/>
      </w:r>
      <w:r>
        <w:rPr>
          <w:rFonts w:hint="eastAsia" w:ascii="Times New Roman" w:hAnsi="Times New Roman" w:eastAsia="宋体" w:cs="Times New Roman"/>
          <w:sz w:val="24"/>
        </w:rPr>
        <w:t>公司的注册资本为【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${agreement["jvObj"].AFRegisteredCapital}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】元人民币。</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 xml:space="preserve">各方的出资 </w:t>
      </w:r>
      <w:r>
        <w:rPr>
          <w:rFonts w:hint="eastAsia" w:ascii="Times New Roman" w:hAnsi="Times New Roman" w:eastAsia="宋体" w:cs="Times New Roman"/>
          <w:b/>
          <w:i/>
          <w:sz w:val="24"/>
          <w:highlight w:val="yellow"/>
        </w:rPr>
        <w:t>【SH Note:请各方确认本次增资后的股权结构</w:t>
      </w:r>
      <w:r>
        <w:rPr>
          <w:rFonts w:ascii="Times New Roman" w:hAnsi="Times New Roman" w:eastAsia="宋体" w:cs="Times New Roman"/>
          <w:b/>
          <w:i/>
          <w:sz w:val="24"/>
          <w:highlight w:val="yellow"/>
        </w:rPr>
        <w:t>】</w:t>
      </w:r>
      <w:r>
        <w:rPr>
          <w:rFonts w:ascii="Times New Roman" w:hAnsi="Times New Roman" w:eastAsia="宋体" w:cs="Times New Roman"/>
          <w:b/>
          <w:i w:val="0"/>
          <w:iCs/>
          <w:sz w:val="24"/>
          <w:highlight w:val="yellow"/>
        </w:rPr>
        <w:fldChar w:fldCharType="begin"/>
      </w:r>
      <w:r>
        <w:rPr>
          <w:rFonts w:ascii="Times New Roman" w:hAnsi="Times New Roman" w:eastAsia="宋体" w:cs="Times New Roman"/>
          <w:b/>
          <w:i w:val="0"/>
          <w:iCs/>
          <w:sz w:val="24"/>
          <w:highlight w:val="yellow"/>
        </w:rPr>
        <w:instrText xml:space="preserve"> MERGEFIELD [#list agreement.eiList as ei] \* MERGEFORMAT </w:instrText>
      </w:r>
      <w:r>
        <w:rPr>
          <w:rFonts w:ascii="Times New Roman" w:hAnsi="Times New Roman" w:eastAsia="宋体" w:cs="Times New Roman"/>
          <w:b/>
          <w:i w:val="0"/>
          <w:iCs/>
          <w:sz w:val="24"/>
          <w:highlight w:val="yellow"/>
        </w:rPr>
        <w:fldChar w:fldCharType="separate"/>
      </w:r>
      <w:r>
        <w:rPr>
          <w:rFonts w:ascii="Times New Roman" w:hAnsi="Times New Roman" w:eastAsia="宋体" w:cs="Times New Roman"/>
          <w:b/>
          <w:i w:val="0"/>
          <w:iCs/>
          <w:sz w:val="24"/>
          <w:highlight w:val="yellow"/>
        </w:rPr>
        <w:t>«[#list»</w:t>
      </w:r>
      <w:r>
        <w:rPr>
          <w:rFonts w:ascii="Times New Roman" w:hAnsi="Times New Roman" w:eastAsia="宋体" w:cs="Times New Roman"/>
          <w:b/>
          <w:i w:val="0"/>
          <w:iCs/>
          <w:sz w:val="24"/>
          <w:highlight w:val="yellow"/>
        </w:rPr>
        <w:fldChar w:fldCharType="end"/>
      </w:r>
    </w:p>
    <w:p>
      <w:pPr>
        <w:keepNext w:val="0"/>
        <w:keepLines w:val="0"/>
        <w:pageBreakBefore w:val="0"/>
        <w:widowControl w:val="0"/>
        <w:numPr>
          <w:ilvl w:val="2"/>
          <w:numId w:val="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ei.investCurrency=="美元"]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${ei["investorName"]}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向公司投资等值于【</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${ei["investmentAmount"]}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】元人民币的美元现汇（按实际付款日中国人民银行公布的人民币对美元的汇率中间价折算），认购公司注册资本人民币【</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${ei["subscribedCapital"]}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】元，持有公司【</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${ei["percentage"]}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】%的股权</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${ei["investorName"]}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向公司投入【</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${ei["investmentAmount"]}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】元人民币，认购公司注册资本人民币【</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${ei["subscribedCapital"]}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】元，持有公司【</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${ei["percentage"]}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】%的股权</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ei_has_next]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[/#if]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[/#list]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«[/#list]»</w:t>
      </w:r>
      <w:r>
        <w:rPr>
          <w:rFonts w:hint="eastAsia" w:ascii="Times New Roman" w:hAnsi="Times New Roman" w:eastAsia="宋体" w:cs="Times New Roman"/>
          <w:sz w:val="24"/>
          <w:highlight w:val="yellow"/>
          <w:lang w:val="en-GB" w:eastAsia="zh-CN"/>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各方的出资进度</w:t>
      </w:r>
    </w:p>
    <w:p>
      <w:pPr>
        <w:keepNext w:val="0"/>
        <w:keepLines w:val="0"/>
        <w:pageBreakBefore w:val="0"/>
        <w:widowControl w:val="0"/>
        <w:numPr>
          <w:ilvl w:val="2"/>
          <w:numId w:val="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已缴纳【】元人民币的注册资本，剩余的认缴注册资本应在【】年【】月【】日前缴清；【】已缴纳【】元人民币的注册资本，剩余的认缴注册资本应在【】年【】月【】日前缴清；【】已缴纳【】元人民币的注册资本，剩余的认缴注册资本应在【】年【】月【】日前缴清。 【SH Note:请公司确认各股东认缴注册资本的实缴时间安排。】</w:t>
      </w:r>
    </w:p>
    <w:p>
      <w:pPr>
        <w:keepNext w:val="0"/>
        <w:keepLines w:val="0"/>
        <w:pageBreakBefore w:val="0"/>
        <w:widowControl w:val="0"/>
        <w:numPr>
          <w:ilvl w:val="2"/>
          <w:numId w:val="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乙方应根据增资协议确定的条款和条件于交割日将其在本轮投资中相应的投资款汇入公司指定账户；</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各方一致同意，乙方按本条的约定支付完毕全部投资款后，乙方在本合同项下的投资义务即告完成，且乙方认缴注册资本即实缴完毕。</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出资证明书</w:t>
      </w:r>
      <w:r>
        <w:rPr>
          <w:rFonts w:ascii="Times New Roman" w:hAnsi="Times New Roman" w:eastAsia="宋体" w:cs="Times New Roman"/>
          <w:sz w:val="24"/>
        </w:rPr>
        <w:br w:type="textWrapping"/>
      </w:r>
      <w:r>
        <w:rPr>
          <w:rFonts w:hint="eastAsia" w:ascii="Times New Roman" w:hAnsi="Times New Roman" w:eastAsia="宋体" w:cs="Times New Roman"/>
          <w:sz w:val="24"/>
          <w:szCs w:val="24"/>
        </w:rPr>
        <w:t>公司应当在交割日（定义见增资协议）后的【3】个工作日内委托有资质的会计师事务所对各方出资进行验资并出具相应的验资报告</w:t>
      </w:r>
      <w:r>
        <w:rPr>
          <w:rFonts w:ascii="Times New Roman" w:hAnsi="Times New Roman" w:eastAsia="宋体" w:cs="Times New Roman"/>
          <w:color w:val="000000"/>
          <w:sz w:val="24"/>
          <w:szCs w:val="24"/>
        </w:rPr>
        <w:t>，公司据此发给</w:t>
      </w:r>
      <w:r>
        <w:rPr>
          <w:rFonts w:hint="eastAsia" w:ascii="Times New Roman" w:hAnsi="Times New Roman" w:eastAsia="宋体" w:cs="Times New Roman"/>
          <w:sz w:val="24"/>
        </w:rPr>
        <w:t>各方</w:t>
      </w:r>
      <w:r>
        <w:rPr>
          <w:rFonts w:ascii="Times New Roman" w:hAnsi="Times New Roman" w:eastAsia="宋体" w:cs="Times New Roman"/>
          <w:color w:val="000000"/>
          <w:sz w:val="24"/>
          <w:szCs w:val="24"/>
        </w:rPr>
        <w:t>出资证明书并将</w:t>
      </w:r>
      <w:r>
        <w:rPr>
          <w:rFonts w:hint="eastAsia" w:ascii="Times New Roman" w:hAnsi="Times New Roman" w:eastAsia="宋体" w:cs="Times New Roman"/>
          <w:sz w:val="24"/>
        </w:rPr>
        <w:t>各方</w:t>
      </w:r>
      <w:r>
        <w:rPr>
          <w:rFonts w:ascii="Times New Roman" w:hAnsi="Times New Roman" w:eastAsia="宋体" w:cs="Times New Roman"/>
          <w:color w:val="000000"/>
          <w:sz w:val="24"/>
          <w:szCs w:val="24"/>
        </w:rPr>
        <w:t>名称、出资比例等记载于公司的股东名册；出资证明书及股东名册应符合《</w:t>
      </w:r>
      <w:r>
        <w:rPr>
          <w:rFonts w:hint="eastAsia" w:ascii="Times New Roman" w:hAnsi="Times New Roman" w:eastAsia="宋体" w:cs="Times New Roman"/>
          <w:color w:val="000000"/>
          <w:sz w:val="24"/>
          <w:szCs w:val="24"/>
        </w:rPr>
        <w:t>中华人民共和国</w:t>
      </w:r>
      <w:r>
        <w:rPr>
          <w:rFonts w:ascii="Times New Roman" w:hAnsi="Times New Roman" w:eastAsia="宋体" w:cs="Times New Roman"/>
          <w:color w:val="000000"/>
          <w:sz w:val="24"/>
          <w:szCs w:val="24"/>
        </w:rPr>
        <w:t>公司法》的规定</w:t>
      </w:r>
      <w:r>
        <w:rPr>
          <w:rFonts w:hint="eastAsia" w:ascii="Times New Roman" w:hAnsi="Times New Roman" w:eastAsia="宋体" w:cs="Times New Roman"/>
          <w:sz w:val="24"/>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投资总额与注册资本之差额</w:t>
      </w:r>
      <w:r>
        <w:rPr>
          <w:rFonts w:ascii="Times New Roman" w:hAnsi="Times New Roman" w:eastAsia="宋体" w:cs="Times New Roman"/>
          <w:sz w:val="24"/>
          <w:u w:val="single"/>
        </w:rPr>
        <w:br w:type="textWrapping"/>
      </w:r>
      <w:r>
        <w:rPr>
          <w:rFonts w:hint="eastAsia" w:ascii="Times New Roman" w:hAnsi="Times New Roman" w:eastAsia="宋体" w:cs="Times New Roman"/>
          <w:sz w:val="24"/>
        </w:rPr>
        <w:t>经董事会根据公司经营需要做出决定，公司投资总额与注册资本的差额可由公司通过在境内及/或境外贷款的方式筹集。</w:t>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7" w:name="_Toc332999834"/>
      <w:r>
        <w:rPr>
          <w:rFonts w:hint="eastAsia" w:ascii="Times New Roman" w:hAnsi="Times New Roman" w:eastAsia="宋体" w:cs="Times New Roman"/>
          <w:b/>
          <w:bCs w:val="0"/>
          <w:sz w:val="24"/>
          <w:szCs w:val="22"/>
        </w:rPr>
        <w:t>股权的成熟及转让</w:t>
      </w:r>
      <w:bookmarkEnd w:id="17"/>
      <w:r>
        <w:rPr>
          <w:rFonts w:hint="eastAsia" w:ascii="Times New Roman" w:hAnsi="Times New Roman" w:eastAsia="宋体" w:cs="Times New Roman"/>
          <w:b/>
          <w:bCs w:val="0"/>
          <w:sz w:val="24"/>
          <w:szCs w:val="22"/>
        </w:rPr>
        <w:t>限制</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none"/>
        </w:rPr>
        <w:t>创始人持有的公司股权将分【</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${agreement["stockMaturityObj"].founder.byStages}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】年按年成熟（“</w:t>
      </w:r>
      <w:r>
        <w:rPr>
          <w:rFonts w:hint="eastAsia" w:ascii="Times New Roman" w:hAnsi="Times New Roman" w:eastAsia="宋体" w:cs="Times New Roman"/>
          <w:sz w:val="24"/>
          <w:u w:val="single"/>
        </w:rPr>
        <w:t>成熟期</w:t>
      </w:r>
      <w:r>
        <w:rPr>
          <w:rFonts w:hint="eastAsia" w:ascii="Times New Roman" w:hAnsi="Times New Roman" w:eastAsia="宋体" w:cs="Times New Roman"/>
          <w:sz w:val="24"/>
          <w:u w:val="none"/>
        </w:rPr>
        <w:t>”），自</w:t>
      </w:r>
      <w:r>
        <w:rPr>
          <w:rFonts w:hint="eastAsia" w:cs="Times New Roman"/>
          <w:sz w:val="24"/>
          <w:u w:val="none"/>
          <w:lang w:eastAsia="zh-CN"/>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${agreement["stockMaturityObj"].founder.startTime}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cs="Times New Roman"/>
          <w:sz w:val="24"/>
          <w:u w:val="none"/>
          <w:lang w:eastAsia="zh-CN"/>
        </w:rPr>
        <w:t>】</w:t>
      </w:r>
      <w:r>
        <w:rPr>
          <w:rFonts w:hint="eastAsia" w:ascii="Times New Roman" w:hAnsi="Times New Roman" w:eastAsia="宋体" w:cs="Times New Roman"/>
          <w:sz w:val="24"/>
          <w:u w:val="none"/>
        </w:rPr>
        <w:t>起，每满一【</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${agreement["stockMaturityObj"].founder.matureCycle}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】成熟【</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${agreement["stockMaturityObj"].founder.matureProportion}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cs="Times New Roman"/>
          <w:sz w:val="24"/>
          <w:highlight w:val="yellow"/>
          <w:u w:val="none"/>
          <w:lang w:val="en-US" w:eastAsia="zh-CN"/>
        </w:rPr>
        <w:t>%</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在成熟期内，若创始人主动从公司离职、因其自身主观原因不能履行职务或因过错理由被公司解职（包括作为公司服务提供者的持续状态的终止），则创始人应以1元人民币的价格或者法律允许的最低价格：(i)经公司董事会（其中应包含【投资方】董事）的同意，将其未成熟的股权按照届时除该创始人之外的其它公司股东相互之间的股权比例转让给其它公司股东，但受让该等股权的股东应同意将前述受让股权用于实施公司董事会批准（其中应包含投资方董事的同意）的员工股权/期权激励计划，或(ii)转让给公司董事会指定（其中应包含投资方董事的同意）的主体，用于实施公司董事会批准（其中应包含投资方董事的同意）的员工股权/期权激励计划。就本条之目的，“</w:t>
      </w:r>
      <w:r>
        <w:rPr>
          <w:rFonts w:hint="eastAsia" w:ascii="Times New Roman" w:hAnsi="Times New Roman" w:eastAsia="宋体" w:cs="Times New Roman"/>
          <w:sz w:val="24"/>
          <w:u w:val="single"/>
        </w:rPr>
        <w:t>过错理由</w:t>
      </w:r>
      <w:r>
        <w:rPr>
          <w:rFonts w:hint="eastAsia" w:ascii="Times New Roman" w:hAnsi="Times New Roman" w:eastAsia="宋体" w:cs="Times New Roman"/>
          <w:sz w:val="24"/>
          <w:u w:val="none"/>
        </w:rPr>
        <w:t>”指(i) 严重（为免疑义，是否“严重”以公司董事会（应排该创始人（如该创始人为公司董事）及与该创始人有关联关系的董事）的认定为准）违反其和公司签署的书面协议（包括但不限于劳动合同，保密、竞业禁止及知识产权归属协议）的规定； (ii) 被依法追究刑事责任，且因此而无法在公司全职工作的；（iii）由于故意、重大过失、不诚信或者欺诈行为给公司造成任何严重损失；（iv）直接或间接地从事与公司主营业务相竞争的业务活动；（v）侵犯公司利益给公司造成重大损失；或者（vi）由于酗酒以及违法用药等原因导致其不能履行其劳动合同（服务协议，如适用）或者交易文件项下的对公司的责任和义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创始人不得为公务人员或其他法律禁止参与营利性活动的主体代持股权。未经【多数投资方】的事先书面同意，自交割日至首次公开发行之日止，创始人不得对其直接或通过任何方式间接持有的公司及/或控股子公司股权采取任何方式进行转让、处置、质押或设置第三方权利，或许可设置任何质权或第三方权利。任何违反本条规定而进行的股权转让无效，受让人不能享受直接或间接作为公司股东的任何权利，公司也不应将其视为股东。</w:t>
      </w:r>
    </w:p>
    <w:p>
      <w:pPr>
        <w:keepNext w:val="0"/>
        <w:keepLines w:val="0"/>
        <w:pageBreakBefore w:val="0"/>
        <w:widowControl w:val="0"/>
        <w:kinsoku/>
        <w:wordWrap/>
        <w:overflowPunct/>
        <w:topLinePunct w:val="0"/>
        <w:autoSpaceDE/>
        <w:autoSpaceDN/>
        <w:bidi w:val="0"/>
        <w:adjustRightInd/>
        <w:snapToGrid/>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b/>
          <w:i/>
          <w:sz w:val="24"/>
        </w:rPr>
      </w:pPr>
      <w:r>
        <w:rPr>
          <w:rFonts w:hint="eastAsia" w:ascii="Times New Roman" w:hAnsi="Times New Roman" w:eastAsia="宋体" w:cs="Times New Roman"/>
          <w:sz w:val="24"/>
        </w:rPr>
        <w:t>尽管有前述约定，创始人直接或间接转让或</w:t>
      </w:r>
      <w:r>
        <w:rPr>
          <w:rFonts w:ascii="Times New Roman" w:hAnsi="Times New Roman" w:eastAsia="宋体" w:cs="Times New Roman"/>
          <w:sz w:val="24"/>
        </w:rPr>
        <w:t>处置</w:t>
      </w:r>
      <w:r>
        <w:rPr>
          <w:rFonts w:hint="eastAsia" w:ascii="Times New Roman" w:hAnsi="Times New Roman" w:eastAsia="宋体" w:cs="Times New Roman"/>
          <w:sz w:val="24"/>
        </w:rPr>
        <w:t>累计不超过本次投资完成前公司（或其控股子公司，如适用）5%股权（根据</w:t>
      </w:r>
      <w:r>
        <w:rPr>
          <w:rFonts w:ascii="Times New Roman" w:hAnsi="Times New Roman" w:eastAsia="宋体" w:cs="Times New Roman"/>
          <w:sz w:val="24"/>
        </w:rPr>
        <w:t>公司拆分、</w:t>
      </w:r>
      <w:r>
        <w:rPr>
          <w:rFonts w:hint="eastAsia" w:ascii="Times New Roman" w:hAnsi="Times New Roman" w:eastAsia="宋体" w:cs="Times New Roman"/>
          <w:sz w:val="24"/>
        </w:rPr>
        <w:t>合并</w:t>
      </w:r>
      <w:r>
        <w:rPr>
          <w:rFonts w:ascii="Times New Roman" w:hAnsi="Times New Roman" w:eastAsia="宋体" w:cs="Times New Roman"/>
          <w:sz w:val="24"/>
        </w:rPr>
        <w:t>、转</w:t>
      </w:r>
      <w:r>
        <w:rPr>
          <w:rFonts w:hint="eastAsia" w:ascii="Times New Roman" w:hAnsi="Times New Roman" w:eastAsia="宋体" w:cs="Times New Roman"/>
          <w:sz w:val="24"/>
        </w:rPr>
        <w:t>让、</w:t>
      </w:r>
      <w:r>
        <w:rPr>
          <w:rFonts w:ascii="Times New Roman" w:hAnsi="Times New Roman" w:eastAsia="宋体" w:cs="Times New Roman"/>
          <w:sz w:val="24"/>
        </w:rPr>
        <w:t>增</w:t>
      </w:r>
      <w:r>
        <w:rPr>
          <w:rFonts w:hint="eastAsia" w:ascii="Times New Roman" w:hAnsi="Times New Roman" w:eastAsia="宋体" w:cs="Times New Roman"/>
          <w:sz w:val="24"/>
        </w:rPr>
        <w:t>加</w:t>
      </w:r>
      <w:r>
        <w:rPr>
          <w:rFonts w:ascii="Times New Roman" w:hAnsi="Times New Roman" w:eastAsia="宋体" w:cs="Times New Roman"/>
          <w:sz w:val="24"/>
        </w:rPr>
        <w:t>注册资本等情形相应调整）</w:t>
      </w:r>
      <w:r>
        <w:rPr>
          <w:rFonts w:hint="eastAsia" w:ascii="Times New Roman" w:hAnsi="Times New Roman" w:eastAsia="宋体" w:cs="Times New Roman"/>
          <w:sz w:val="24"/>
        </w:rPr>
        <w:t>的，不受本合同第6.3条第一款的限制。</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agreement.rofrAndJsrObj.ROFROption=="1"]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在遵守本合同第6.3条规定的转让限制下，创始人拟将其在公司中拥有的全部或部分股权转让给第三方的，【</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】享有以与有关第三方拟购买该等股权相同的价格和条件优先购买该被转让股权的权利（“</w:t>
      </w:r>
      <w:r>
        <w:rPr>
          <w:rFonts w:hint="eastAsia" w:ascii="Times New Roman" w:hAnsi="Times New Roman" w:eastAsia="宋体" w:cs="Times New Roman"/>
          <w:sz w:val="24"/>
          <w:u w:val="single"/>
        </w:rPr>
        <w:t>优先购买权</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受限于本合同规定的其他情形，【</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${agreement["rofrAndJsrObj"].restrictedShareholder}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卖方</w:t>
      </w:r>
      <w:r>
        <w:rPr>
          <w:rFonts w:hint="eastAsia" w:ascii="Times New Roman" w:hAnsi="Times New Roman" w:eastAsia="宋体" w:cs="Times New Roman"/>
          <w:sz w:val="24"/>
          <w:u w:val="none"/>
        </w:rPr>
        <w:t>”）欲出售、转让或以其他方式处置其在公司中拥有的全部或部分股权（“</w:t>
      </w:r>
      <w:r>
        <w:rPr>
          <w:rFonts w:hint="eastAsia" w:ascii="Times New Roman" w:hAnsi="Times New Roman" w:eastAsia="宋体" w:cs="Times New Roman"/>
          <w:sz w:val="24"/>
          <w:u w:val="single"/>
        </w:rPr>
        <w:t>拟出售股权</w:t>
      </w:r>
      <w:r>
        <w:rPr>
          <w:rFonts w:hint="eastAsia" w:ascii="Times New Roman" w:hAnsi="Times New Roman" w:eastAsia="宋体" w:cs="Times New Roman"/>
          <w:sz w:val="24"/>
          <w:u w:val="none"/>
        </w:rPr>
        <w:t>”）的，应提前【30】日向【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优先购买方</w:t>
      </w:r>
      <w:r>
        <w:rPr>
          <w:rFonts w:hint="eastAsia" w:ascii="Times New Roman" w:hAnsi="Times New Roman" w:eastAsia="宋体" w:cs="Times New Roman"/>
          <w:sz w:val="24"/>
          <w:u w:val="none"/>
        </w:rPr>
        <w:t>”）及公司发出出售其公司股权之通知（“</w:t>
      </w:r>
      <w:r>
        <w:rPr>
          <w:rFonts w:hint="eastAsia" w:ascii="Times New Roman" w:hAnsi="Times New Roman" w:eastAsia="宋体" w:cs="Times New Roman"/>
          <w:sz w:val="24"/>
          <w:u w:val="single"/>
        </w:rPr>
        <w:t>出售通知</w:t>
      </w:r>
      <w:r>
        <w:rPr>
          <w:rFonts w:hint="eastAsia" w:ascii="Times New Roman" w:hAnsi="Times New Roman" w:eastAsia="宋体" w:cs="Times New Roman"/>
          <w:sz w:val="24"/>
          <w:u w:val="none"/>
        </w:rPr>
        <w:t>”）。出售通知应包括拟出售股权的全部条款，包括售价、付款条件以及第三方的身份。优先购买方有权按照出售通知载明的同等价格和条件，协商确定各自优先购买拟出售股权的比例。如协商不成，各优先购买方按照以下数额行使优先购买权：(i)拟出售股权，乘以(ii)一个分数，分子是该优先购买方持有的公司股权，分母是所有行使优先购买权的优先购买方持有的公司股权的总和。若任何优先购买方未行使或未完全行使其优先购买权，则其他已完全行使优先购买权的优先购买方有权利但无义务继续按照其相对持股比例购买剩余拟出售股权，最多可至所有剩余股权被优先购买方全部购买。行使优先购买权须于收到出售通知之日起【30】日内通知卖方，逾期未通知的，视为放弃优先购买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果按照前述第6.5条规定，拟出售股权未被优先购买或未被全部优先购买的，卖方在遵守下述第6.7条规定的前提下有权将全部或剩余的拟出售股权出售给第三方，但出售条件不得优于出售通知中载明的条件。作为卖方转让股权的先决条件，卖方应促使该第三方同意遵守本合同和公司章程及其各自不时修订的条款，如同其原本就是公司的一名股东。</w:t>
      </w:r>
    </w:p>
    <w:p>
      <w:pPr>
        <w:keepNext w:val="0"/>
        <w:keepLines w:val="0"/>
        <w:pageBreakBefore w:val="0"/>
        <w:widowControl w:val="0"/>
        <w:kinsoku/>
        <w:wordWrap/>
        <w:overflowPunct/>
        <w:topLinePunct w:val="0"/>
        <w:autoSpaceDE/>
        <w:autoSpaceDN/>
        <w:bidi w:val="0"/>
        <w:adjustRightInd/>
        <w:snapToGrid/>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rPr>
        <w:t>为避免疑问</w:t>
      </w:r>
      <w:r>
        <w:rPr>
          <w:rFonts w:ascii="Times New Roman" w:hAnsi="Times New Roman" w:eastAsia="宋体" w:cs="Times New Roman"/>
          <w:sz w:val="24"/>
        </w:rPr>
        <w:t>，</w:t>
      </w:r>
      <w:r>
        <w:rPr>
          <w:rFonts w:hint="eastAsia" w:ascii="Times New Roman" w:hAnsi="Times New Roman" w:eastAsia="宋体" w:cs="Times New Roman"/>
          <w:sz w:val="24"/>
        </w:rPr>
        <w:t>当</w:t>
      </w:r>
      <w:r>
        <w:rPr>
          <w:rFonts w:ascii="Times New Roman" w:hAnsi="Times New Roman" w:eastAsia="宋体" w:cs="Times New Roman"/>
          <w:sz w:val="24"/>
        </w:rPr>
        <w:t>卖方</w:t>
      </w:r>
      <w:r>
        <w:rPr>
          <w:rFonts w:hint="eastAsia" w:ascii="Times New Roman" w:hAnsi="Times New Roman" w:eastAsia="宋体" w:cs="Times New Roman"/>
          <w:sz w:val="24"/>
        </w:rPr>
        <w:t>为实施员工激励方案之目的而</w:t>
      </w:r>
      <w:r>
        <w:rPr>
          <w:rFonts w:ascii="Times New Roman" w:hAnsi="Times New Roman" w:eastAsia="宋体" w:cs="Times New Roman"/>
          <w:sz w:val="24"/>
        </w:rPr>
        <w:t>转让</w:t>
      </w:r>
      <w:r>
        <w:rPr>
          <w:rFonts w:hint="eastAsia" w:ascii="Times New Roman" w:hAnsi="Times New Roman" w:eastAsia="宋体" w:cs="Times New Roman"/>
          <w:sz w:val="24"/>
        </w:rPr>
        <w:t>或</w:t>
      </w:r>
      <w:r>
        <w:rPr>
          <w:rFonts w:ascii="Times New Roman" w:hAnsi="Times New Roman" w:eastAsia="宋体" w:cs="Times New Roman"/>
          <w:sz w:val="24"/>
        </w:rPr>
        <w:t>处置任何</w:t>
      </w:r>
      <w:r>
        <w:rPr>
          <w:rFonts w:hint="eastAsia" w:ascii="Times New Roman" w:hAnsi="Times New Roman" w:eastAsia="宋体" w:cs="Times New Roman"/>
          <w:sz w:val="24"/>
        </w:rPr>
        <w:t>本合同</w:t>
      </w:r>
      <w:r>
        <w:rPr>
          <w:rFonts w:ascii="Times New Roman" w:hAnsi="Times New Roman" w:eastAsia="宋体" w:cs="Times New Roman"/>
          <w:sz w:val="24"/>
        </w:rPr>
        <w:t>第14</w:t>
      </w:r>
      <w:r>
        <w:rPr>
          <w:rFonts w:hint="eastAsia" w:ascii="Times New Roman" w:hAnsi="Times New Roman" w:eastAsia="宋体" w:cs="Times New Roman"/>
          <w:sz w:val="24"/>
        </w:rPr>
        <w:t>条</w:t>
      </w:r>
      <w:r>
        <w:rPr>
          <w:rFonts w:ascii="Times New Roman" w:hAnsi="Times New Roman" w:eastAsia="宋体" w:cs="Times New Roman"/>
          <w:sz w:val="24"/>
        </w:rPr>
        <w:t>项下约定的激励股权</w:t>
      </w:r>
      <w:r>
        <w:rPr>
          <w:rFonts w:hint="eastAsia" w:ascii="Times New Roman" w:hAnsi="Times New Roman" w:eastAsia="宋体" w:cs="Times New Roman"/>
          <w:sz w:val="24"/>
        </w:rPr>
        <w:t>给任何被激励的员工时，如创始人取得任何</w:t>
      </w:r>
      <w:r>
        <w:rPr>
          <w:rFonts w:ascii="Times New Roman" w:hAnsi="Times New Roman" w:eastAsia="宋体" w:cs="Times New Roman"/>
          <w:sz w:val="24"/>
        </w:rPr>
        <w:t>收入</w:t>
      </w:r>
      <w:r>
        <w:rPr>
          <w:rFonts w:hint="eastAsia" w:ascii="Times New Roman" w:hAnsi="Times New Roman" w:eastAsia="宋体" w:cs="Times New Roman"/>
          <w:sz w:val="24"/>
        </w:rPr>
        <w:t>的</w:t>
      </w:r>
      <w:r>
        <w:rPr>
          <w:rFonts w:ascii="Times New Roman" w:hAnsi="Times New Roman" w:eastAsia="宋体" w:cs="Times New Roman"/>
          <w:sz w:val="24"/>
        </w:rPr>
        <w:t>，</w:t>
      </w:r>
      <w:r>
        <w:rPr>
          <w:rFonts w:hint="eastAsia" w:ascii="Times New Roman" w:hAnsi="Times New Roman" w:eastAsia="宋体" w:cs="Times New Roman"/>
          <w:sz w:val="24"/>
        </w:rPr>
        <w:t>该等收入</w:t>
      </w:r>
      <w:r>
        <w:rPr>
          <w:rFonts w:ascii="Times New Roman" w:hAnsi="Times New Roman" w:eastAsia="宋体" w:cs="Times New Roman"/>
          <w:sz w:val="24"/>
        </w:rPr>
        <w:t>应当通过法律允许的方式无偿转让</w:t>
      </w:r>
      <w:r>
        <w:rPr>
          <w:rFonts w:hint="eastAsia" w:ascii="Times New Roman" w:hAnsi="Times New Roman" w:eastAsia="宋体" w:cs="Times New Roman"/>
          <w:sz w:val="24"/>
        </w:rPr>
        <w:t>为</w:t>
      </w:r>
      <w:r>
        <w:rPr>
          <w:rFonts w:ascii="Times New Roman" w:hAnsi="Times New Roman" w:eastAsia="宋体" w:cs="Times New Roman"/>
          <w:sz w:val="24"/>
        </w:rPr>
        <w:t>公司所有。</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如创始人拟出售股权未被优先购买或未被全部优先购买的，不行使或放弃优先购买权的【</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共同出售方</w:t>
      </w:r>
      <w:r>
        <w:rPr>
          <w:rFonts w:hint="eastAsia" w:ascii="Times New Roman" w:hAnsi="Times New Roman" w:eastAsia="宋体" w:cs="Times New Roman"/>
          <w:sz w:val="24"/>
          <w:u w:val="none"/>
        </w:rPr>
        <w:t>”）有权但无义务按照出售通知载明的相同价格和条件参与出售其持有的公司股权（“</w:t>
      </w:r>
      <w:r>
        <w:rPr>
          <w:rFonts w:hint="eastAsia" w:ascii="Times New Roman" w:hAnsi="Times New Roman" w:eastAsia="宋体" w:cs="Times New Roman"/>
          <w:sz w:val="24"/>
          <w:u w:val="single"/>
        </w:rPr>
        <w:t>共同出售权</w:t>
      </w:r>
      <w:r>
        <w:rPr>
          <w:rFonts w:hint="eastAsia" w:ascii="Times New Roman" w:hAnsi="Times New Roman" w:eastAsia="宋体" w:cs="Times New Roman"/>
          <w:sz w:val="24"/>
          <w:u w:val="none"/>
        </w:rPr>
        <w:t>”）。如果共同出售方决定行使前述规定的共同出售权，则应向创始人发出参与出售的通知（“</w:t>
      </w:r>
      <w:r>
        <w:rPr>
          <w:rFonts w:hint="eastAsia" w:ascii="Times New Roman" w:hAnsi="Times New Roman" w:eastAsia="宋体" w:cs="Times New Roman"/>
          <w:sz w:val="24"/>
          <w:u w:val="single"/>
        </w:rPr>
        <w:t>共同出售通知</w:t>
      </w:r>
      <w:r>
        <w:rPr>
          <w:rFonts w:hint="eastAsia" w:ascii="Times New Roman" w:hAnsi="Times New Roman" w:eastAsia="宋体" w:cs="Times New Roman"/>
          <w:sz w:val="24"/>
          <w:u w:val="none"/>
        </w:rPr>
        <w:t>”），该通知应载明其拟参与出售的股权的数量。共同出售方可以参与出售的股权数量不超过以下各项的乘积：(i)全部拟出售股权减去被优先购买的拟出售股权（如有）后的余额，乘以(ii)一个分数，分子是该共同出售方持有的公司股权，分母是该创始人和全部拟行使共同出售权的共同出售方持有的公司股权的总和。尽管有前述约定，如创始人转让股权为其届时所持公司的全部股权，则共同出售方有权（但无义务）行使共同出售权的股权数额为投资方持有的全部公司股权。创始人接到共同出售方发出的共同出售通知后，应当采取一切合理措施保证共同出售方共同出售权的实现（包括但不限于缩减创始人出售股权数量等方式）。在共同出售方实现其共同出售权之前，创始人不得实施股权转让，除非创始人同时以出售通知载明的相同价格和条件购买共同出售方在共同出售通知中载明的拟参与共同出售的全部股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u w:val="none"/>
        </w:rPr>
        <w:t>【投资方】可以自由出售、转让或以其他方式处置其在公司的股权，无需经过公司和其他股东同意。【投资方】可将其持有的公司的全部或部分股权转让给第三方，股权转让后该第三方享有的各项权利应与股权转让前【投资方】所享有的各项权利相同。其他方在此不可撤销地同意投资方股权的上述转让，并应届时采取一切必要措施批准该等转让，并放弃对【投资方】转让股权的优先购买权。【尽管有上述约定，但【】不得出售和转让给本协议附件一所列清单中与公司存在竞争关系的第三方，该等清单在公司董事会认为必要时可进行更新】</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agreement.prObj.option=="1"]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8" w:name="_Toc332999835"/>
      <w:r>
        <w:rPr>
          <w:rFonts w:hint="eastAsia" w:ascii="Times New Roman" w:hAnsi="Times New Roman" w:eastAsia="宋体" w:cs="Times New Roman"/>
          <w:b/>
          <w:bCs w:val="0"/>
          <w:sz w:val="24"/>
          <w:szCs w:val="22"/>
        </w:rPr>
        <w:t>优先认购权</w:t>
      </w:r>
      <w:bookmarkEnd w:id="18"/>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自交割日起至首次公开发行之日止，如果公司拟增加注册资本或发行可转换为公司股权的证券、票据，需经【</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${agreement["prObj"].financingPermit}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】事先书面同意。公司拟增加注册资本时，应提前【30】日向【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${agreement["prObj"].PRPeople}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】发出通知（“</w:t>
      </w:r>
      <w:r>
        <w:rPr>
          <w:rFonts w:hint="eastAsia" w:ascii="Times New Roman" w:hAnsi="Times New Roman" w:eastAsia="宋体" w:cs="Times New Roman"/>
          <w:sz w:val="24"/>
          <w:u w:val="single"/>
        </w:rPr>
        <w:t>增资通知</w:t>
      </w:r>
      <w:r>
        <w:rPr>
          <w:rFonts w:hint="eastAsia" w:ascii="Times New Roman" w:hAnsi="Times New Roman" w:eastAsia="宋体" w:cs="Times New Roman"/>
          <w:sz w:val="24"/>
          <w:u w:val="none"/>
        </w:rPr>
        <w:t>”），增资通知应包含拟新增注册资本的金额、认购新增注册资本的价格、有意认购新增注册资本的第三方的身份及其他与新增注册资本相关的内容。【</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${agreement["prObj"].PRPeople}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优先认购方</w:t>
      </w:r>
      <w:r>
        <w:rPr>
          <w:rFonts w:hint="eastAsia" w:ascii="Times New Roman" w:hAnsi="Times New Roman" w:eastAsia="宋体" w:cs="Times New Roman"/>
          <w:sz w:val="24"/>
          <w:u w:val="none"/>
        </w:rPr>
        <w:t>”）在收到公司发出的增资通知后【15】个工作日（“</w:t>
      </w:r>
      <w:r>
        <w:rPr>
          <w:rFonts w:hint="eastAsia" w:ascii="Times New Roman" w:hAnsi="Times New Roman" w:eastAsia="宋体" w:cs="Times New Roman"/>
          <w:sz w:val="24"/>
          <w:u w:val="single"/>
        </w:rPr>
        <w:t>第一次认购期限</w:t>
      </w:r>
      <w:r>
        <w:rPr>
          <w:rFonts w:hint="eastAsia" w:ascii="Times New Roman" w:hAnsi="Times New Roman" w:eastAsia="宋体" w:cs="Times New Roman"/>
          <w:sz w:val="24"/>
          <w:u w:val="none"/>
        </w:rPr>
        <w:t>”）内，有权但无义务按其届时在公司所占的股权比例认购公司拟新增的注册资本（“</w:t>
      </w:r>
      <w:r>
        <w:rPr>
          <w:rFonts w:hint="eastAsia" w:ascii="Times New Roman" w:hAnsi="Times New Roman" w:eastAsia="宋体" w:cs="Times New Roman"/>
          <w:sz w:val="24"/>
          <w:u w:val="single"/>
        </w:rPr>
        <w:t>优先认购权</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任一优先认购方未行使或未完全行使其优先认购权，则公司应立即向完全已行使优先认购权的优先认购方发出书面通知，说明剩余未被认购的注册资本的数额以及完全行使优先认购权的股东名单，已完全行使优先认购权的优先认购方有权利但无义务在收到该通知之日起【10】日（“</w:t>
      </w:r>
      <w:r>
        <w:rPr>
          <w:rFonts w:hint="eastAsia" w:ascii="Times New Roman" w:hAnsi="Times New Roman" w:eastAsia="宋体" w:cs="Times New Roman"/>
          <w:sz w:val="24"/>
          <w:u w:val="single"/>
        </w:rPr>
        <w:t>第二次认购期限</w:t>
      </w:r>
      <w:r>
        <w:rPr>
          <w:rFonts w:hint="eastAsia" w:ascii="Times New Roman" w:hAnsi="Times New Roman" w:eastAsia="宋体" w:cs="Times New Roman"/>
          <w:sz w:val="24"/>
          <w:u w:val="none"/>
        </w:rPr>
        <w:t>”，与第一次认购期限合称为“</w:t>
      </w:r>
      <w:r>
        <w:rPr>
          <w:rFonts w:hint="eastAsia" w:ascii="Times New Roman" w:hAnsi="Times New Roman" w:eastAsia="宋体" w:cs="Times New Roman"/>
          <w:sz w:val="24"/>
          <w:u w:val="single"/>
        </w:rPr>
        <w:t>认购期限</w:t>
      </w:r>
      <w:r>
        <w:rPr>
          <w:rFonts w:hint="eastAsia" w:ascii="Times New Roman" w:hAnsi="Times New Roman" w:eastAsia="宋体" w:cs="Times New Roman"/>
          <w:sz w:val="24"/>
          <w:u w:val="none"/>
        </w:rPr>
        <w:t>”）内继续认购其它优先认购方放弃的部分。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如果按照前述第7.1和7.2条的规定，优先认购方部分或全部行使其优先认购权后，第三方有权自公司向投资方发出增资通知之日起【120】天内，按照增资通知中载明的价格和条件认购全部或剩余的拟新增注册资本。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[#else]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«[#else]»</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[#assign p9term=p9term+1]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«[#assign»</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0"/>
          <w:numId w:val="0"/>
        </w:numPr>
        <w:tabs>
          <w:tab w:val="left" w:pos="710"/>
        </w:tabs>
        <w:kinsoku/>
        <w:wordWrap/>
        <w:overflowPunct/>
        <w:topLinePunct w:val="0"/>
        <w:autoSpaceDE/>
        <w:autoSpaceDN/>
        <w:bidi w:val="0"/>
        <w:adjustRightInd/>
        <w:snapToGrid w:val="0"/>
        <w:spacing w:before="156" w:after="10" w:line="420" w:lineRule="atLeast"/>
        <w:ind w:leftChars="0" w:right="0" w:rightChars="0"/>
        <w:jc w:val="both"/>
        <w:textAlignment w:val="auto"/>
        <w:outlineLvl w:val="9"/>
        <w:rPr>
          <w:rFonts w:hint="eastAsia" w:ascii="Times New Roman" w:hAnsi="Times New Roman" w:eastAsia="宋体" w:cs="Times New Roman"/>
          <w:sz w:val="24"/>
          <w:u w:val="none"/>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信息权和检查权</w:t>
      </w:r>
      <w:r>
        <w:rPr>
          <w:rFonts w:hint="eastAsia" w:ascii="Times New Roman" w:hAnsi="Times New Roman" w:eastAsia="宋体" w:cs="Times New Roman"/>
          <w:b/>
          <w:bCs w:val="0"/>
          <w:sz w:val="24"/>
          <w:szCs w:val="22"/>
        </w:rPr>
        <w:fldChar w:fldCharType="begin"/>
      </w:r>
      <w:r>
        <w:rPr>
          <w:rFonts w:hint="eastAsia" w:ascii="Times New Roman" w:hAnsi="Times New Roman" w:eastAsia="宋体" w:cs="Times New Roman"/>
          <w:b/>
          <w:bCs w:val="0"/>
          <w:sz w:val="24"/>
          <w:szCs w:val="22"/>
        </w:rPr>
        <w:instrText xml:space="preserve"> MERGEFIELD [#if agreement.irObj.option=="1"] \* MERGEFORMAT </w:instrText>
      </w:r>
      <w:r>
        <w:rPr>
          <w:rFonts w:hint="eastAsia" w:ascii="Times New Roman" w:hAnsi="Times New Roman" w:eastAsia="宋体" w:cs="Times New Roman"/>
          <w:b/>
          <w:bCs w:val="0"/>
          <w:sz w:val="24"/>
          <w:szCs w:val="22"/>
        </w:rPr>
        <w:fldChar w:fldCharType="separate"/>
      </w:r>
      <w:r>
        <w:rPr>
          <w:rFonts w:hint="eastAsia" w:ascii="Times New Roman" w:hAnsi="Times New Roman" w:eastAsia="宋体" w:cs="Times New Roman"/>
          <w:b/>
          <w:bCs w:val="0"/>
          <w:sz w:val="24"/>
          <w:szCs w:val="22"/>
        </w:rPr>
        <w:t>«[#if»</w:t>
      </w:r>
      <w:r>
        <w:rPr>
          <w:rFonts w:hint="eastAsia" w:ascii="Times New Roman" w:hAnsi="Times New Roman" w:eastAsia="宋体" w:cs="Times New Roman"/>
          <w:b/>
          <w:bCs w:val="0"/>
          <w:sz w:val="24"/>
          <w:szCs w:val="22"/>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none"/>
        </w:rPr>
        <w:t>公司应按时向【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${agreement["irObj"].IRPeople}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信息权人</w:t>
      </w:r>
      <w:r>
        <w:rPr>
          <w:rFonts w:hint="eastAsia" w:ascii="Times New Roman" w:hAnsi="Times New Roman" w:eastAsia="宋体" w:cs="Times New Roman"/>
          <w:sz w:val="24"/>
          <w:u w:val="none"/>
        </w:rPr>
        <w:t>”）提供下列文件：</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agreement.irObj.IRClauseList as ir]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${ir["content"]}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«${ir[»</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ir_has_next]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[/#if]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kinsoku/>
        <w:wordWrap/>
        <w:overflowPunct/>
        <w:topLinePunct w:val="0"/>
        <w:autoSpaceDE/>
        <w:autoSpaceDN/>
        <w:bidi w:val="0"/>
        <w:adjustRightInd/>
        <w:snapToGrid w:val="0"/>
        <w:spacing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公司所有</w:t>
      </w:r>
      <w:r>
        <w:rPr>
          <w:rFonts w:ascii="Times New Roman" w:hAnsi="Times New Roman" w:eastAsia="宋体" w:cs="Times New Roman"/>
          <w:sz w:val="24"/>
        </w:rPr>
        <w:t>依照本合同第</w:t>
      </w:r>
      <w:r>
        <w:rPr>
          <w:rFonts w:hint="eastAsia" w:ascii="Times New Roman" w:hAnsi="Times New Roman" w:eastAsia="宋体" w:cs="Times New Roman"/>
          <w:sz w:val="24"/>
        </w:rPr>
        <w:t>8.1条向</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${agreement["irObj"].IRPeople}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提供的财务报表应包含相应期间的合并后和各个分、子公司的资产负债表、损益表和现金流量表，</w:t>
      </w:r>
      <w:r>
        <w:rPr>
          <w:rFonts w:ascii="Times New Roman" w:hAnsi="Times New Roman" w:eastAsia="宋体" w:cs="Times New Roman"/>
          <w:sz w:val="24"/>
        </w:rPr>
        <w:t>且</w:t>
      </w:r>
      <w:r>
        <w:rPr>
          <w:rFonts w:hint="eastAsia" w:ascii="Times New Roman" w:hAnsi="Times New Roman" w:eastAsia="宋体" w:cs="Times New Roman"/>
          <w:sz w:val="24"/>
        </w:rPr>
        <w:t>包含年度预算和</w:t>
      </w:r>
      <w:r>
        <w:rPr>
          <w:rFonts w:ascii="Times New Roman" w:hAnsi="Times New Roman" w:eastAsia="宋体" w:cs="Times New Roman"/>
          <w:sz w:val="24"/>
        </w:rPr>
        <w:t>实际结果的比较</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信息权人有权查阅并复制公司章程、股东会会议记录、董事会会议记录、监事会会议记录（如有）和财务会计报告。公司应当在发生任何重大事宜时，于三（3）日内及时通知信息权人。</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自本合同签署之日起，信息权人有权：（1）在正常工作时间，对公司以及其子公司的资产、财务账簿和其它经营记录进行查看核对，（2）在合理必要时，就公司经营方面事宜与公司董事、监事、高级管理人员或公司聘请的专业服务机构沟通，或访问其顾问、雇员、独立会计师及律师，（3）根据自身需要派出信息权人内部的审计人员或聘请独立的审计师对公司进行审计，该审计人员或审计师有权了解、查看公司以及其子公司的全部的财务报表、财务凭证、原始单据以及其它的公司资料。信息权人行使本条权利时，公司应当提供必要协助。</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agreement.lpObj.option=="1"]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9" w:name="_Toc432083298"/>
      <w:bookmarkStart w:id="20" w:name="_Toc437979926"/>
      <w:bookmarkStart w:id="21" w:name="_Toc332999838"/>
      <w:r>
        <w:rPr>
          <w:rFonts w:hint="eastAsia" w:ascii="Times New Roman" w:hAnsi="Times New Roman" w:eastAsia="宋体" w:cs="Times New Roman"/>
          <w:b/>
          <w:bCs w:val="0"/>
          <w:sz w:val="24"/>
          <w:szCs w:val="22"/>
        </w:rPr>
        <w:t>清算优先权</w:t>
      </w:r>
      <w:bookmarkEnd w:id="19"/>
      <w:bookmarkEnd w:id="20"/>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为本条之目的，以下事件为清算事件：</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公司拟终止经营进行清算的；</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公司拟出售、转让全部或核心资产、业务或对其进行任何其他处置，并拟不再进行实质性经营活动的；</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因股权转让或增资、协议安排导致公司控制权归属于除本次投资完成后的全体股东以外的第三人的（与上述9.1条（</w:t>
      </w:r>
      <w:r>
        <w:rPr>
          <w:rFonts w:hint="eastAsia" w:cs="Times New Roman"/>
          <w:sz w:val="24"/>
          <w:highlight w:val="none"/>
          <w:lang w:val="en-US" w:eastAsia="zh-CN"/>
        </w:rPr>
        <w:t>2</w:t>
      </w:r>
      <w:r>
        <w:rPr>
          <w:rFonts w:hint="eastAsia" w:ascii="Times New Roman" w:hAnsi="Times New Roman" w:eastAsia="宋体" w:cs="Times New Roman"/>
          <w:sz w:val="24"/>
          <w:highlight w:val="none"/>
          <w:lang w:val="en-GB"/>
        </w:rPr>
        <w:t>）款，单独称或合称“整体出售”）；</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其他任何清算、解散或终止情形。</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若公司发生任何清算事件（不包括整体出售事项），公司的财产应当按照如下顺序进行分配：</w:t>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bookmarkStart w:id="42" w:name="_GoBack"/>
      <w:bookmarkEnd w:id="42"/>
      <w:r>
        <w:rPr>
          <w:rFonts w:hint="eastAsia" w:ascii="Times New Roman" w:hAnsi="Times New Roman" w:eastAsia="宋体" w:cs="Times New Roman"/>
          <w:sz w:val="24"/>
          <w:highlight w:val="none"/>
          <w:lang w:val="en-GB"/>
        </w:rPr>
        <w:t>依照本合同第26.5条第(</w:t>
      </w:r>
      <w:r>
        <w:rPr>
          <w:rFonts w:hint="eastAsia" w:cs="Times New Roman"/>
          <w:sz w:val="24"/>
          <w:highlight w:val="none"/>
          <w:lang w:val="en-US" w:eastAsia="zh-CN"/>
        </w:rPr>
        <w:t>1</w:t>
      </w:r>
      <w:r>
        <w:rPr>
          <w:rFonts w:hint="eastAsia" w:ascii="Times New Roman" w:hAnsi="Times New Roman" w:eastAsia="宋体" w:cs="Times New Roman"/>
          <w:sz w:val="24"/>
          <w:highlight w:val="none"/>
          <w:lang w:val="en-GB"/>
        </w:rPr>
        <w:t>)-(</w:t>
      </w:r>
      <w:r>
        <w:rPr>
          <w:rFonts w:hint="eastAsia" w:cs="Times New Roman"/>
          <w:sz w:val="24"/>
          <w:highlight w:val="none"/>
          <w:lang w:val="en-US" w:eastAsia="zh-CN"/>
        </w:rPr>
        <w:t>4</w:t>
      </w:r>
      <w:r>
        <w:rPr>
          <w:rFonts w:hint="eastAsia" w:ascii="Times New Roman" w:hAnsi="Times New Roman" w:eastAsia="宋体" w:cs="Times New Roman"/>
          <w:sz w:val="24"/>
          <w:highlight w:val="none"/>
          <w:lang w:val="en-GB"/>
        </w:rPr>
        <w:t>)款支付相关费用；</w:t>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在足额支付前款的费用之后且未向任何公司其他股东分配公司剩余财产前，应首先</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agreement.lpObj.cisPositionOption=="0"]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向【</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${agreement["lpObj"].LPPeople}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«${agreement[»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”）支付按以下方式计算的分配金额（“</w:t>
      </w:r>
      <w:r>
        <w:rPr>
          <w:rFonts w:hint="eastAsia" w:ascii="Times New Roman" w:hAnsi="Times New Roman" w:eastAsia="宋体" w:cs="Times New Roman"/>
          <w:sz w:val="24"/>
          <w:highlight w:val="none"/>
          <w:u w:val="single"/>
          <w:lang w:val="en-GB"/>
        </w:rPr>
        <w:t>优先清算额</w:t>
      </w:r>
      <w:r>
        <w:rPr>
          <w:rFonts w:hint="eastAsia" w:ascii="Times New Roman" w:hAnsi="Times New Roman" w:eastAsia="宋体" w:cs="Times New Roman"/>
          <w:sz w:val="24"/>
          <w:highlight w:val="none"/>
          <w:lang w:val="en-GB"/>
        </w:rPr>
        <w:t>”）：清算权人</w:t>
      </w:r>
      <w:r>
        <w:rPr>
          <w:rFonts w:hint="eastAsia" w:ascii="Times New Roman" w:hAnsi="Times New Roman" w:eastAsia="宋体" w:cs="Times New Roman"/>
          <w:sz w:val="24"/>
          <w:highlight w:val="none"/>
          <w:lang w:val="en-GB" w:eastAsia="zh-CN"/>
        </w:rPr>
        <w:t>各自的本轮</w:t>
      </w:r>
      <w:r>
        <w:rPr>
          <w:rFonts w:hint="eastAsia" w:ascii="Times New Roman" w:hAnsi="Times New Roman" w:eastAsia="宋体" w:cs="Times New Roman"/>
          <w:sz w:val="24"/>
          <w:highlight w:val="none"/>
          <w:lang w:val="en-GB"/>
        </w:rPr>
        <w:t>投资款【】%的金额，加上经董事会决议批准的、已累积的应向【清算权人】支付但尚未支付的或已宣布但未分配的股息或红利之和；若公司剩余财产不足以向所有【清算权人】支付其应当获得的全部本轮优先清算额，则剩余公司财产将按届时【清算权人】之间可获得的【</w:t>
      </w:r>
      <w:r>
        <w:rPr>
          <w:rFonts w:hint="eastAsia" w:ascii="Times New Roman" w:hAnsi="Times New Roman" w:eastAsia="宋体" w:cs="Times New Roman"/>
          <w:sz w:val="24"/>
          <w:highlight w:val="none"/>
          <w:u w:val="none"/>
          <w:lang w:val="en-GB"/>
        </w:rPr>
        <w:t>优先清算额</w:t>
      </w:r>
      <w:r>
        <w:rPr>
          <w:rFonts w:hint="eastAsia" w:ascii="Times New Roman" w:hAnsi="Times New Roman" w:eastAsia="宋体" w:cs="Times New Roman"/>
          <w:sz w:val="24"/>
          <w:highlight w:val="none"/>
          <w:lang w:val="en-GB"/>
        </w:rPr>
        <w:t>】之间的相对比例在【清算权人】之间进行分配；</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agreement.lpObj.cisPositionList as cis]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cis_index==0]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第一顺位清算权人</w:t>
      </w:r>
      <w:r>
        <w:rPr>
          <w:rFonts w:hint="eastAsia" w:ascii="Times New Roman" w:hAnsi="Times New Roman" w:eastAsia="宋体" w:cs="Times New Roman"/>
          <w:sz w:val="24"/>
          <w:highlight w:val="none"/>
          <w:lang w:val="en-GB"/>
        </w:rPr>
        <w:t>”）支付按以下方式计算的分配金额（“</w:t>
      </w:r>
      <w:r>
        <w:rPr>
          <w:rFonts w:hint="eastAsia" w:ascii="Times New Roman" w:hAnsi="Times New Roman" w:eastAsia="宋体" w:cs="Times New Roman"/>
          <w:sz w:val="24"/>
          <w:highlight w:val="none"/>
          <w:u w:val="single"/>
          <w:lang w:val="en-GB"/>
        </w:rPr>
        <w:t>第一顺位优先清算额</w:t>
      </w:r>
      <w:r>
        <w:rPr>
          <w:rFonts w:hint="eastAsia" w:ascii="Times New Roman" w:hAnsi="Times New Roman" w:eastAsia="宋体" w:cs="Times New Roman"/>
          <w:sz w:val="24"/>
          <w:highlight w:val="none"/>
          <w:lang w:val="en-GB"/>
        </w:rPr>
        <w:t>”）：第一顺位清算权人</w:t>
      </w:r>
      <w:r>
        <w:rPr>
          <w:rFonts w:hint="eastAsia" w:ascii="Times New Roman" w:hAnsi="Times New Roman" w:eastAsia="宋体" w:cs="Times New Roman"/>
          <w:sz w:val="24"/>
          <w:highlight w:val="none"/>
          <w:lang w:val="en-GB" w:eastAsia="zh-CN"/>
        </w:rPr>
        <w:t>各自的本轮</w:t>
      </w:r>
      <w:r>
        <w:rPr>
          <w:rFonts w:hint="eastAsia" w:ascii="Times New Roman" w:hAnsi="Times New Roman" w:eastAsia="宋体" w:cs="Times New Roman"/>
          <w:sz w:val="24"/>
          <w:highlight w:val="none"/>
          <w:lang w:val="en-GB"/>
        </w:rPr>
        <w:t>投资款【】%的金额，加上经董事会决议批准的、已累积的应向【第一顺位清算权人】支付但尚未支付的或已宣布但未分配的股息或红利之和；若公司剩余财产不足以向所有【第一顺位清算权人】支付其应当获得的全部本轮优先清算额，则剩余公司财产将按届时【第一顺位清算权人】之间可获得的【第一顺位优先清算额】之间的相对比例在【第一顺位清算权人】之间进行分配；</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[#elseif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«[#elseif»</w:t>
      </w:r>
      <w:r>
        <w:rPr>
          <w:rFonts w:hint="eastAsia" w:ascii="Times New Roman" w:hAnsi="Times New Roman" w:eastAsia="宋体" w:cs="Times New Roman"/>
          <w:sz w:val="24"/>
          <w:highlight w:val="none"/>
          <w:lang w:val="en-GB"/>
        </w:rPr>
        <w:fldChar w:fldCharType="end"/>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在足额支付前款本轮优先清算额后，公司还有剩余财产的，应再向【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w:t>
      </w:r>
      <w:r>
        <w:rPr>
          <w:rFonts w:hint="eastAsia" w:ascii="Times New Roman" w:hAnsi="Times New Roman" w:eastAsia="宋体" w:cs="Times New Roman"/>
          <w:sz w:val="24"/>
          <w:highlight w:val="none"/>
          <w:u w:val="single"/>
          <w:lang w:val="en-GB"/>
        </w:rPr>
        <w:fldChar w:fldCharType="begin"/>
      </w:r>
      <w:r>
        <w:rPr>
          <w:rFonts w:hint="eastAsia" w:ascii="Times New Roman" w:hAnsi="Times New Roman" w:eastAsia="宋体" w:cs="Times New Roman"/>
          <w:sz w:val="24"/>
          <w:highlight w:val="none"/>
          <w:u w:val="single"/>
          <w:lang w:val="en-GB"/>
        </w:rPr>
        <w:instrText xml:space="preserve"> MERGEFIELD ${agreement.numberList[cis_index]} \* MERGEFORMAT </w:instrText>
      </w:r>
      <w:r>
        <w:rPr>
          <w:rFonts w:hint="eastAsia" w:ascii="Times New Roman" w:hAnsi="Times New Roman" w:eastAsia="宋体" w:cs="Times New Roman"/>
          <w:sz w:val="24"/>
          <w:highlight w:val="none"/>
          <w:u w:val="single"/>
          <w:lang w:val="en-GB"/>
        </w:rPr>
        <w:fldChar w:fldCharType="separate"/>
      </w:r>
      <w:r>
        <w:rPr>
          <w:rFonts w:hint="eastAsia" w:ascii="Times New Roman" w:hAnsi="Times New Roman" w:eastAsia="宋体" w:cs="Times New Roman"/>
          <w:sz w:val="24"/>
          <w:highlight w:val="none"/>
          <w:u w:val="single"/>
          <w:lang w:val="en-GB"/>
        </w:rPr>
        <w:t>«${agreement.numberList[cis_index]}»</w:t>
      </w:r>
      <w:r>
        <w:rPr>
          <w:rFonts w:hint="eastAsia" w:ascii="Times New Roman" w:hAnsi="Times New Roman" w:eastAsia="宋体" w:cs="Times New Roman"/>
          <w:sz w:val="24"/>
          <w:highlight w:val="none"/>
          <w:u w:val="single"/>
          <w:lang w:val="en-GB"/>
        </w:rPr>
        <w:fldChar w:fldCharType="end"/>
      </w:r>
      <w:r>
        <w:rPr>
          <w:rFonts w:hint="eastAsia" w:ascii="Times New Roman" w:hAnsi="Times New Roman" w:eastAsia="宋体" w:cs="Times New Roman"/>
          <w:sz w:val="24"/>
          <w:highlight w:val="none"/>
          <w:u w:val="single"/>
          <w:lang w:val="en-GB"/>
        </w:rPr>
        <w:t>顺位清算权人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cis_has_next]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US" w:eastAsia="zh-CN"/>
        </w:rPr>
        <w:t>)</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[#else]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«[#else]»</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t>，与第</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agreement.numberList as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«${num}»</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[/#if]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«[/#if]»</w:t>
      </w:r>
      <w:r>
        <w:rPr>
          <w:rFonts w:hint="eastAsia" w:cs="Times New Roman"/>
          <w:sz w:val="24"/>
          <w:highlight w:val="none"/>
          <w:lang w:val="en-GB"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顺位清算权人合称“</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支付按以下方式计算的分配金额（“第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顺位优先清算额”）：第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w:t>
      </w:r>
      <w:r>
        <w:rPr>
          <w:rFonts w:hint="eastAsia" w:ascii="Times New Roman" w:hAnsi="Times New Roman" w:eastAsia="宋体" w:cs="Times New Roman"/>
          <w:sz w:val="24"/>
          <w:highlight w:val="none"/>
          <w:lang w:val="en-GB" w:eastAsia="zh-CN"/>
        </w:rPr>
        <w:t>各自的【天使轮】</w:t>
      </w:r>
      <w:r>
        <w:rPr>
          <w:rFonts w:hint="eastAsia" w:ascii="Times New Roman" w:hAnsi="Times New Roman" w:eastAsia="宋体" w:cs="Times New Roman"/>
          <w:sz w:val="24"/>
          <w:highlight w:val="none"/>
          <w:lang w:val="en-GB"/>
        </w:rPr>
        <w:t>投资款【】%的金额，加上经董事会决议批准的、已累积的应向第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顺位清算权人支付但尚未支付的或已宣布但未分配的股息或红利之和；</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在足额支付前款本轮优先清算额后，公司还有剩余财产的，应再向【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w:t>
      </w:r>
      <w:r>
        <w:rPr>
          <w:rFonts w:hint="eastAsia" w:ascii="Times New Roman" w:hAnsi="Times New Roman" w:eastAsia="宋体" w:cs="Times New Roman"/>
          <w:sz w:val="24"/>
          <w:highlight w:val="none"/>
          <w:u w:val="single"/>
          <w:lang w:val="en-GB"/>
        </w:rPr>
        <w:fldChar w:fldCharType="begin"/>
      </w:r>
      <w:r>
        <w:rPr>
          <w:rFonts w:hint="eastAsia" w:ascii="Times New Roman" w:hAnsi="Times New Roman" w:eastAsia="宋体" w:cs="Times New Roman"/>
          <w:sz w:val="24"/>
          <w:highlight w:val="none"/>
          <w:u w:val="single"/>
          <w:lang w:val="en-GB"/>
        </w:rPr>
        <w:instrText xml:space="preserve"> MERGEFIELD ${agreement.numberList[cis_index]} \* MERGEFORMAT </w:instrText>
      </w:r>
      <w:r>
        <w:rPr>
          <w:rFonts w:hint="eastAsia" w:ascii="Times New Roman" w:hAnsi="Times New Roman" w:eastAsia="宋体" w:cs="Times New Roman"/>
          <w:sz w:val="24"/>
          <w:highlight w:val="none"/>
          <w:u w:val="single"/>
          <w:lang w:val="en-GB"/>
        </w:rPr>
        <w:fldChar w:fldCharType="separate"/>
      </w:r>
      <w:r>
        <w:rPr>
          <w:rFonts w:hint="eastAsia" w:ascii="Times New Roman" w:hAnsi="Times New Roman" w:eastAsia="宋体" w:cs="Times New Roman"/>
          <w:sz w:val="24"/>
          <w:highlight w:val="none"/>
          <w:u w:val="single"/>
          <w:lang w:val="en-GB"/>
        </w:rPr>
        <w:t>«${agreement.numberList[cis_index]}»</w:t>
      </w:r>
      <w:r>
        <w:rPr>
          <w:rFonts w:hint="eastAsia" w:ascii="Times New Roman" w:hAnsi="Times New Roman" w:eastAsia="宋体" w:cs="Times New Roman"/>
          <w:sz w:val="24"/>
          <w:highlight w:val="none"/>
          <w:u w:val="single"/>
          <w:lang w:val="en-GB"/>
        </w:rPr>
        <w:fldChar w:fldCharType="end"/>
      </w:r>
      <w:r>
        <w:rPr>
          <w:rFonts w:hint="eastAsia" w:ascii="Times New Roman" w:hAnsi="Times New Roman" w:eastAsia="宋体" w:cs="Times New Roman"/>
          <w:sz w:val="24"/>
          <w:highlight w:val="none"/>
          <w:u w:val="single"/>
          <w:lang w:val="en-GB"/>
        </w:rPr>
        <w:t>顺位清算权人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cis_has_next]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US" w:eastAsia="zh-CN"/>
        </w:rPr>
        <w:t>)</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[#else]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«[#else]»</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t>，与第</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agreement.numberList as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«${num}»</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[/#if]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«[/#if]»</w:t>
      </w:r>
      <w:r>
        <w:rPr>
          <w:rFonts w:hint="eastAsia" w:cs="Times New Roman"/>
          <w:sz w:val="24"/>
          <w:highlight w:val="none"/>
          <w:lang w:val="en-GB"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顺位清算权人合称“</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支付按以下方式计算的分配金额（“第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顺位优先清算额”）：第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w:t>
      </w:r>
      <w:r>
        <w:rPr>
          <w:rFonts w:hint="eastAsia" w:ascii="Times New Roman" w:hAnsi="Times New Roman" w:eastAsia="宋体" w:cs="Times New Roman"/>
          <w:sz w:val="24"/>
          <w:highlight w:val="none"/>
          <w:lang w:val="en-GB" w:eastAsia="zh-CN"/>
        </w:rPr>
        <w:t>各自的【天使轮】</w:t>
      </w:r>
      <w:r>
        <w:rPr>
          <w:rFonts w:hint="eastAsia" w:ascii="Times New Roman" w:hAnsi="Times New Roman" w:eastAsia="宋体" w:cs="Times New Roman"/>
          <w:sz w:val="24"/>
          <w:highlight w:val="none"/>
          <w:lang w:val="en-GB"/>
        </w:rPr>
        <w:t>投资款【】%的金额，加上经董事会决议批准的、已累积的应向第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顺位清算权人支付但尚未支付的或已宣布但未分配的股息或红利之和；</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在足额支付前述各条款约定的款项之后，任何剩余的公司财产将按届时公司全体股东的出资比例在包括清算权人在内的全体股东之间进行分配。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若公司发生上述整体出售，届时公司和/或公司股东获得的所有金额（“</w:t>
      </w:r>
      <w:r>
        <w:rPr>
          <w:rFonts w:hint="eastAsia" w:ascii="Times New Roman" w:hAnsi="Times New Roman" w:eastAsia="宋体" w:cs="Times New Roman"/>
          <w:sz w:val="24"/>
          <w:u w:val="single"/>
        </w:rPr>
        <w:t>待分配金额</w:t>
      </w:r>
      <w:r>
        <w:rPr>
          <w:rFonts w:hint="eastAsia" w:ascii="Times New Roman" w:hAnsi="Times New Roman" w:eastAsia="宋体" w:cs="Times New Roman"/>
          <w:sz w:val="24"/>
          <w:u w:val="none"/>
        </w:rPr>
        <w:t>”），应当按照上述第9.2条的（</w:t>
      </w:r>
      <w:r>
        <w:rPr>
          <w:rFonts w:hint="eastAsia" w:cs="Times New Roman"/>
          <w:sz w:val="24"/>
          <w:u w:val="none"/>
          <w:lang w:val="en-US" w:eastAsia="zh-CN"/>
        </w:rPr>
        <w:t>2</w:t>
      </w:r>
      <w:r>
        <w:rPr>
          <w:rFonts w:hint="eastAsia" w:ascii="Times New Roman" w:hAnsi="Times New Roman" w:eastAsia="宋体" w:cs="Times New Roman"/>
          <w:sz w:val="24"/>
          <w:u w:val="none"/>
        </w:rPr>
        <w:t>）、（</w:t>
      </w:r>
      <w:r>
        <w:rPr>
          <w:rFonts w:hint="eastAsia" w:cs="Times New Roman"/>
          <w:sz w:val="24"/>
          <w:u w:val="none"/>
          <w:lang w:val="en-US" w:eastAsia="zh-CN"/>
        </w:rPr>
        <w:t>3</w:t>
      </w:r>
      <w:r>
        <w:rPr>
          <w:rFonts w:hint="eastAsia" w:ascii="Times New Roman" w:hAnsi="Times New Roman" w:eastAsia="宋体" w:cs="Times New Roman"/>
          <w:sz w:val="24"/>
          <w:u w:val="none"/>
        </w:rPr>
        <w:t>）及（</w:t>
      </w:r>
      <w:r>
        <w:rPr>
          <w:rFonts w:hint="eastAsia" w:cs="Times New Roman"/>
          <w:sz w:val="24"/>
          <w:u w:val="none"/>
          <w:lang w:val="en-US" w:eastAsia="zh-CN"/>
        </w:rPr>
        <w:t>4</w:t>
      </w:r>
      <w:r>
        <w:rPr>
          <w:rFonts w:hint="eastAsia" w:ascii="Times New Roman" w:hAnsi="Times New Roman" w:eastAsia="宋体" w:cs="Times New Roman"/>
          <w:sz w:val="24"/>
          <w:u w:val="none"/>
        </w:rPr>
        <w:t>）款的顺序进行分配。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若根据届时适用法律的要求，公司全部财产或者待分配金额，在支付上述第9.2条（</w:t>
      </w:r>
      <w:r>
        <w:rPr>
          <w:rFonts w:hint="eastAsia" w:cs="Times New Roman"/>
          <w:sz w:val="24"/>
          <w:u w:val="none"/>
          <w:lang w:val="en-US" w:eastAsia="zh-CN"/>
        </w:rPr>
        <w:t>1</w:t>
      </w:r>
      <w:r>
        <w:rPr>
          <w:rFonts w:hint="eastAsia" w:ascii="Times New Roman" w:hAnsi="Times New Roman" w:eastAsia="宋体" w:cs="Times New Roman"/>
          <w:sz w:val="24"/>
          <w:u w:val="none"/>
        </w:rPr>
        <w:t>）款所述款项后（如适用），必须按照各股东的出资比例进行分配，则公司及创始人应保证投资方足额获得其根据上述第9.2条（</w:t>
      </w:r>
      <w:r>
        <w:rPr>
          <w:rFonts w:hint="eastAsia" w:cs="Times New Roman"/>
          <w:sz w:val="24"/>
          <w:u w:val="none"/>
          <w:lang w:val="en-US" w:eastAsia="zh-CN"/>
        </w:rPr>
        <w:t>2</w:t>
      </w:r>
      <w:r>
        <w:rPr>
          <w:rFonts w:hint="eastAsia" w:ascii="Times New Roman" w:hAnsi="Times New Roman" w:eastAsia="宋体" w:cs="Times New Roman"/>
          <w:sz w:val="24"/>
          <w:u w:val="none"/>
        </w:rPr>
        <w:t>）、（</w:t>
      </w:r>
      <w:r>
        <w:rPr>
          <w:rFonts w:hint="eastAsia" w:cs="Times New Roman"/>
          <w:sz w:val="24"/>
          <w:u w:val="none"/>
          <w:lang w:val="en-US" w:eastAsia="zh-CN"/>
        </w:rPr>
        <w:t>3</w:t>
      </w:r>
      <w:r>
        <w:rPr>
          <w:rFonts w:hint="eastAsia" w:ascii="Times New Roman" w:hAnsi="Times New Roman" w:eastAsia="宋体" w:cs="Times New Roman"/>
          <w:sz w:val="24"/>
          <w:u w:val="none"/>
        </w:rPr>
        <w:t>）及（</w:t>
      </w:r>
      <w:r>
        <w:rPr>
          <w:rFonts w:hint="eastAsia" w:cs="Times New Roman"/>
          <w:sz w:val="24"/>
          <w:u w:val="none"/>
          <w:lang w:val="en-US" w:eastAsia="zh-CN"/>
        </w:rPr>
        <w:t>4</w:t>
      </w:r>
      <w:r>
        <w:rPr>
          <w:rFonts w:hint="eastAsia" w:ascii="Times New Roman" w:hAnsi="Times New Roman" w:eastAsia="宋体" w:cs="Times New Roman"/>
          <w:sz w:val="24"/>
          <w:u w:val="none"/>
        </w:rPr>
        <w:t>）款各自所应获得的款项（包括但不限于创始人应将其从公司所获取的全部或部分财产无偿转让给各清算权人</w:t>
      </w:r>
      <w:bookmarkStart w:id="22" w:name="_DV_C205"/>
      <w:r>
        <w:rPr>
          <w:rFonts w:hint="eastAsia" w:ascii="Times New Roman" w:hAnsi="Times New Roman" w:eastAsia="宋体" w:cs="Times New Roman"/>
          <w:sz w:val="24"/>
          <w:u w:val="none"/>
        </w:rPr>
        <w:t>；为免疑义，创始人的上述义务以其届时实际分得的清算财产为限</w:t>
      </w:r>
      <w:bookmarkEnd w:id="22"/>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bookmarkEnd w:id="21"/>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agreement.rpObj.option=="1"]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pStyle w:val="4"/>
        <w:numPr>
          <w:ilvl w:val="0"/>
          <w:numId w:val="1"/>
        </w:numPr>
        <w:tabs>
          <w:tab w:val="left" w:pos="900"/>
        </w:tabs>
        <w:spacing w:line="420" w:lineRule="atLeast"/>
        <w:ind w:left="425" w:leftChars="0" w:right="-108" w:rightChars="0" w:hanging="425" w:firstLineChars="0"/>
        <w:jc w:val="center"/>
        <w:rPr>
          <w:rFonts w:ascii="Times New Roman" w:hAnsi="Times New Roman" w:eastAsia="宋体" w:cs="Times New Roman"/>
          <w:b/>
          <w:bCs w:val="0"/>
        </w:rPr>
      </w:pPr>
      <w:r>
        <w:rPr>
          <w:rFonts w:hint="eastAsia" w:ascii="Times New Roman" w:hAnsi="Times New Roman" w:eastAsia="宋体" w:cs="Times New Roman"/>
          <w:b/>
          <w:bCs w:val="0"/>
          <w:sz w:val="24"/>
          <w:szCs w:val="22"/>
        </w:rPr>
        <w:t>回购权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bookmarkStart w:id="23" w:name="_Ref9344"/>
      <w:r>
        <w:rPr>
          <w:rFonts w:hint="eastAsia" w:ascii="Times New Roman" w:hAnsi="Times New Roman" w:eastAsia="宋体" w:cs="Times New Roman"/>
          <w:sz w:val="24"/>
          <w:u w:val="none"/>
        </w:rPr>
        <w:t>如发生以下任一情形</w:t>
      </w:r>
      <w:bookmarkEnd w:id="23"/>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agreement.rpTermList as rp]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2"/>
          <w:numId w:val="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${rp["content"]}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«${rp[»</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rp_has_next]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cs="Times New Roman"/>
          <w:sz w:val="24"/>
          <w:highlight w:val="none"/>
          <w:lang w:val="en-GB" w:eastAsia="zh-CN"/>
        </w:rPr>
        <w:t>。</w:t>
      </w:r>
      <w:r>
        <w:rPr>
          <w:rFonts w:hint="eastAsia" w:cs="Times New Roman"/>
          <w:sz w:val="24"/>
          <w:highlight w:val="yellow"/>
          <w:lang w:val="en-GB" w:eastAsia="zh-CN"/>
        </w:rPr>
        <w:fldChar w:fldCharType="begin"/>
      </w:r>
      <w:r>
        <w:rPr>
          <w:rFonts w:hint="eastAsia" w:cs="Times New Roman"/>
          <w:sz w:val="24"/>
          <w:highlight w:val="yellow"/>
          <w:lang w:val="en-GB" w:eastAsia="zh-CN"/>
        </w:rPr>
        <w:instrText xml:space="preserve"> MERGEFIELD [/#if] \* MERGEFORMAT </w:instrText>
      </w:r>
      <w:r>
        <w:rPr>
          <w:rFonts w:hint="eastAsia" w:cs="Times New Roman"/>
          <w:sz w:val="24"/>
          <w:highlight w:val="yellow"/>
          <w:lang w:val="en-GB" w:eastAsia="zh-CN"/>
        </w:rPr>
        <w:fldChar w:fldCharType="separate"/>
      </w:r>
      <w:r>
        <w:rPr>
          <w:rFonts w:hint="eastAsia" w:cs="Times New Roman"/>
          <w:sz w:val="24"/>
          <w:highlight w:val="yellow"/>
          <w:lang w:val="en-GB" w:eastAsia="zh-CN"/>
        </w:rPr>
        <w:t>«[/#if]»</w:t>
      </w:r>
      <w:r>
        <w:rPr>
          <w:rFonts w:hint="eastAsia" w:cs="Times New Roman"/>
          <w:sz w:val="24"/>
          <w:highlight w:val="yellow"/>
          <w:lang w:val="en-GB" w:eastAsia="zh-CN"/>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kinsoku/>
        <w:wordWrap/>
        <w:overflowPunct/>
        <w:topLinePunct w:val="0"/>
        <w:autoSpaceDE/>
        <w:autoSpaceDN/>
        <w:bidi w:val="0"/>
        <w:adjustRightInd/>
        <w:snapToGrid w:val="0"/>
        <w:spacing w:line="420" w:lineRule="atLeast"/>
        <w:ind w:left="709"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任一投资</w:t>
      </w:r>
      <w:r>
        <w:rPr>
          <w:rFonts w:hint="eastAsia" w:ascii="Times New Roman" w:hAnsi="Times New Roman" w:eastAsia="宋体" w:cs="Times New Roman"/>
          <w:sz w:val="24"/>
          <w:lang w:val="en-US" w:eastAsia="zh-CN"/>
        </w:rPr>
        <w:t>方</w:t>
      </w:r>
      <w:r>
        <w:rPr>
          <w:rFonts w:hint="eastAsia" w:ascii="Times New Roman" w:hAnsi="Times New Roman" w:eastAsia="宋体" w:cs="Times New Roman"/>
          <w:sz w:val="24"/>
        </w:rPr>
        <w:t>（简称“</w:t>
      </w:r>
      <w:r>
        <w:rPr>
          <w:rFonts w:hint="eastAsia" w:ascii="Times New Roman" w:hAnsi="Times New Roman" w:eastAsia="宋体" w:cs="Times New Roman"/>
          <w:sz w:val="24"/>
          <w:u w:val="single"/>
        </w:rPr>
        <w:t>回购权人</w:t>
      </w:r>
      <w:r>
        <w:rPr>
          <w:rFonts w:hint="eastAsia" w:ascii="Times New Roman" w:hAnsi="Times New Roman" w:eastAsia="宋体" w:cs="Times New Roman"/>
          <w:sz w:val="24"/>
        </w:rPr>
        <w:t>”）有权要求公司和创始</w:t>
      </w:r>
      <w:r>
        <w:rPr>
          <w:rFonts w:hint="eastAsia" w:ascii="Times New Roman" w:hAnsi="Times New Roman" w:eastAsia="宋体" w:cs="Times New Roman"/>
          <w:sz w:val="24"/>
          <w:lang w:val="en-US" w:eastAsia="zh-CN"/>
        </w:rPr>
        <w:t>人</w:t>
      </w:r>
      <w:r>
        <w:rPr>
          <w:rFonts w:hint="eastAsia" w:ascii="Times New Roman" w:hAnsi="Times New Roman" w:eastAsia="宋体" w:cs="Times New Roman"/>
          <w:sz w:val="24"/>
        </w:rPr>
        <w:t>连带地（与公司合称为“</w:t>
      </w:r>
      <w:r>
        <w:rPr>
          <w:rFonts w:hint="eastAsia" w:ascii="Times New Roman" w:hAnsi="Times New Roman" w:eastAsia="宋体" w:cs="Times New Roman"/>
          <w:sz w:val="24"/>
          <w:u w:val="single"/>
        </w:rPr>
        <w:t>回购义务人</w:t>
      </w:r>
      <w:r>
        <w:rPr>
          <w:rFonts w:hint="eastAsia" w:ascii="Times New Roman" w:hAnsi="Times New Roman" w:eastAsia="宋体" w:cs="Times New Roman"/>
          <w:sz w:val="24"/>
        </w:rPr>
        <w:t>”）按照下述约定的回购价格购买该回购权人所持有的全部或部分公司股权（简称“</w:t>
      </w:r>
      <w:r>
        <w:rPr>
          <w:rFonts w:hint="eastAsia" w:ascii="Times New Roman" w:hAnsi="Times New Roman" w:eastAsia="宋体" w:cs="Times New Roman"/>
          <w:sz w:val="24"/>
          <w:u w:val="single"/>
        </w:rPr>
        <w:t>拟回购股权</w:t>
      </w:r>
      <w:r>
        <w:rPr>
          <w:rFonts w:hint="eastAsia" w:ascii="Times New Roman" w:hAnsi="Times New Roman" w:eastAsia="宋体" w:cs="Times New Roman"/>
          <w:sz w:val="24"/>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回购价格</w:t>
      </w:r>
    </w:p>
    <w:p>
      <w:pPr>
        <w:keepNext w:val="0"/>
        <w:keepLines w:val="0"/>
        <w:pageBreakBefore w:val="0"/>
        <w:widowControl w:val="0"/>
        <w:kinsoku/>
        <w:wordWrap/>
        <w:overflowPunct/>
        <w:topLinePunct w:val="0"/>
        <w:autoSpaceDE/>
        <w:autoSpaceDN/>
        <w:bidi w:val="0"/>
        <w:adjustRightInd/>
        <w:snapToGrid w:val="0"/>
        <w:spacing w:line="420" w:lineRule="atLeast"/>
        <w:ind w:left="709" w:leftChars="0" w:right="0" w:rightChars="0" w:firstLine="0" w:firstLineChars="0"/>
        <w:jc w:val="both"/>
        <w:textAlignment w:val="auto"/>
        <w:outlineLvl w:val="9"/>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拟回购股权的回购价格（简称“</w:t>
      </w:r>
      <w:r>
        <w:rPr>
          <w:rFonts w:hint="eastAsia" w:ascii="Times New Roman" w:hAnsi="Times New Roman" w:eastAsia="宋体" w:cs="Times New Roman"/>
          <w:sz w:val="24"/>
          <w:u w:val="single"/>
          <w:lang w:val="en-US" w:eastAsia="zh-CN"/>
        </w:rPr>
        <w:t>回购价格</w:t>
      </w:r>
      <w:r>
        <w:rPr>
          <w:rFonts w:hint="eastAsia" w:ascii="Times New Roman" w:hAnsi="Times New Roman" w:eastAsia="宋体" w:cs="Times New Roman"/>
          <w:sz w:val="24"/>
          <w:lang w:val="en-US" w:eastAsia="zh-CN"/>
        </w:rPr>
        <w:t>”）应当按照以下公式进行计算:</w:t>
      </w:r>
      <w:r>
        <w:rPr>
          <w:rFonts w:hint="eastAsia" w:ascii="Times New Roman" w:hAnsi="Times New Roman" w:eastAsia="宋体" w:cs="Times New Roman"/>
          <w:sz w:val="24"/>
          <w:highlight w:val="red"/>
          <w:lang w:val="en-US" w:eastAsia="zh-CN"/>
        </w:rPr>
        <w:fldChar w:fldCharType="begin"/>
      </w:r>
      <w:r>
        <w:rPr>
          <w:rFonts w:hint="eastAsia" w:ascii="Times New Roman" w:hAnsi="Times New Roman" w:eastAsia="宋体" w:cs="Times New Roman"/>
          <w:sz w:val="24"/>
          <w:highlight w:val="red"/>
          <w:lang w:val="en-US" w:eastAsia="zh-CN"/>
        </w:rPr>
        <w:instrText xml:space="preserve"> MERGEFIELD [#if agreement.rpTermList1?size gt 0] \* MERGEFORMAT </w:instrText>
      </w:r>
      <w:r>
        <w:rPr>
          <w:rFonts w:hint="eastAsia" w:ascii="Times New Roman" w:hAnsi="Times New Roman" w:eastAsia="宋体" w:cs="Times New Roman"/>
          <w:sz w:val="24"/>
          <w:highlight w:val="red"/>
          <w:lang w:val="en-US" w:eastAsia="zh-CN"/>
        </w:rPr>
        <w:fldChar w:fldCharType="separate"/>
      </w:r>
      <w:r>
        <w:rPr>
          <w:rFonts w:hint="eastAsia" w:ascii="Times New Roman" w:hAnsi="Times New Roman" w:eastAsia="宋体" w:cs="Times New Roman"/>
          <w:sz w:val="24"/>
          <w:highlight w:val="red"/>
          <w:lang w:val="en-US" w:eastAsia="zh-CN"/>
        </w:rPr>
        <w:t>«[#if»</w:t>
      </w:r>
      <w:r>
        <w:rPr>
          <w:rFonts w:hint="eastAsia" w:ascii="Times New Roman" w:hAnsi="Times New Roman" w:eastAsia="宋体" w:cs="Times New Roman"/>
          <w:sz w:val="24"/>
          <w:highlight w:val="red"/>
          <w:lang w:val="en-US" w:eastAsia="zh-CN"/>
        </w:rPr>
        <w:fldChar w:fldCharType="end"/>
      </w:r>
    </w:p>
    <w:p>
      <w:pPr>
        <w:keepNext w:val="0"/>
        <w:keepLines w:val="0"/>
        <w:pageBreakBefore w:val="0"/>
        <w:widowControl w:val="0"/>
        <w:numPr>
          <w:ilvl w:val="2"/>
          <w:numId w:val="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如发生本协议第【10.1】条第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rp["option"]=="1"]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vertAlign w:val="superscript"/>
        </w:rPr>
        <w:t xml:space="preserve"> N</w:t>
      </w:r>
      <w:r>
        <w:rPr>
          <w:rFonts w:ascii="Times New Roman" w:hAnsi="Times New Roman" w:eastAsia="宋体" w:cs="Times New Roman"/>
          <w:sz w:val="24"/>
        </w:rPr>
        <w:t xml:space="preserve"> +A</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950" w:leftChars="70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950" w:leftChars="70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为回购利率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agreement.rpTermList?size==1]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即</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MERGEFIELD ${agreement["rpTermList1"][0].param} \* MERGEFORMAT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«${agreement[»</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[#list agreement.rpTermList1 as rp]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«[#list»</w:t>
      </w:r>
      <w:r>
        <w:rPr>
          <w:rFonts w:hint="eastAsia" w:ascii="Times New Roman" w:hAnsi="Times New Roman" w:eastAsia="宋体" w:cs="Times New Roman"/>
          <w:sz w:val="24"/>
          <w:highlight w:val="none"/>
          <w:lang w:eastAsia="zh-CN"/>
        </w:rPr>
        <w:fldChar w:fldCharType="end"/>
      </w:r>
    </w:p>
    <w:p>
      <w:pPr>
        <w:pStyle w:val="29"/>
        <w:keepNext w:val="0"/>
        <w:keepLines w:val="0"/>
        <w:pageBreakBefore w:val="0"/>
        <w:widowControl w:val="0"/>
        <w:numPr>
          <w:ilvl w:val="0"/>
          <w:numId w:val="10"/>
        </w:numPr>
        <w:tabs>
          <w:tab w:val="left" w:pos="2100"/>
        </w:tabs>
        <w:kinsoku/>
        <w:wordWrap/>
        <w:overflowPunct/>
        <w:topLinePunct w:val="0"/>
        <w:autoSpaceDE/>
        <w:autoSpaceDN/>
        <w:bidi w:val="0"/>
        <w:adjustRightInd/>
        <w:snapToGrid w:val="0"/>
        <w:spacing w:before="156" w:after="50" w:line="300" w:lineRule="auto"/>
        <w:ind w:left="2094" w:leftChars="700" w:right="0" w:rightChars="0" w:hanging="624"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cs="Times New Roman"/>
          <w:sz w:val="24"/>
          <w:lang w:val="en-US" w:eastAsia="zh-CN"/>
        </w:rPr>
        <w:t>10</w:t>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agreement.rpTermList2?size gt 0]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2"/>
          <w:numId w:val="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w:t>
      </w:r>
      <w:r>
        <w:rPr>
          <w:rFonts w:hint="eastAsia" w:cs="Times New Roman"/>
          <w:sz w:val="24"/>
          <w:highlight w:val="none"/>
          <w:lang w:val="en-US" w:eastAsia="zh-CN"/>
        </w:rPr>
        <w:t>10</w:t>
      </w:r>
      <w:r>
        <w:rPr>
          <w:rFonts w:hint="eastAsia" w:ascii="Times New Roman" w:hAnsi="Times New Roman" w:eastAsia="宋体" w:cs="Times New Roman"/>
          <w:sz w:val="24"/>
          <w:highlight w:val="none"/>
          <w:lang w:val="en-US" w:eastAsia="zh-CN"/>
        </w:rPr>
        <w:t>.1】条第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rp["option"]=="2"]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回购价格＝I×(1+R×N) +A</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agreement.rpTermList2?size==1]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val="en-US" w:eastAsia="zh-CN"/>
        </w:rPr>
        <w:t>即</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${agreement["rpTermList2"][0].param}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«${agreement[»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[#list agreement.rpTermList2 as rp]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«[#list»</w:t>
      </w:r>
      <w:r>
        <w:rPr>
          <w:rFonts w:hint="eastAsia" w:ascii="Times New Roman" w:hAnsi="Times New Roman" w:eastAsia="宋体" w:cs="Times New Roman"/>
          <w:sz w:val="24"/>
          <w:lang w:eastAsia="zh-CN"/>
        </w:rPr>
        <w:fldChar w:fldCharType="end"/>
      </w:r>
    </w:p>
    <w:p>
      <w:pPr>
        <w:pStyle w:val="29"/>
        <w:keepNext w:val="0"/>
        <w:keepLines w:val="0"/>
        <w:pageBreakBefore w:val="0"/>
        <w:widowControl w:val="0"/>
        <w:numPr>
          <w:ilvl w:val="0"/>
          <w:numId w:val="11"/>
        </w:numPr>
        <w:tabs>
          <w:tab w:val="left" w:pos="2100"/>
        </w:tabs>
        <w:kinsoku/>
        <w:wordWrap/>
        <w:overflowPunct/>
        <w:topLinePunct w:val="0"/>
        <w:autoSpaceDE/>
        <w:autoSpaceDN/>
        <w:bidi w:val="0"/>
        <w:adjustRightInd/>
        <w:snapToGrid w:val="0"/>
        <w:spacing w:before="156" w:after="50" w:line="300" w:lineRule="auto"/>
        <w:ind w:left="2094" w:leftChars="700" w:right="0" w:rightChars="0" w:hanging="624"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cs="Times New Roman"/>
          <w:sz w:val="24"/>
          <w:lang w:val="en-US" w:eastAsia="zh-CN"/>
        </w:rPr>
        <w:t>10.</w:t>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hint="eastAsia" w:ascii="Times New Roman" w:hAnsi="Times New Roman" w:eastAsia="宋体" w:cs="Times New Roman"/>
          <w:sz w:val="24"/>
          <w:highlight w:val="yellow"/>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agreement.rpTermList3?size gt 0]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2"/>
          <w:numId w:val="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w:t>
      </w:r>
      <w:r>
        <w:rPr>
          <w:rFonts w:hint="eastAsia" w:cs="Times New Roman"/>
          <w:sz w:val="24"/>
          <w:highlight w:val="none"/>
          <w:lang w:val="en-US" w:eastAsia="zh-CN"/>
        </w:rPr>
        <w:t>10</w:t>
      </w:r>
      <w:r>
        <w:rPr>
          <w:rFonts w:hint="eastAsia" w:ascii="Times New Roman" w:hAnsi="Times New Roman" w:eastAsia="宋体" w:cs="Times New Roman"/>
          <w:sz w:val="24"/>
          <w:highlight w:val="none"/>
          <w:lang w:val="en-US" w:eastAsia="zh-CN"/>
        </w:rPr>
        <w:t>.1】条第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rp["option"]=="3"]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rPr>
        <w:t>×</w:t>
      </w:r>
      <w:r>
        <w:rPr>
          <w:rFonts w:hint="eastAsia" w:ascii="Times New Roman" w:hAnsi="Times New Roman" w:eastAsia="宋体" w:cs="Times New Roman"/>
          <w:szCs w:val="24"/>
          <w:lang w:val="en-US" w:eastAsia="zh-CN"/>
        </w:rPr>
        <w:t>%</w:t>
      </w:r>
      <w:r>
        <w:rPr>
          <w:rFonts w:ascii="Times New Roman" w:hAnsi="Times New Roman" w:eastAsia="宋体" w:cs="Times New Roman"/>
          <w:sz w:val="24"/>
        </w:rPr>
        <w:t>)</w:t>
      </w:r>
      <w:r>
        <w:rPr>
          <w:rFonts w:ascii="Times New Roman" w:hAnsi="Times New Roman" w:eastAsia="宋体" w:cs="Times New Roman"/>
          <w:szCs w:val="24"/>
          <w:vertAlign w:val="superscript"/>
        </w:rPr>
        <w:t xml:space="preserve"> </w:t>
      </w:r>
      <w:r>
        <w:rPr>
          <w:rFonts w:ascii="Times New Roman" w:hAnsi="Times New Roman" w:eastAsia="宋体" w:cs="Times New Roman"/>
          <w:sz w:val="24"/>
        </w:rPr>
        <w:t>+A</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kinsoku/>
        <w:wordWrap/>
        <w:overflowPunct/>
        <w:topLinePunct w:val="0"/>
        <w:autoSpaceDE/>
        <w:autoSpaceDN/>
        <w:bidi w:val="0"/>
        <w:adjustRightInd/>
        <w:snapToGrid w:val="0"/>
        <w:spacing w:before="156" w:after="50" w:line="300" w:lineRule="auto"/>
        <w:ind w:left="1470" w:leftChars="700" w:right="0" w:rightChars="0" w:firstLine="0" w:firstLineChars="0"/>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agreement.rpTermList3?size==1]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即</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MERGEFIELD ${agreement["rpTermList3"][0].param} \* MERGEFORMAT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«${agreement[»</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[#list agreement.rpTermList3 as rp]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«[#list»</w:t>
      </w:r>
      <w:r>
        <w:rPr>
          <w:rFonts w:hint="eastAsia" w:ascii="Times New Roman" w:hAnsi="Times New Roman" w:eastAsia="宋体" w:cs="Times New Roman"/>
          <w:sz w:val="24"/>
          <w:highlight w:val="none"/>
          <w:lang w:eastAsia="zh-CN"/>
        </w:rPr>
        <w:fldChar w:fldCharType="end"/>
      </w:r>
    </w:p>
    <w:p>
      <w:pPr>
        <w:pStyle w:val="29"/>
        <w:keepNext w:val="0"/>
        <w:keepLines w:val="0"/>
        <w:pageBreakBefore w:val="0"/>
        <w:widowControl w:val="0"/>
        <w:numPr>
          <w:ilvl w:val="0"/>
          <w:numId w:val="12"/>
        </w:numPr>
        <w:tabs>
          <w:tab w:val="left" w:pos="2100"/>
        </w:tabs>
        <w:kinsoku/>
        <w:wordWrap/>
        <w:overflowPunct/>
        <w:topLinePunct w:val="0"/>
        <w:autoSpaceDE/>
        <w:autoSpaceDN/>
        <w:bidi w:val="0"/>
        <w:adjustRightInd/>
        <w:snapToGrid w:val="0"/>
        <w:spacing w:before="156" w:after="50" w:line="300" w:lineRule="auto"/>
        <w:ind w:left="2094" w:leftChars="700" w:right="0" w:rightChars="0" w:hanging="624"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cs="Times New Roman"/>
          <w:sz w:val="24"/>
          <w:lang w:val="en-US" w:eastAsia="zh-CN"/>
        </w:rPr>
        <w:t>10</w:t>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lang w:eastAsia="zh-CN"/>
        </w:rPr>
        <w:t>在回购权人向回购义务人发出回购通知后，回购义务人应该在</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${agreement.p19RedemptionPeriod}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«${agreement.p19RedemptionPeriod}»</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日内（简称“</w:t>
      </w:r>
      <w:r>
        <w:rPr>
          <w:rFonts w:hint="eastAsia" w:ascii="Times New Roman" w:hAnsi="Times New Roman" w:eastAsia="宋体" w:cs="Times New Roman"/>
          <w:sz w:val="24"/>
          <w:u w:val="single"/>
          <w:lang w:eastAsia="zh-CN"/>
        </w:rPr>
        <w:t>回购期限</w:t>
      </w:r>
      <w:r>
        <w:rPr>
          <w:rFonts w:hint="eastAsia" w:ascii="Times New Roman" w:hAnsi="Times New Roman" w:eastAsia="宋体" w:cs="Times New Roman"/>
          <w:sz w:val="24"/>
          <w:u w:val="none"/>
          <w:lang w:eastAsia="zh-CN"/>
        </w:rPr>
        <w:t>”）按照回购价格购买拟回购股权。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(agreement.rpObj.cisPositionOption=="0")]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如果在回购权人同时行使回购权，但回购义务人届时资金不足无法完全按照上述约定回购回购权人的拟回购股权时，则回购义务人应：</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(agreement.rpObj.cisPositionOption=="0")]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(agreement.p19RepoHolderNum=="0")]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按照回购权人</w:t>
      </w:r>
      <w:r>
        <w:rPr>
          <w:rFonts w:hint="eastAsia" w:ascii="Times New Roman" w:hAnsi="Times New Roman" w:eastAsia="宋体" w:cs="Times New Roman"/>
          <w:sz w:val="24"/>
          <w:u w:val="none"/>
          <w:lang w:val="en-US" w:eastAsia="zh-CN"/>
        </w:rPr>
        <w:t>应获得的回购价格之间的</w:t>
      </w:r>
      <w:r>
        <w:rPr>
          <w:rFonts w:hint="eastAsia" w:ascii="Times New Roman" w:hAnsi="Times New Roman" w:eastAsia="宋体" w:cs="Times New Roman"/>
          <w:sz w:val="24"/>
          <w:u w:val="none"/>
          <w:lang w:eastAsia="zh-CN"/>
        </w:rPr>
        <w:t>相对比例回购该回购权人的拟回购股权。</w:t>
      </w:r>
      <w:r>
        <w:rPr>
          <w:rFonts w:hint="eastAsia" w:ascii="Times New Roman" w:hAnsi="Times New Roman" w:eastAsia="宋体" w:cs="Times New Roman"/>
          <w:sz w:val="24"/>
          <w:u w:val="none"/>
          <w:lang w:eastAsia="zh-CN"/>
        </w:rPr>
        <w:fldChar w:fldCharType="begin"/>
      </w:r>
      <w:r>
        <w:rPr>
          <w:rFonts w:hint="eastAsia" w:ascii="Times New Roman" w:hAnsi="Times New Roman" w:eastAsia="宋体" w:cs="Times New Roman"/>
          <w:sz w:val="24"/>
          <w:u w:val="none"/>
          <w:lang w:eastAsia="zh-CN"/>
        </w:rPr>
        <w:instrText xml:space="preserve"> MERGEFIELD [/#if] \* MERGEFORMAT </w:instrText>
      </w:r>
      <w:r>
        <w:rPr>
          <w:rFonts w:hint="eastAsia" w:ascii="Times New Roman" w:hAnsi="Times New Roman" w:eastAsia="宋体" w:cs="Times New Roman"/>
          <w:sz w:val="24"/>
          <w:u w:val="none"/>
          <w:lang w:eastAsia="zh-CN"/>
        </w:rPr>
        <w:fldChar w:fldCharType="separate"/>
      </w:r>
      <w:r>
        <w:rPr>
          <w:rFonts w:hint="eastAsia" w:ascii="Times New Roman" w:hAnsi="Times New Roman" w:eastAsia="宋体" w:cs="Times New Roman"/>
          <w:sz w:val="24"/>
          <w:u w:val="none"/>
          <w:lang w:eastAsia="zh-CN"/>
        </w:rPr>
        <w:t>«[/#if]»</w:t>
      </w:r>
      <w:r>
        <w:rPr>
          <w:rFonts w:hint="eastAsia" w:ascii="Times New Roman" w:hAnsi="Times New Roman" w:eastAsia="宋体" w:cs="Times New Roman"/>
          <w:sz w:val="24"/>
          <w:u w:val="none"/>
          <w:lang w:eastAsia="zh-CN"/>
        </w:rPr>
        <w:fldChar w:fldCharType="end"/>
      </w:r>
      <w:r>
        <w:rPr>
          <w:rFonts w:hint="eastAsia" w:ascii="Times New Roman" w:hAnsi="Times New Roman" w:eastAsia="宋体" w:cs="Times New Roman"/>
          <w:sz w:val="24"/>
          <w:u w:val="none"/>
          <w:lang w:eastAsia="zh-CN"/>
        </w:rPr>
        <w:t>如有未能回购的拟回购股权的，则应在回购义务人有资金时立即回购。</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[#else]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«[#else]»</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agreement.rpObj.cisPositionList as cis]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p>
    <w:p>
      <w:pPr>
        <w:keepNext w:val="0"/>
        <w:keepLines w:val="0"/>
        <w:pageBreakBefore w:val="0"/>
        <w:widowControl w:val="0"/>
        <w:numPr>
          <w:ilvl w:val="0"/>
          <w:numId w:val="0"/>
        </w:numPr>
        <w:tabs>
          <w:tab w:val="left" w:pos="709"/>
        </w:tabs>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[#if cis_index==0]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«[#if»</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首先回购</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[#list cis as name]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«[#list»</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${name}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«${name}»</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name_index lt(cis?size-2)]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cs="Times New Roman"/>
          <w:color w:val="000000" w:themeColor="text1"/>
          <w:sz w:val="24"/>
          <w:highlight w:val="none"/>
          <w:lang w:eastAsia="zh-CN"/>
          <w14:textFill>
            <w14:solidFill>
              <w14:schemeClr w14:val="tx1"/>
            </w14:solidFill>
          </w14:textFill>
        </w:rPr>
        <w:t>，</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[#elseif name_index==(cis?size-2)]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«[#elseif»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none"/>
          <w:lang w:val="en-US" w:eastAsia="zh-CN"/>
          <w14:textFill>
            <w14:solidFill>
              <w14:schemeClr w14:val="tx1"/>
            </w14:solidFill>
          </w14:textFill>
        </w:rPr>
        <w:t>与</w:t>
      </w:r>
      <w:r>
        <w:rPr>
          <w:rFonts w:hint="eastAsia" w:cs="Times New Roman"/>
          <w:color w:val="000000" w:themeColor="text1"/>
          <w:sz w:val="24"/>
          <w:highlight w:val="yellow"/>
          <w:lang w:val="en-US" w:eastAsia="zh-CN"/>
          <w14:textFill>
            <w14:solidFill>
              <w14:schemeClr w14:val="tx1"/>
            </w14:solidFill>
          </w14:textFill>
        </w:rPr>
        <w:fldChar w:fldCharType="begin"/>
      </w:r>
      <w:r>
        <w:rPr>
          <w:rFonts w:hint="eastAsia" w:cs="Times New Roman"/>
          <w:color w:val="000000" w:themeColor="text1"/>
          <w:sz w:val="24"/>
          <w:highlight w:val="yellow"/>
          <w:lang w:val="en-US"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val="en-US" w:eastAsia="zh-CN"/>
          <w14:textFill>
            <w14:solidFill>
              <w14:schemeClr w14:val="tx1"/>
            </w14:solidFill>
          </w14:textFill>
        </w:rPr>
        <w:fldChar w:fldCharType="separate"/>
      </w:r>
      <w:r>
        <w:rPr>
          <w:rFonts w:hint="eastAsia" w:cs="Times New Roman"/>
          <w:color w:val="000000" w:themeColor="text1"/>
          <w:sz w:val="24"/>
          <w:highlight w:val="yellow"/>
          <w:lang w:val="en-US" w:eastAsia="zh-CN"/>
          <w14:textFill>
            <w14:solidFill>
              <w14:schemeClr w14:val="tx1"/>
            </w14:solidFill>
          </w14:textFill>
        </w:rPr>
        <w:t>«[/#if]»</w:t>
      </w:r>
      <w:r>
        <w:rPr>
          <w:rFonts w:hint="eastAsia" w:cs="Times New Roman"/>
          <w:color w:val="000000" w:themeColor="text1"/>
          <w:sz w:val="24"/>
          <w:highlight w:val="yellow"/>
          <w:lang w:val="en-US" w:eastAsia="zh-CN"/>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val="0"/>
          <w:bCs/>
          <w:color w:val="000000" w:themeColor="text1"/>
          <w:sz w:val="24"/>
          <w:u w:val="single"/>
          <w14:textFill>
            <w14:solidFill>
              <w14:schemeClr w14:val="tx1"/>
            </w14:solidFill>
          </w14:textFill>
        </w:rPr>
        <w:t>第一顺位回购权人</w:t>
      </w:r>
      <w:r>
        <w:rPr>
          <w:rFonts w:hint="eastAsia" w:ascii="Times New Roman" w:hAnsi="Times New Roman" w:eastAsia="宋体" w:cs="Times New Roman"/>
          <w:color w:val="000000" w:themeColor="text1"/>
          <w:sz w:val="24"/>
          <w14:textFill>
            <w14:solidFill>
              <w14:schemeClr w14:val="tx1"/>
            </w14:solidFill>
          </w14:textFill>
        </w:rPr>
        <w:t>”）的拟回购股权，</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[#if (cis?size==0)]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«[#if»</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w:t>
      </w:r>
      <w:r>
        <w:rPr>
          <w:rFonts w:hint="eastAsia" w:ascii="Times New Roman" w:hAnsi="Times New Roman" w:eastAsia="宋体" w:cs="Times New Roman"/>
          <w:color w:val="000000" w:themeColor="text1"/>
          <w:sz w:val="24"/>
          <w:lang w:eastAsia="zh-CN"/>
          <w14:textFill>
            <w14:solidFill>
              <w14:schemeClr w14:val="tx1"/>
            </w14:solidFill>
          </w14:textFill>
        </w:rPr>
        <w:t>回购义务人</w:t>
      </w:r>
      <w:r>
        <w:rPr>
          <w:rFonts w:hint="eastAsia" w:ascii="Times New Roman" w:hAnsi="Times New Roman" w:eastAsia="宋体" w:cs="Times New Roman"/>
          <w:color w:val="000000" w:themeColor="text1"/>
          <w:sz w:val="24"/>
          <w14:textFill>
            <w14:solidFill>
              <w14:schemeClr w14:val="tx1"/>
            </w14:solidFill>
          </w14:textFill>
        </w:rPr>
        <w:t>无法完全回购第一顺位回购权人的拟回购股权，则应按照第一顺位回购权人</w:t>
      </w:r>
      <w:r>
        <w:rPr>
          <w:rFonts w:hint="eastAsia" w:ascii="Times New Roman" w:hAnsi="Times New Roman" w:eastAsia="宋体" w:cs="Times New Roman"/>
          <w:color w:val="000000" w:themeColor="text1"/>
          <w:sz w:val="24"/>
          <w:lang w:val="en-US" w:eastAsia="zh-CN"/>
          <w14:textFill>
            <w14:solidFill>
              <w14:schemeClr w14:val="tx1"/>
            </w14:solidFill>
          </w14:textFill>
        </w:rPr>
        <w:t>应获得的回购价格之间</w:t>
      </w:r>
      <w:r>
        <w:rPr>
          <w:rFonts w:hint="eastAsia" w:ascii="Times New Roman" w:hAnsi="Times New Roman" w:eastAsia="宋体" w:cs="Times New Roman"/>
          <w:color w:val="000000" w:themeColor="text1"/>
          <w:sz w:val="24"/>
          <w14:textFill>
            <w14:solidFill>
              <w14:schemeClr w14:val="tx1"/>
            </w14:solidFill>
          </w14:textFill>
        </w:rPr>
        <w:t>的相互比例回购第一顺位回购权人的拟回购股权，</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[/#if]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color w:val="000000" w:themeColor="text1"/>
          <w:sz w:val="24"/>
          <w14:textFill>
            <w14:solidFill>
              <w14:schemeClr w14:val="tx1"/>
            </w14:solidFill>
          </w14:textFill>
        </w:rPr>
        <w:t>如有未能回购的第一顺位回购权人的拟回购股权的，则应在公司有资金时立即回购；</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«[#else]»</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如公司回购完第</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[#list agreement.numberList as num]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«[#list»</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num_index lt cis_index]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${num}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«${num}»</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num_index lt (cis_index-1)]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none"/>
          <w:lang w:eastAsia="zh-CN"/>
          <w14:textFill>
            <w14:solidFill>
              <w14:schemeClr w14:val="tx1"/>
            </w14:solidFill>
          </w14:textFill>
        </w:rPr>
        <w:t>、</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[/#list]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«[/#list]»</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顺位回购权人的全部拟回购股权且第</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[#list agreement.numberList as num]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«[#list»</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num_index lt cis_index]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${num}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«${num}»</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num_index lt (cis_index-1)]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lang w:eastAsia="zh-CN"/>
          <w14:textFill>
            <w14:solidFill>
              <w14:schemeClr w14:val="tx1"/>
            </w14:solidFill>
          </w14:textFill>
        </w:rPr>
        <w:t>、</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[/#list]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«[/#list]»</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顺位回购权人已经获得全部回购价款后，公司仍有剩余资金的，则公司应回购</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[#list cis as name]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«[#list»</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${name}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«${name}»</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name_index lt (cis?size-2)]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cs="Times New Roman"/>
          <w:color w:val="000000" w:themeColor="text1"/>
          <w:sz w:val="24"/>
          <w:highlight w:val="none"/>
          <w:lang w:eastAsia="zh-CN"/>
          <w14:textFill>
            <w14:solidFill>
              <w14:schemeClr w14:val="tx1"/>
            </w14:solidFill>
          </w14:textFill>
        </w:rPr>
        <w:t>，</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[#elseif name_index==(cis?size-2)]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«[#elseif»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14:textFill>
            <w14:solidFill>
              <w14:schemeClr w14:val="tx1"/>
            </w14:solidFill>
          </w14:textFill>
        </w:rPr>
        <w:t>和</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val="0"/>
          <w:bCs/>
          <w:color w:val="000000" w:themeColor="text1"/>
          <w:sz w:val="24"/>
          <w:u w:val="single"/>
          <w14:textFill>
            <w14:solidFill>
              <w14:schemeClr w14:val="tx1"/>
            </w14:solidFill>
          </w14:textFill>
        </w:rPr>
        <w:t>第</w:t>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fldChar w:fldCharType="end"/>
      </w:r>
      <w:r>
        <w:rPr>
          <w:rFonts w:hint="eastAsia" w:ascii="Times New Roman" w:hAnsi="Times New Roman" w:eastAsia="宋体" w:cs="Times New Roman"/>
          <w:b w:val="0"/>
          <w:bCs/>
          <w:color w:val="000000" w:themeColor="text1"/>
          <w:sz w:val="24"/>
          <w:u w:val="single"/>
          <w14:textFill>
            <w14:solidFill>
              <w14:schemeClr w14:val="tx1"/>
            </w14:solidFill>
          </w14:textFill>
        </w:rPr>
        <w:t>顺位回购权人</w:t>
      </w:r>
      <w:r>
        <w:rPr>
          <w:rFonts w:hint="eastAsia" w:ascii="Times New Roman" w:hAnsi="Times New Roman" w:eastAsia="宋体" w:cs="Times New Roman"/>
          <w:color w:val="000000" w:themeColor="text1"/>
          <w:sz w:val="24"/>
          <w14:textFill>
            <w14:solidFill>
              <w14:schemeClr w14:val="tx1"/>
            </w14:solidFill>
          </w14:textFill>
        </w:rPr>
        <w:t>”）的拟回购股权，</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[#if (cis?size==0)]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«[#if»</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w:t>
      </w:r>
      <w:r>
        <w:rPr>
          <w:rFonts w:hint="eastAsia" w:ascii="Times New Roman" w:hAnsi="Times New Roman" w:eastAsia="宋体" w:cs="Times New Roman"/>
          <w:color w:val="000000" w:themeColor="text1"/>
          <w:sz w:val="24"/>
          <w:lang w:eastAsia="zh-CN"/>
          <w14:textFill>
            <w14:solidFill>
              <w14:schemeClr w14:val="tx1"/>
            </w14:solidFill>
          </w14:textFill>
        </w:rPr>
        <w:t>回购义务人</w:t>
      </w:r>
      <w:r>
        <w:rPr>
          <w:rFonts w:hint="eastAsia" w:ascii="Times New Roman" w:hAnsi="Times New Roman" w:eastAsia="宋体" w:cs="Times New Roman"/>
          <w:color w:val="000000" w:themeColor="text1"/>
          <w:sz w:val="24"/>
          <w14:textFill>
            <w14:solidFill>
              <w14:schemeClr w14:val="tx1"/>
            </w14:solidFill>
          </w14:textFill>
        </w:rPr>
        <w:t>无法完全回购第</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顺位回购权人的拟回购股权，则应按照第</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w:t>
      </w:r>
      <w:r>
        <w:rPr>
          <w:rFonts w:hint="eastAsia" w:ascii="Times New Roman" w:hAnsi="Times New Roman" w:eastAsia="宋体" w:cs="Times New Roman"/>
          <w:color w:val="000000" w:themeColor="text1"/>
          <w:sz w:val="24"/>
          <w:lang w:val="en-US" w:eastAsia="zh-CN"/>
          <w14:textFill>
            <w14:solidFill>
              <w14:schemeClr w14:val="tx1"/>
            </w14:solidFill>
          </w14:textFill>
        </w:rPr>
        <w:t>应获得的回购价格之间</w:t>
      </w:r>
      <w:r>
        <w:rPr>
          <w:rFonts w:hint="eastAsia" w:ascii="Times New Roman" w:hAnsi="Times New Roman" w:eastAsia="宋体" w:cs="Times New Roman"/>
          <w:color w:val="000000" w:themeColor="text1"/>
          <w:sz w:val="24"/>
          <w14:textFill>
            <w14:solidFill>
              <w14:schemeClr w14:val="tx1"/>
            </w14:solidFill>
          </w14:textFill>
        </w:rPr>
        <w:t>的相互比例回购第</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顺位回购权人的拟回购股权，</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[/#if]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color w:val="000000" w:themeColor="text1"/>
          <w:sz w:val="24"/>
          <w14:textFill>
            <w14:solidFill>
              <w14:schemeClr w14:val="tx1"/>
            </w14:solidFill>
          </w14:textFill>
        </w:rPr>
        <w:t>如有未能回购的第</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顺位回购权人的拟回购股权，则应在公司有资金时立即回购。</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«[/#list]»</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果回购义务人无法在回购期限内履行上述回购义务，则回购权人有权要求回购义务人自回购期限届满之日起按照相当于回购价格的每日【万分之五】比率向该回购权人支付违约金，回购义务人向该回购权人全额支付违约金后，仍需继续履行其回购义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回购义务人未能履行其回购义务，回购权人有权要求公司通过变卖资产、分红的方式筹集资金以履行其回购义务。现有股东应批准，且应努力促使公司和其提名的董事（如有）批准该等资产变卖、分红的方式执行来筹措回购资金，并应签署，且应努力促使公司和其提名的董事（如有）签署确保该等执行所要求的全部法律文件。</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agreement.arObj.option=="1"]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p>
    <w:p>
      <w:pPr>
        <w:pStyle w:val="4"/>
        <w:snapToGrid w:val="0"/>
        <w:spacing w:before="156" w:after="10" w:line="420" w:lineRule="atLeast"/>
        <w:rPr>
          <w:rFonts w:ascii="Times New Roman" w:hAnsi="Times New Roman" w:eastAsia="宋体" w:cs="Times New Roman"/>
          <w:b/>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反稀释保护权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none"/>
          <w:lang w:eastAsia="zh-CN"/>
        </w:rPr>
        <w:t>交割日后，若公司发生任何新融资，且新融资中的增资方（简称“</w:t>
      </w:r>
      <w:r>
        <w:rPr>
          <w:rFonts w:hint="eastAsia" w:ascii="Times New Roman" w:hAnsi="Times New Roman" w:eastAsia="宋体" w:cs="Times New Roman"/>
          <w:sz w:val="24"/>
          <w:u w:val="single"/>
          <w:lang w:eastAsia="zh-CN"/>
        </w:rPr>
        <w:t>新增资方</w:t>
      </w:r>
      <w:r>
        <w:rPr>
          <w:rFonts w:hint="eastAsia" w:ascii="Times New Roman" w:hAnsi="Times New Roman" w:eastAsia="宋体" w:cs="Times New Roman"/>
          <w:sz w:val="24"/>
          <w:u w:val="none"/>
          <w:lang w:eastAsia="zh-CN"/>
        </w:rPr>
        <w:t>”）认购公司新增发的每一元注册资本的单位认购价格（“</w:t>
      </w:r>
      <w:r>
        <w:rPr>
          <w:rFonts w:hint="eastAsia" w:ascii="Times New Roman" w:hAnsi="Times New Roman" w:eastAsia="宋体" w:cs="Times New Roman"/>
          <w:sz w:val="24"/>
          <w:u w:val="single"/>
          <w:lang w:eastAsia="zh-CN"/>
        </w:rPr>
        <w:t>新每单位认购价格</w:t>
      </w:r>
      <w:r>
        <w:rPr>
          <w:rFonts w:hint="eastAsia" w:ascii="Times New Roman" w:hAnsi="Times New Roman" w:eastAsia="宋体" w:cs="Times New Roman"/>
          <w:sz w:val="24"/>
          <w:u w:val="none"/>
          <w:lang w:eastAsia="zh-CN"/>
        </w:rPr>
        <w:t>”）低于</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${agreement.arObj["ARPeople"]}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«${agreement.arObj[»</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（简称“</w:t>
      </w:r>
      <w:r>
        <w:rPr>
          <w:rFonts w:hint="eastAsia" w:ascii="Times New Roman" w:hAnsi="Times New Roman" w:eastAsia="宋体" w:cs="Times New Roman"/>
          <w:sz w:val="24"/>
          <w:u w:val="single"/>
          <w:lang w:eastAsia="zh-CN"/>
        </w:rPr>
        <w:t>反稀释权人</w:t>
      </w:r>
      <w:r>
        <w:rPr>
          <w:rFonts w:hint="eastAsia" w:ascii="Times New Roman" w:hAnsi="Times New Roman" w:eastAsia="宋体" w:cs="Times New Roman"/>
          <w:sz w:val="24"/>
          <w:u w:val="none"/>
          <w:lang w:eastAsia="zh-CN"/>
        </w:rPr>
        <w:t>”）以其在公司此前任一轮融资（简称“</w:t>
      </w:r>
      <w:r>
        <w:rPr>
          <w:rFonts w:hint="eastAsia" w:ascii="Times New Roman" w:hAnsi="Times New Roman" w:eastAsia="宋体" w:cs="Times New Roman"/>
          <w:sz w:val="24"/>
          <w:u w:val="single"/>
          <w:lang w:eastAsia="zh-CN"/>
        </w:rPr>
        <w:t>前轮融资</w:t>
      </w:r>
      <w:r>
        <w:rPr>
          <w:rFonts w:hint="eastAsia" w:ascii="Times New Roman" w:hAnsi="Times New Roman" w:eastAsia="宋体" w:cs="Times New Roman"/>
          <w:sz w:val="24"/>
          <w:u w:val="none"/>
          <w:lang w:eastAsia="zh-CN"/>
        </w:rPr>
        <w:t>”）中所投入的投资额（简称“</w:t>
      </w:r>
      <w:r>
        <w:rPr>
          <w:rFonts w:hint="eastAsia" w:ascii="Times New Roman" w:hAnsi="Times New Roman" w:eastAsia="宋体" w:cs="Times New Roman"/>
          <w:sz w:val="24"/>
          <w:u w:val="single"/>
          <w:lang w:eastAsia="zh-CN"/>
        </w:rPr>
        <w:t>原始投资额</w:t>
      </w:r>
      <w:r>
        <w:rPr>
          <w:rFonts w:hint="eastAsia" w:ascii="Times New Roman" w:hAnsi="Times New Roman" w:eastAsia="宋体" w:cs="Times New Roman"/>
          <w:sz w:val="24"/>
          <w:u w:val="none"/>
          <w:lang w:eastAsia="zh-CN"/>
        </w:rPr>
        <w:t>”）认购该轮增发的每一元注册资本的单位认购价格（简称“</w:t>
      </w:r>
      <w:r>
        <w:rPr>
          <w:rFonts w:hint="eastAsia" w:ascii="Times New Roman" w:hAnsi="Times New Roman" w:eastAsia="宋体" w:cs="Times New Roman"/>
          <w:sz w:val="24"/>
          <w:u w:val="single"/>
          <w:lang w:eastAsia="zh-CN"/>
        </w:rPr>
        <w:t>原始每单位认购价格</w:t>
      </w:r>
      <w:r>
        <w:rPr>
          <w:rFonts w:hint="eastAsia" w:ascii="Times New Roman" w:hAnsi="Times New Roman" w:eastAsia="宋体" w:cs="Times New Roman"/>
          <w:sz w:val="24"/>
          <w:u w:val="none"/>
          <w:lang w:eastAsia="zh-CN"/>
        </w:rPr>
        <w:t>”）的，则该反稀释权人有权要求公司按照如下方式调整原始每单位认购价格（简称“</w:t>
      </w:r>
      <w:r>
        <w:rPr>
          <w:rFonts w:hint="eastAsia" w:ascii="Times New Roman" w:hAnsi="Times New Roman" w:eastAsia="宋体" w:cs="Times New Roman"/>
          <w:sz w:val="24"/>
          <w:u w:val="single"/>
          <w:lang w:eastAsia="zh-CN"/>
        </w:rPr>
        <w:t>调整后每单位认购价格</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agreement.arObj.priceRegulation==""]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rPr>
        <w:t>完全棘轮方式，亦即在按照完全棘轮方式进行调整，调整后每单位认购价格应等于新每单位认购价格。</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[#else]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«[#else]»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广义加权平均方式，亦即在按照广义加权平均方式进行调整，调整后每单位认购价格应等于按如下公式确定的价格：</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szCs w:val="24"/>
          <w:lang w:val="en-GB"/>
        </w:rPr>
        <w:t>P2 = P1 * (A + B) / (A + C)</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为上述公式之目的，各字母的含义如下：</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P2</w:t>
      </w:r>
      <w:r>
        <w:rPr>
          <w:rFonts w:hint="eastAsia" w:ascii="Times New Roman" w:hAnsi="Times New Roman" w:eastAsia="宋体" w:cs="Times New Roman"/>
          <w:sz w:val="24"/>
          <w:szCs w:val="24"/>
        </w:rPr>
        <w:t>为调整后每单位认购价格；</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P1</w:t>
      </w:r>
      <w:r>
        <w:rPr>
          <w:rFonts w:hint="eastAsia" w:ascii="Times New Roman" w:hAnsi="Times New Roman" w:eastAsia="宋体" w:cs="Times New Roman"/>
          <w:sz w:val="24"/>
          <w:szCs w:val="24"/>
        </w:rPr>
        <w:t>为原始每单位认购价格（若公司以资本公积金为全体股东同比例转增注册资本，则该等价格应按比例稀释递减）；</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rPr>
        <w:t>为公司新融资之前的注册</w:t>
      </w:r>
      <w:r>
        <w:rPr>
          <w:rFonts w:ascii="Times New Roman" w:hAnsi="Times New Roman" w:eastAsia="宋体" w:cs="Times New Roman"/>
          <w:sz w:val="24"/>
          <w:szCs w:val="24"/>
        </w:rPr>
        <w:t>资本总额</w:t>
      </w:r>
      <w:r>
        <w:rPr>
          <w:rFonts w:hint="eastAsia" w:ascii="Times New Roman" w:hAnsi="Times New Roman" w:eastAsia="宋体" w:cs="Times New Roman"/>
          <w:sz w:val="24"/>
          <w:szCs w:val="24"/>
        </w:rPr>
        <w:t>（在完全稀释的基础上）；</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B</w:t>
      </w:r>
      <w:r>
        <w:rPr>
          <w:rFonts w:hint="eastAsia" w:ascii="Times New Roman" w:hAnsi="Times New Roman" w:eastAsia="宋体" w:cs="Times New Roman"/>
          <w:sz w:val="24"/>
          <w:szCs w:val="24"/>
        </w:rPr>
        <w:t>为假设公司新融资采用</w:t>
      </w:r>
      <w:r>
        <w:rPr>
          <w:rFonts w:ascii="Times New Roman" w:hAnsi="Times New Roman" w:eastAsia="宋体" w:cs="Times New Roman"/>
          <w:sz w:val="24"/>
          <w:szCs w:val="24"/>
        </w:rPr>
        <w:t>P1</w:t>
      </w:r>
      <w:r>
        <w:rPr>
          <w:rFonts w:hint="eastAsia" w:ascii="Times New Roman" w:hAnsi="Times New Roman" w:eastAsia="宋体" w:cs="Times New Roman"/>
          <w:sz w:val="24"/>
          <w:szCs w:val="24"/>
        </w:rPr>
        <w:t>作为认购每一元</w:t>
      </w:r>
      <w:r>
        <w:rPr>
          <w:rFonts w:ascii="Times New Roman" w:hAnsi="Times New Roman" w:eastAsia="宋体" w:cs="Times New Roman"/>
          <w:sz w:val="24"/>
          <w:szCs w:val="24"/>
        </w:rPr>
        <w:t>注册资本的</w:t>
      </w:r>
      <w:r>
        <w:rPr>
          <w:rFonts w:hint="eastAsia" w:ascii="Times New Roman" w:hAnsi="Times New Roman" w:eastAsia="宋体" w:cs="Times New Roman"/>
          <w:sz w:val="24"/>
          <w:szCs w:val="24"/>
        </w:rPr>
        <w:t>价格的情况下，所增加或发行的注册资本数额；</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C</w:t>
      </w:r>
      <w:r>
        <w:rPr>
          <w:rFonts w:hint="eastAsia" w:ascii="Times New Roman" w:hAnsi="Times New Roman" w:eastAsia="宋体" w:cs="Times New Roman"/>
          <w:sz w:val="24"/>
          <w:szCs w:val="24"/>
        </w:rPr>
        <w:t>为公司新融资中实际增加或发行的注册资本数额。</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为本第</w:t>
      </w:r>
      <w:r>
        <w:rPr>
          <w:rFonts w:hint="eastAsia" w:cs="Times New Roman"/>
          <w:sz w:val="24"/>
          <w:szCs w:val="24"/>
          <w:lang w:val="en-US" w:eastAsia="zh-CN"/>
        </w:rPr>
        <w:t>11</w:t>
      </w:r>
      <w:r>
        <w:rPr>
          <w:rFonts w:hint="eastAsia" w:ascii="Times New Roman" w:hAnsi="Times New Roman" w:eastAsia="宋体" w:cs="Times New Roman"/>
          <w:sz w:val="24"/>
          <w:szCs w:val="24"/>
        </w:rPr>
        <w:t>条之目的，“</w:t>
      </w:r>
      <w:r>
        <w:rPr>
          <w:rFonts w:hint="eastAsia" w:ascii="Times New Roman" w:hAnsi="Times New Roman" w:eastAsia="宋体" w:cs="Times New Roman"/>
          <w:b w:val="0"/>
          <w:bCs/>
          <w:sz w:val="24"/>
          <w:szCs w:val="24"/>
          <w:u w:val="single"/>
        </w:rPr>
        <w:t>新融资</w:t>
      </w:r>
      <w:r>
        <w:rPr>
          <w:rFonts w:hint="eastAsia" w:ascii="Times New Roman" w:hAnsi="Times New Roman" w:eastAsia="宋体" w:cs="Times New Roman"/>
          <w:sz w:val="24"/>
          <w:szCs w:val="24"/>
        </w:rPr>
        <w:t>”，是指公司增加注册资本、</w:t>
      </w:r>
      <w:r>
        <w:rPr>
          <w:rFonts w:ascii="Times New Roman" w:hAnsi="Times New Roman" w:eastAsia="宋体" w:cs="Times New Roman"/>
          <w:sz w:val="24"/>
          <w:szCs w:val="24"/>
        </w:rPr>
        <w:t>发行可转换债券</w:t>
      </w:r>
      <w:r>
        <w:rPr>
          <w:rFonts w:hint="eastAsia" w:ascii="Times New Roman" w:hAnsi="Times New Roman" w:eastAsia="宋体" w:cs="Times New Roman"/>
          <w:sz w:val="24"/>
          <w:szCs w:val="24"/>
        </w:rPr>
        <w:t>或</w:t>
      </w:r>
      <w:r>
        <w:rPr>
          <w:rFonts w:ascii="Times New Roman" w:hAnsi="Times New Roman" w:eastAsia="宋体" w:cs="Times New Roman"/>
          <w:sz w:val="24"/>
          <w:szCs w:val="24"/>
        </w:rPr>
        <w:t>股</w:t>
      </w:r>
      <w:r>
        <w:rPr>
          <w:rFonts w:hint="eastAsia" w:ascii="Times New Roman" w:hAnsi="Times New Roman" w:eastAsia="宋体" w:cs="Times New Roman"/>
          <w:sz w:val="24"/>
          <w:szCs w:val="24"/>
        </w:rPr>
        <w:t>份的情形，但根据董事会批准（包括投资方董事的同意）的员工股权/期权激励、全体股东均适用的股份拆分或者公司首次公开发行而进行的增资除外。</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反稀释权人有权要求公司按照调整后每单位认购价格重新确定其在前轮融资中所应获得的公司注册资本金额（“</w:t>
      </w:r>
      <w:r>
        <w:rPr>
          <w:rFonts w:hint="eastAsia" w:ascii="Times New Roman" w:hAnsi="Times New Roman" w:eastAsia="宋体" w:cs="Times New Roman"/>
          <w:sz w:val="24"/>
          <w:u w:val="single"/>
          <w:lang w:eastAsia="zh-CN"/>
        </w:rPr>
        <w:t>调整后注册资本额</w:t>
      </w:r>
      <w:r>
        <w:rPr>
          <w:rFonts w:hint="eastAsia" w:ascii="Times New Roman" w:hAnsi="Times New Roman" w:eastAsia="宋体" w:cs="Times New Roman"/>
          <w:sz w:val="24"/>
          <w:u w:val="none"/>
          <w:lang w:eastAsia="zh-CN"/>
        </w:rPr>
        <w:t>”），即，调整后注册资本额=原始投资额</w:t>
      </w:r>
      <w:r>
        <w:rPr>
          <w:rFonts w:hint="eastAsia" w:ascii="Times New Roman" w:hAnsi="Times New Roman" w:eastAsia="宋体" w:cs="Times New Roman"/>
          <w:sz w:val="24"/>
          <w:u w:val="none"/>
          <w:lang w:eastAsia="zh-CN"/>
        </w:rPr>
        <w:sym w:font="Symbol" w:char="F0B8"/>
      </w:r>
      <w:r>
        <w:rPr>
          <w:rFonts w:hint="eastAsia" w:ascii="Times New Roman" w:hAnsi="Times New Roman" w:eastAsia="宋体" w:cs="Times New Roman"/>
          <w:sz w:val="24"/>
          <w:u w:val="none"/>
          <w:lang w:eastAsia="zh-CN"/>
        </w:rPr>
        <w:t>调整后每单位认购价格。公司应以无偿或象征性价格向反稀释权人增发股权，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agreement.jvObj.lawyerRepresentativeOption=="1"]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或由创始人以无偿或象征性价格向反稀释权人转让股权，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以使该反稀释权人在前轮融资中所应获得的公司注册资本金额达到调整后注册资本额。为避免疑义，如因上述反稀释调整而导致反稀释权人实际向公司支付了任何价款或承担任何税费，则公司【及创始人】应当对反稀释权人进行相应补偿。</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在上述反稀释调整完成前，公司不得实施该次新增注册资本或增发新的与股权相关的任何证券（包括但不限于可转债）。</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agreement.dragAlongRightObj.option=="1"]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p>
    <w:p>
      <w:pPr>
        <w:snapToGrid w:val="0"/>
        <w:spacing w:before="156" w:after="10" w:line="420" w:lineRule="atLeast"/>
        <w:ind w:left="0"/>
        <w:rPr>
          <w:rFonts w:hint="eastAsia"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领售权</w:t>
      </w:r>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szCs w:val="23"/>
        </w:rPr>
        <w:t>在【投资方】持有公司股权期间，</w:t>
      </w:r>
      <w:r>
        <w:rPr>
          <w:rFonts w:hint="eastAsia" w:ascii="Times New Roman" w:hAnsi="Times New Roman" w:eastAsia="宋体" w:cs="Times New Roman"/>
          <w:sz w:val="24"/>
          <w:szCs w:val="23"/>
          <w:highlight w:val="none"/>
        </w:rPr>
        <w:t>【】，</w:t>
      </w:r>
      <w:r>
        <w:rPr>
          <w:rFonts w:hint="eastAsia" w:ascii="Times New Roman" w:hAnsi="Times New Roman" w:eastAsia="宋体" w:cs="Times New Roman"/>
          <w:sz w:val="24"/>
        </w:rPr>
        <w:t>若有第三方</w:t>
      </w:r>
      <w:r>
        <w:rPr>
          <w:rFonts w:ascii="Times New Roman" w:hAnsi="Times New Roman" w:eastAsia="宋体" w:cs="Times New Roman"/>
          <w:sz w:val="24"/>
        </w:rPr>
        <w:t>拟通过合并</w:t>
      </w:r>
      <w:r>
        <w:rPr>
          <w:rFonts w:hint="eastAsia" w:ascii="Times New Roman" w:hAnsi="Times New Roman" w:eastAsia="宋体" w:cs="Times New Roman"/>
          <w:sz w:val="24"/>
        </w:rPr>
        <w:t>、</w:t>
      </w:r>
      <w:r>
        <w:rPr>
          <w:rFonts w:ascii="Times New Roman" w:hAnsi="Times New Roman" w:eastAsia="宋体" w:cs="Times New Roman"/>
          <w:sz w:val="24"/>
        </w:rPr>
        <w:t>股权收购或类似交易使得公司</w:t>
      </w:r>
      <w:r>
        <w:rPr>
          <w:rFonts w:hint="eastAsia" w:ascii="Times New Roman" w:hAnsi="Times New Roman" w:eastAsia="宋体" w:cs="Times New Roman"/>
          <w:sz w:val="24"/>
        </w:rPr>
        <w:t>50%的投票权或者全部或者绝大部分资产转移至该第三方（统称为</w:t>
      </w:r>
      <w:r>
        <w:rPr>
          <w:rFonts w:ascii="Times New Roman" w:hAnsi="Times New Roman" w:eastAsia="宋体" w:cs="Times New Roman"/>
          <w:sz w:val="24"/>
        </w:rPr>
        <w:t>“</w:t>
      </w:r>
      <w:r>
        <w:rPr>
          <w:rFonts w:hint="eastAsia" w:ascii="Times New Roman" w:hAnsi="Times New Roman" w:eastAsia="宋体" w:cs="Times New Roman"/>
          <w:sz w:val="24"/>
          <w:u w:val="single"/>
        </w:rPr>
        <w:t>整体出售</w:t>
      </w:r>
      <w:r>
        <w:rPr>
          <w:rFonts w:ascii="Times New Roman" w:hAnsi="Times New Roman" w:eastAsia="宋体" w:cs="Times New Roman"/>
          <w:sz w:val="24"/>
        </w:rPr>
        <w:t>”</w:t>
      </w:r>
      <w:r>
        <w:rPr>
          <w:rFonts w:hint="eastAsia" w:ascii="Times New Roman" w:hAnsi="Times New Roman" w:eastAsia="宋体" w:cs="Times New Roman"/>
          <w:sz w:val="24"/>
        </w:rPr>
        <w:t>）</w:t>
      </w:r>
      <w:r>
        <w:rPr>
          <w:rFonts w:hint="eastAsia" w:ascii="Times New Roman" w:hAnsi="Times New Roman" w:eastAsia="宋体" w:cs="Times New Roman"/>
          <w:sz w:val="24"/>
          <w:szCs w:val="23"/>
          <w:highlight w:val="none"/>
        </w:rPr>
        <w:t>【】，</w:t>
      </w:r>
      <w:r>
        <w:rPr>
          <w:rFonts w:hint="eastAsia" w:ascii="Times New Roman" w:hAnsi="Times New Roman" w:eastAsia="宋体" w:cs="Times New Roman"/>
          <w:sz w:val="24"/>
        </w:rPr>
        <w:t>而</w:t>
      </w:r>
      <w:r>
        <w:rPr>
          <w:rFonts w:ascii="Times New Roman" w:hAnsi="Times New Roman" w:eastAsia="宋体" w:cs="Times New Roman"/>
          <w:sz w:val="24"/>
        </w:rPr>
        <w:t>公司董事会</w:t>
      </w:r>
      <w:r>
        <w:rPr>
          <w:rFonts w:hint="eastAsia" w:ascii="Times New Roman" w:hAnsi="Times New Roman" w:eastAsia="宋体" w:cs="Times New Roman"/>
          <w:sz w:val="24"/>
        </w:rPr>
        <w:t>大多数成员（必须包括【投资方】董事）</w:t>
      </w:r>
      <w:r>
        <w:rPr>
          <w:rFonts w:ascii="Times New Roman" w:hAnsi="Times New Roman" w:eastAsia="宋体" w:cs="Times New Roman"/>
          <w:sz w:val="24"/>
        </w:rPr>
        <w:t>以及</w:t>
      </w:r>
      <w:r>
        <w:rPr>
          <w:rFonts w:hint="eastAsia" w:ascii="Times New Roman" w:hAnsi="Times New Roman" w:eastAsia="宋体" w:cs="Times New Roman"/>
          <w:sz w:val="24"/>
        </w:rPr>
        <w:t>任何在届时【投资方】持有的公司股权中超过【</w:t>
      </w:r>
      <w:r>
        <w:rPr>
          <w:rFonts w:ascii="Times New Roman" w:hAnsi="Times New Roman" w:eastAsia="宋体" w:cs="Times New Roman"/>
          <w:sz w:val="24"/>
        </w:rPr>
        <w:t>50</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以上的【投资方】同意前述交易【</w:t>
      </w:r>
      <w:r>
        <w:rPr>
          <w:rFonts w:ascii="Times New Roman" w:hAnsi="Times New Roman" w:eastAsia="宋体" w:cs="Times New Roman"/>
          <w:sz w:val="24"/>
        </w:rPr>
        <w:t>，</w:t>
      </w:r>
      <w:r>
        <w:rPr>
          <w:rFonts w:hint="eastAsia" w:ascii="Times New Roman" w:hAnsi="Times New Roman" w:eastAsia="宋体" w:cs="Times New Roman"/>
          <w:sz w:val="24"/>
        </w:rPr>
        <w:t>且</w:t>
      </w:r>
      <w:r>
        <w:rPr>
          <w:rFonts w:ascii="Times New Roman" w:hAnsi="Times New Roman" w:eastAsia="宋体" w:cs="Times New Roman"/>
          <w:sz w:val="24"/>
        </w:rPr>
        <w:t>任何在</w:t>
      </w:r>
      <w:r>
        <w:rPr>
          <w:rFonts w:hint="eastAsia" w:ascii="Times New Roman" w:hAnsi="Times New Roman" w:eastAsia="宋体" w:cs="Times New Roman"/>
          <w:sz w:val="24"/>
        </w:rPr>
        <w:t>届时</w:t>
      </w:r>
      <w:r>
        <w:rPr>
          <w:rFonts w:ascii="Times New Roman" w:hAnsi="Times New Roman" w:eastAsia="宋体" w:cs="Times New Roman"/>
          <w:sz w:val="24"/>
        </w:rPr>
        <w:t>【</w:t>
      </w:r>
      <w:r>
        <w:rPr>
          <w:rFonts w:hint="eastAsia" w:ascii="Times New Roman" w:hAnsi="Times New Roman" w:eastAsia="宋体" w:cs="Times New Roman"/>
          <w:sz w:val="24"/>
        </w:rPr>
        <w:t>创始人</w:t>
      </w:r>
      <w:r>
        <w:rPr>
          <w:rFonts w:ascii="Times New Roman" w:hAnsi="Times New Roman" w:eastAsia="宋体" w:cs="Times New Roman"/>
          <w:sz w:val="24"/>
        </w:rPr>
        <w:t>】</w:t>
      </w:r>
      <w:r>
        <w:rPr>
          <w:rFonts w:hint="eastAsia" w:ascii="Times New Roman" w:hAnsi="Times New Roman" w:eastAsia="宋体" w:cs="Times New Roman"/>
          <w:sz w:val="24"/>
        </w:rPr>
        <w:t>持有的</w:t>
      </w:r>
      <w:r>
        <w:rPr>
          <w:rFonts w:ascii="Times New Roman" w:hAnsi="Times New Roman" w:eastAsia="宋体" w:cs="Times New Roman"/>
          <w:sz w:val="24"/>
        </w:rPr>
        <w:t>公司股权中超过</w:t>
      </w:r>
      <w:r>
        <w:rPr>
          <w:rFonts w:hint="eastAsia" w:ascii="Times New Roman" w:hAnsi="Times New Roman" w:eastAsia="宋体" w:cs="Times New Roman"/>
          <w:sz w:val="24"/>
        </w:rPr>
        <w:t>【50】%</w:t>
      </w:r>
      <w:r>
        <w:rPr>
          <w:rFonts w:ascii="Times New Roman" w:hAnsi="Times New Roman" w:eastAsia="宋体" w:cs="Times New Roman"/>
          <w:sz w:val="24"/>
        </w:rPr>
        <w:t>以上的创始人</w:t>
      </w:r>
      <w:r>
        <w:rPr>
          <w:rFonts w:hint="eastAsia" w:ascii="Times New Roman" w:hAnsi="Times New Roman" w:eastAsia="宋体" w:cs="Times New Roman"/>
          <w:sz w:val="24"/>
        </w:rPr>
        <w:t>同意前述交易】（“</w:t>
      </w:r>
      <w:r>
        <w:rPr>
          <w:rFonts w:hint="eastAsia" w:ascii="Times New Roman" w:hAnsi="Times New Roman" w:eastAsia="宋体" w:cs="Times New Roman"/>
          <w:sz w:val="24"/>
          <w:u w:val="single"/>
        </w:rPr>
        <w:t>合格并购</w:t>
      </w:r>
      <w:r>
        <w:rPr>
          <w:rFonts w:hint="eastAsia" w:ascii="Times New Roman" w:hAnsi="Times New Roman" w:eastAsia="宋体" w:cs="Times New Roman"/>
          <w:sz w:val="24"/>
        </w:rPr>
        <w:t>”），</w:t>
      </w:r>
      <w:r>
        <w:rPr>
          <w:rFonts w:ascii="Times New Roman" w:hAnsi="Times New Roman" w:eastAsia="宋体" w:cs="Times New Roman"/>
          <w:sz w:val="24"/>
        </w:rPr>
        <w:t>则</w:t>
      </w:r>
      <w:r>
        <w:rPr>
          <w:rFonts w:hint="eastAsia" w:ascii="Times New Roman" w:hAnsi="Times New Roman" w:eastAsia="宋体" w:cs="Times New Roman"/>
          <w:sz w:val="24"/>
        </w:rPr>
        <w:t>公司其他所有股东</w:t>
      </w:r>
      <w:r>
        <w:rPr>
          <w:rFonts w:ascii="Times New Roman" w:hAnsi="Times New Roman" w:eastAsia="宋体" w:cs="Times New Roman"/>
          <w:sz w:val="24"/>
        </w:rPr>
        <w:t>届时应该同意并参与该项交易</w:t>
      </w:r>
      <w:r>
        <w:rPr>
          <w:rFonts w:hint="eastAsia" w:ascii="Times New Roman" w:hAnsi="Times New Roman" w:eastAsia="宋体" w:cs="Times New Roman"/>
          <w:sz w:val="24"/>
        </w:rPr>
        <w:t>，并促使其提名的董事通过或相关股东会通过</w:t>
      </w:r>
      <w:r>
        <w:rPr>
          <w:rFonts w:ascii="Times New Roman" w:hAnsi="Times New Roman" w:eastAsia="宋体" w:cs="Times New Roman"/>
          <w:sz w:val="24"/>
        </w:rPr>
        <w:t>与该项交易</w:t>
      </w:r>
      <w:r>
        <w:rPr>
          <w:rFonts w:hint="eastAsia" w:ascii="Times New Roman" w:hAnsi="Times New Roman" w:eastAsia="宋体" w:cs="Times New Roman"/>
          <w:sz w:val="24"/>
        </w:rPr>
        <w:t>相关的决议，并对该项</w:t>
      </w:r>
      <w:r>
        <w:rPr>
          <w:rFonts w:ascii="Times New Roman" w:hAnsi="Times New Roman" w:eastAsia="宋体" w:cs="Times New Roman"/>
          <w:sz w:val="24"/>
        </w:rPr>
        <w:t>交易</w:t>
      </w:r>
      <w:r>
        <w:rPr>
          <w:rFonts w:hint="eastAsia" w:ascii="Times New Roman" w:hAnsi="Times New Roman" w:eastAsia="宋体" w:cs="Times New Roman"/>
          <w:sz w:val="24"/>
        </w:rPr>
        <w:t>予以配</w:t>
      </w:r>
      <w:r>
        <w:rPr>
          <w:rFonts w:ascii="Times New Roman" w:hAnsi="Times New Roman" w:eastAsia="宋体" w:cs="Times New Roman"/>
          <w:sz w:val="24"/>
        </w:rPr>
        <w:t>合（包括签署相关协议文件）。如任何股东或其提名的董事不同意</w:t>
      </w:r>
      <w:r>
        <w:rPr>
          <w:rFonts w:hint="eastAsia" w:ascii="Times New Roman" w:hAnsi="Times New Roman" w:eastAsia="宋体" w:cs="Times New Roman"/>
          <w:sz w:val="24"/>
        </w:rPr>
        <w:t>整体出售，则其应按照第三方提出的价格收购投资方的全部股权，不收购的视为同意。不同意上述安排的创始人，应有义务按第三方提出的收购价格购买投资方持有的公司全部股权。</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pStyle w:val="5"/>
        <w:rPr>
          <w:rFonts w:ascii="Times New Roman" w:hAnsi="Times New Roman" w:eastAsia="宋体" w:cs="Times New Roman"/>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保护性条款</w:t>
      </w:r>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虽然</w:t>
      </w:r>
      <w:r>
        <w:rPr>
          <w:rFonts w:ascii="Times New Roman" w:hAnsi="Times New Roman" w:eastAsia="宋体" w:cs="Times New Roman"/>
          <w:sz w:val="24"/>
        </w:rPr>
        <w:t>有其</w:t>
      </w:r>
      <w:r>
        <w:rPr>
          <w:rFonts w:hint="eastAsia" w:ascii="Times New Roman" w:hAnsi="Times New Roman" w:eastAsia="宋体" w:cs="Times New Roman"/>
          <w:sz w:val="24"/>
        </w:rPr>
        <w:t>它</w:t>
      </w:r>
      <w:r>
        <w:rPr>
          <w:rFonts w:ascii="Times New Roman" w:hAnsi="Times New Roman" w:eastAsia="宋体" w:cs="Times New Roman"/>
          <w:sz w:val="24"/>
        </w:rPr>
        <w:t>规定，</w:t>
      </w:r>
      <w:r>
        <w:rPr>
          <w:rFonts w:hint="eastAsia" w:ascii="Times New Roman" w:hAnsi="Times New Roman" w:eastAsia="宋体" w:cs="Times New Roman"/>
          <w:sz w:val="24"/>
        </w:rPr>
        <w:t>除非经</w:t>
      </w:r>
      <w:r>
        <w:rPr>
          <w:rFonts w:hint="eastAsia" w:ascii="Times New Roman" w:hAnsi="Times New Roman" w:eastAsia="宋体" w:cs="Times New Roman"/>
          <w:sz w:val="24"/>
          <w:lang w:eastAsia="zh-CN"/>
        </w:rPr>
        <w:t>【本轮投资人】或【本轮投资人】委派的董事</w:t>
      </w:r>
      <w:r>
        <w:rPr>
          <w:rFonts w:hint="eastAsia" w:ascii="Times New Roman" w:hAnsi="Times New Roman" w:eastAsia="宋体" w:cs="Times New Roman"/>
          <w:sz w:val="24"/>
        </w:rPr>
        <w:t>事先书面同意，否则</w:t>
      </w:r>
      <w:r>
        <w:rPr>
          <w:rFonts w:ascii="Times New Roman" w:hAnsi="Times New Roman" w:eastAsia="宋体" w:cs="Times New Roman"/>
          <w:sz w:val="24"/>
        </w:rPr>
        <w:t>，公司和</w:t>
      </w:r>
      <w:r>
        <w:rPr>
          <w:rFonts w:hint="eastAsia" w:ascii="Times New Roman" w:hAnsi="Times New Roman" w:eastAsia="宋体" w:cs="Times New Roman"/>
          <w:sz w:val="24"/>
        </w:rPr>
        <w:t>/或</w:t>
      </w:r>
      <w:r>
        <w:rPr>
          <w:rFonts w:ascii="Times New Roman" w:hAnsi="Times New Roman" w:eastAsia="宋体" w:cs="Times New Roman"/>
          <w:sz w:val="24"/>
        </w:rPr>
        <w:t>创始</w:t>
      </w:r>
      <w:r>
        <w:rPr>
          <w:rFonts w:hint="eastAsia" w:ascii="Times New Roman" w:hAnsi="Times New Roman" w:eastAsia="宋体" w:cs="Times New Roman"/>
          <w:sz w:val="24"/>
        </w:rPr>
        <w:t>人</w:t>
      </w:r>
      <w:r>
        <w:rPr>
          <w:rFonts w:ascii="Times New Roman" w:hAnsi="Times New Roman" w:eastAsia="宋体" w:cs="Times New Roman"/>
          <w:sz w:val="24"/>
        </w:rPr>
        <w:t>不得</w:t>
      </w:r>
      <w:r>
        <w:rPr>
          <w:rFonts w:hint="eastAsia" w:ascii="Times New Roman" w:hAnsi="Times New Roman" w:eastAsia="宋体" w:cs="Times New Roman"/>
          <w:sz w:val="24"/>
        </w:rPr>
        <w:t>进行</w:t>
      </w:r>
      <w:r>
        <w:rPr>
          <w:rFonts w:ascii="Times New Roman" w:hAnsi="Times New Roman" w:eastAsia="宋体" w:cs="Times New Roman"/>
          <w:sz w:val="24"/>
        </w:rPr>
        <w:t>以下事项</w:t>
      </w:r>
      <w:r>
        <w:rPr>
          <w:rFonts w:hint="eastAsia" w:ascii="Times New Roman" w:hAnsi="Times New Roman" w:eastAsia="宋体" w:cs="Times New Roman"/>
          <w:sz w:val="24"/>
        </w:rPr>
        <w:t>。</w:t>
      </w:r>
      <w:r>
        <w:rPr>
          <w:rFonts w:ascii="Times New Roman" w:hAnsi="Times New Roman" w:eastAsia="宋体" w:cs="Times New Roman"/>
          <w:sz w:val="24"/>
        </w:rPr>
        <w:t>为避免异议，</w:t>
      </w:r>
      <w:r>
        <w:rPr>
          <w:rFonts w:hint="eastAsia" w:ascii="Times New Roman" w:hAnsi="Times New Roman" w:eastAsia="宋体" w:cs="Times New Roman"/>
          <w:sz w:val="24"/>
        </w:rPr>
        <w:t>为本条之目的，“</w:t>
      </w:r>
      <w:r>
        <w:rPr>
          <w:rFonts w:hint="eastAsia" w:ascii="Times New Roman" w:hAnsi="Times New Roman" w:eastAsia="宋体" w:cs="Times New Roman"/>
          <w:sz w:val="24"/>
          <w:u w:val="single"/>
        </w:rPr>
        <w:t>公司</w:t>
      </w:r>
      <w:r>
        <w:rPr>
          <w:rFonts w:hint="eastAsia" w:ascii="Times New Roman" w:hAnsi="Times New Roman" w:eastAsia="宋体" w:cs="Times New Roman"/>
          <w:sz w:val="24"/>
        </w:rPr>
        <w:t>”包括公司及其子公司、分公司、办事处等所有下属机构（如有）：</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公司的合并、分立、清算、解散或以各种形式终止经营业务；公司对外投资设立子公司、出售子公司或出售兼并其他企业；</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修改公司章程，增加或减少公司注册资本，变更公司组织形式或主营业务；或从事主营业务不同的新业务；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删减、变更【投资方】的优先权利；</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变更公司董事会的构成及人数；</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公司进行任何形式的后续融资（无论股权融资或债权融资），包括该等融资的任何条款或条件以及投资人的选定；</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公司回购或回赎公司股东持有的任何股权；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宣布、支付或以其他形式分配股利；</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制定、批准或实施任何股权/期权激励计划；</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任何清算优先权的设置或行使；</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决定公司付给创始人的薪酬；对关键管理人员进行任命、免职或设定任命条件；</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聘请或更换进行年度审计的会计师事务所；修改公司之前采用的会计政策或改变公司的财务年度；指定或变更公司的审计师；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设定或修改任何利润分配、员工期权、股份激励计划的条款；</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公司在任何财务年度中，寻求任何投资的项目单笔交易金额超过【50】万人民币（或等值的其他币种），或在该财务年度中的一系列相关交易的金额合计超过【100】万人民币（或等值的其他币种）；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除在正常业务中从银行或其他金融机构取得贸易贷款外，进行任何单笔或累计超过【50】万人民币（或等值的其他币种）的借贷或其他任何金融贷款工具；</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创设或许可发行任何在公司的全部或部分业务、资产或权利上设定抵押、留置权或质押（不论是以固定或浮动抵押、质押或其他任何形式）的债券；</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对公司的任何重大的商标、专利或其他知识产权进行出售、转让、许可使用、质押、设定任何权利负担或者另行处分；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做出任何通过终止公司主营业务，或承诺任何集团公司的合并、重组或清算，或适用于接管人、管理人、法务管理人或类似人员指定的决议；</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批准、调整或修改任何涉及公司的董事或股东权益的交易条款，包括但不限于直接或间接为公司的任何董事或股东提供贷款或预借款，或为其债务提供任何担保、补偿或保证；</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对任何其他实体进行单笔或累计超过【50】万人民币（或等值的其他币种）的股权投资，或者建立其它品牌；</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处分或稀释公司在其它任何公司中的直接或间接股权；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批准公司的年度预算；</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在任何十二个月内，公司任何五位薪酬最高的员工的薪酬涨幅超过百分之一百；</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与公司股东、董事、高级管理人员或其关联方之间进行任何关联交易；</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为任何第三方提供担保；</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创始人累计间接转让或处置超过本次投资完成前公司【5】%的股权（根据公司拆分、合并、转让、增加注册资本等情形相应调整）；</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公司首次公开发行或其他上市行为（包括为上述发行活动选择承销商）；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其它经创始人及多数【投资方】共同认可的任何重大事项。</w:t>
      </w:r>
    </w:p>
    <w:p>
      <w:pPr>
        <w:tabs>
          <w:tab w:val="left" w:pos="2520"/>
        </w:tabs>
        <w:spacing w:before="156" w:after="120" w:afterLines="50" w:line="420" w:lineRule="atLeast"/>
        <w:rPr>
          <w:rFonts w:ascii="Times New Roman" w:hAnsi="Times New Roman" w:eastAsia="宋体" w:cs="Times New Roman"/>
          <w:kern w:val="0"/>
          <w:sz w:val="24"/>
          <w:szCs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股权/期权激励</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本次投资完成后，创始人应当促使公司尽快制定具体的员工股权/期权激励计划。为此，【】确认并承诺其持有的本次投资交割后共计【】%的公司股权（对应公司注册资本【】元人民币）（“</w:t>
      </w:r>
      <w:r>
        <w:rPr>
          <w:rFonts w:hint="eastAsia" w:ascii="Times New Roman" w:hAnsi="Times New Roman" w:eastAsia="宋体" w:cs="Times New Roman"/>
          <w:sz w:val="24"/>
          <w:u w:val="single"/>
          <w:lang w:eastAsia="zh-CN"/>
        </w:rPr>
        <w:t>激励股权</w:t>
      </w:r>
      <w:r>
        <w:rPr>
          <w:rFonts w:hint="eastAsia" w:ascii="Times New Roman" w:hAnsi="Times New Roman" w:eastAsia="宋体" w:cs="Times New Roman"/>
          <w:sz w:val="24"/>
          <w:u w:val="none"/>
          <w:lang w:eastAsia="zh-CN"/>
        </w:rPr>
        <w:t>”）将全部用于实施公司董事会批准的员工股权/期权激励计划。【】进一步承诺，未经多数投资方事先书面同意，其不得将激励股权用于除激励员工之外的其他目的，亦不得以转让或其他任何方式直接或间接地处置或在该等激励股权之上设置质押等任何权利负担。</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员工股权/期权激励计划应以符合届时相关法律、法规的方式发行，公司董事会可制定具体的员工股权/期权激励计划对转让时间、价格、条件、形式等进行约定，并应获得投资方董事的事先书面同意。除非经多数投资方书面同意，每一参与员工期权/期权激励计划员工的期权应在不低于【4】年的时间内逐步实现。为避免疑问，激励股权在未实际发放给公司员工并被该员工行权后持有的情况下，其对应的表决权应当全部由创始人【】行使。尽管有前述约定，公司及创始人应当采取一切必要措施促使通过员工股权/期权激励计划获得任何公司股权权益的员工遵守本合同第6.4条至第6.7条项下有关股权转让的约定。【</w:t>
      </w:r>
      <w:r>
        <w:rPr>
          <w:rFonts w:hint="eastAsia" w:ascii="Times New Roman" w:hAnsi="Times New Roman" w:eastAsia="宋体" w:cs="Times New Roman"/>
          <w:b/>
          <w:bCs/>
          <w:i/>
          <w:iCs/>
          <w:sz w:val="24"/>
          <w:highlight w:val="yellow"/>
          <w:u w:val="none"/>
          <w:lang w:eastAsia="zh-CN"/>
        </w:rPr>
        <w:t>SH Note:请公司确认关于激励股权的安排</w:t>
      </w:r>
      <w:r>
        <w:rPr>
          <w:rFonts w:hint="eastAsia" w:ascii="Times New Roman" w:hAnsi="Times New Roman" w:eastAsia="宋体" w:cs="Times New Roman"/>
          <w:sz w:val="24"/>
          <w:u w:val="none"/>
          <w:lang w:eastAsia="zh-CN"/>
        </w:rPr>
        <w:t>】</w:t>
      </w:r>
    </w:p>
    <w:p>
      <w:pPr>
        <w:snapToGrid w:val="0"/>
        <w:spacing w:before="156" w:after="10" w:line="420" w:lineRule="atLeast"/>
        <w:ind w:left="567"/>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其它特殊约定</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在按照法律法规的相关规定弥补亏损和提取公积金后所余税后利润，如公司董事会同意（其中需包括投资方董事的同意）进行分配的，应当在全体股东之间按持股比例予以分配。尽管有前述约定，在投资方全额获得其应当被分配的股息或红利之前，公司其他股东不得以现金、财产、公司股权或其他形式获得分红。</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创始人同意并承诺在公司未来的后续融资过程中，若公司设立海外架构或采用任何新的架构时，创始人应当且应当促使公司根据投资方的要求协助投资方将其持有的公司股权相应无偿转换为届时融资主体的优先股（即通过新发、转股或任何其它投资方同意的方式将相关优先股无偿发放给投资方或其关联方），届时持有该等优先股的相关方应享有不低于本合同及增资协议项下投资方享有的全部优先权利（包括但不限于优先认购权、优先购买权、清算优先权等），且应保证投资方的投资成本不受不利影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创始人承诺，如其在交割日后从事任何新项目，在该新项目拟进行第一次及后续融资时，创始人有义务优先于其它任何潜在投资人，向本轮投资方披露该新项目的相关信息。本轮投资方在同等条件下对该等新项目享有优先投资的权利。</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如公司在本次投资【完成前/完成前及完成后】给予其他投资者更为优惠的条件、股东权利或保护类条款，则本轮投资方全部自动享有。</w:t>
      </w:r>
    </w:p>
    <w:p>
      <w:pPr>
        <w:tabs>
          <w:tab w:val="left" w:pos="1570"/>
          <w:tab w:val="left" w:pos="2040"/>
        </w:tabs>
        <w:spacing w:before="156" w:after="120" w:afterLines="50" w:line="420" w:lineRule="atLeast"/>
        <w:ind w:left="566"/>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各方责任</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甲方的责任</w:t>
      </w:r>
    </w:p>
    <w:p>
      <w:pPr>
        <w:keepNext w:val="0"/>
        <w:keepLines w:val="0"/>
        <w:pageBreakBefore w:val="0"/>
        <w:widowControl w:val="0"/>
        <w:numPr>
          <w:ilvl w:val="0"/>
          <w:numId w:val="0"/>
        </w:numPr>
        <w:kinsoku/>
        <w:wordWrap/>
        <w:overflowPunct/>
        <w:topLinePunct w:val="0"/>
        <w:autoSpaceDE/>
        <w:autoSpaceDN/>
        <w:bidi w:val="0"/>
        <w:adjustRightInd/>
        <w:snapToGrid/>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在合资期限内，甲方应负责以下事项：</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szCs w:val="24"/>
          <w:lang w:val="en-GB"/>
        </w:rPr>
      </w:pPr>
      <w:r>
        <w:rPr>
          <w:rFonts w:hint="eastAsia" w:ascii="Times New Roman" w:hAnsi="Times New Roman" w:eastAsia="宋体" w:cs="Times New Roman"/>
          <w:sz w:val="24"/>
          <w:szCs w:val="24"/>
          <w:lang w:val="en-GB"/>
        </w:rPr>
        <w:t>在任何时候，诚信地处理并促使其董事诚信地处理与公司经营、本合同以及根据本合同订立的任何其他合同或协议有关的所有事项；</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协助公司购买各项设备、原材料，招聘人员，开展技术研发，搭建采购、营销网络，使公司在成立之后的最短时间内能够开展经营活动；</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协助公司申请任何开展生产经营活动所需要的批准、许可或备案；协助公司在法律及国家政策允许范围内取得外商投资企业可以享受的各项税收减免优惠待遇；</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在职权范围内，处理本合同中规定，以及公司可能不时委托之其他合法合理事宜；</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根据公司的需要和标准，协助公司招聘各类合格的员工。</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bookmarkStart w:id="24" w:name="OLE_LINK5"/>
      <w:r>
        <w:rPr>
          <w:rFonts w:hint="eastAsia" w:ascii="Times New Roman" w:hAnsi="Times New Roman" w:eastAsia="宋体" w:cs="Times New Roman"/>
          <w:sz w:val="24"/>
          <w:u w:val="none"/>
          <w:lang w:eastAsia="zh-CN"/>
        </w:rPr>
        <w:t>使用【】及其关联方的名称和标识的限制</w:t>
      </w:r>
      <w:bookmarkEnd w:id="24"/>
    </w:p>
    <w:p>
      <w:pPr>
        <w:spacing w:before="156" w:after="10" w:line="420" w:lineRule="atLeast"/>
        <w:ind w:left="720"/>
        <w:rPr>
          <w:rFonts w:hint="eastAsia" w:ascii="Times New Roman" w:hAnsi="Times New Roman" w:eastAsia="宋体" w:cs="Times New Roman"/>
          <w:sz w:val="24"/>
        </w:rPr>
      </w:pPr>
      <w:r>
        <w:rPr>
          <w:rFonts w:hint="eastAsia" w:ascii="Times New Roman" w:hAnsi="Times New Roman" w:eastAsia="宋体" w:cs="Times New Roman"/>
          <w:sz w:val="24"/>
        </w:rPr>
        <w:t>未经【】的事先书面同意，不管【】当时是否直接或间接持有公司的任何股权，公司和任何公司股东不得为了其任何营销、广告、促销或其他目的使用、公布、复制、分销，展示（公开或非公开）【】或其任何关联方的商号、商标、产品或服务名称、域名、图案及标示，或其他类似名称、商号、商标、域名、图案标示、或使第三方能够识别【】或其任何关联方的特定描述，包括但不限于单独为或以组合形式包含“【】”、“【】”、“【】”、“【】”，及上述品牌的附属标志及图案。</w:t>
      </w:r>
    </w:p>
    <w:p>
      <w:pPr>
        <w:spacing w:before="156" w:after="10" w:line="420" w:lineRule="atLeast"/>
        <w:ind w:left="720"/>
        <w:rPr>
          <w:rFonts w:hint="eastAsia"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董事会、监事</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single"/>
          <w:lang w:eastAsia="zh-CN"/>
        </w:rPr>
        <w:t>董事会组成</w:t>
      </w:r>
    </w:p>
    <w:p>
      <w:pPr>
        <w:spacing w:before="156" w:after="10" w:line="420" w:lineRule="atLeast"/>
        <w:ind w:left="720"/>
        <w:rPr>
          <w:rFonts w:ascii="Times New Roman" w:hAnsi="Times New Roman" w:eastAsia="宋体" w:cs="Times New Roman"/>
          <w:sz w:val="24"/>
        </w:rPr>
      </w:pPr>
      <w:r>
        <w:rPr>
          <w:rFonts w:hint="eastAsia" w:ascii="Times New Roman" w:hAnsi="Times New Roman" w:eastAsia="宋体" w:cs="Times New Roman"/>
          <w:sz w:val="24"/>
        </w:rPr>
        <w:t>董事会应由【</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${agreement["newDirectorateObj"].directorsNum}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】人组成，其中，</w:t>
      </w:r>
      <w:r>
        <w:rPr>
          <w:rFonts w:hint="eastAsia" w:ascii="Times New Roman" w:hAnsi="Times New Roman" w:eastAsia="宋体" w:cs="Times New Roman"/>
          <w:sz w:val="24"/>
          <w:highlight w:val="none"/>
        </w:rPr>
        <w:t>创始人</w:t>
      </w:r>
      <w:r>
        <w:rPr>
          <w:rFonts w:ascii="Times New Roman" w:hAnsi="Times New Roman" w:eastAsia="宋体" w:cs="Times New Roman"/>
          <w:sz w:val="24"/>
          <w:highlight w:val="none"/>
        </w:rPr>
        <w:t>有权委派</w:t>
      </w:r>
      <w:r>
        <w:rPr>
          <w:rFonts w:hint="eastAsia" w:ascii="Times New Roman" w:hAnsi="Times New Roman" w:eastAsia="宋体" w:cs="Times New Roman"/>
          <w:sz w:val="24"/>
          <w:highlight w:val="none"/>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${agreement["newDirectorateObj"].founderDirectorNum}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rPr>
        <w:t>】</w:t>
      </w:r>
      <w:r>
        <w:rPr>
          <w:rFonts w:ascii="Times New Roman" w:hAnsi="Times New Roman" w:eastAsia="宋体" w:cs="Times New Roman"/>
          <w:sz w:val="24"/>
          <w:highlight w:val="none"/>
        </w:rPr>
        <w:t>名董事</w:t>
      </w:r>
      <w:r>
        <w:rPr>
          <w:rFonts w:hint="eastAsia" w:ascii="Times New Roman" w:hAnsi="Times New Roman" w:eastAsia="宋体" w:cs="Times New Roman"/>
          <w:sz w:val="24"/>
          <w:highlight w:val="none"/>
        </w:rPr>
        <w:t>（其中</w:t>
      </w:r>
      <w:r>
        <w:rPr>
          <w:rFonts w:ascii="Times New Roman" w:hAnsi="Times New Roman" w:eastAsia="宋体" w:cs="Times New Roman"/>
          <w:sz w:val="24"/>
          <w:highlight w:val="none"/>
        </w:rPr>
        <w:t>应包括一名董事长）</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agreement.newDirectorateObj.investorDirectorsList?size gt 0]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agreement.newDirectorateObj.investorDirectorsList?size==1]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${agreement["newDirectorateObj"].investorDirectorsList[0]. 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${agreement["newDirectorateObj"].investorDirectorsList[0]. 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u w:val="single"/>
        </w:rPr>
        <w:t>投资人董事</w:t>
      </w:r>
      <w:r>
        <w:rPr>
          <w:rFonts w:hint="eastAsia" w:cs="Times New Roman"/>
          <w:sz w:val="24"/>
          <w:u w:val="none"/>
          <w:lang w:eastAsia="zh-CN"/>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[#else]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«[#else]»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agreement.newDirectorateObj.investorDirectorsList as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highlight w:val="yellow"/>
          <w:u w:val="single"/>
        </w:rPr>
        <w:fldChar w:fldCharType="begin"/>
      </w:r>
      <w:r>
        <w:rPr>
          <w:rFonts w:hint="eastAsia" w:ascii="Times New Roman" w:hAnsi="Times New Roman" w:eastAsia="宋体" w:cs="Times New Roman"/>
          <w:sz w:val="24"/>
          <w:highlight w:val="yellow"/>
          <w:u w:val="single"/>
        </w:rPr>
        <w:instrText xml:space="preserve"> MERGEFIELD ${inve[""]} \* MERGEFORMAT </w:instrText>
      </w:r>
      <w:r>
        <w:rPr>
          <w:rFonts w:hint="eastAsia" w:ascii="Times New Roman" w:hAnsi="Times New Roman" w:eastAsia="宋体" w:cs="Times New Roman"/>
          <w:sz w:val="24"/>
          <w:highlight w:val="yellow"/>
          <w:u w:val="single"/>
        </w:rPr>
        <w:fldChar w:fldCharType="separate"/>
      </w:r>
      <w:r>
        <w:rPr>
          <w:rFonts w:hint="eastAsia" w:ascii="Times New Roman" w:hAnsi="Times New Roman" w:eastAsia="宋体" w:cs="Times New Roman"/>
          <w:sz w:val="24"/>
          <w:highlight w:val="yellow"/>
          <w:u w:val="single"/>
        </w:rPr>
        <w:t>«${inve[»</w:t>
      </w:r>
      <w:r>
        <w:rPr>
          <w:rFonts w:hint="eastAsia" w:ascii="Times New Roman" w:hAnsi="Times New Roman" w:eastAsia="宋体" w:cs="Times New Roman"/>
          <w:sz w:val="24"/>
          <w:highlight w:val="yellow"/>
          <w:u w:val="single"/>
        </w:rPr>
        <w:fldChar w:fldCharType="end"/>
      </w:r>
      <w:r>
        <w:rPr>
          <w:rFonts w:hint="eastAsia" w:ascii="Times New Roman" w:hAnsi="Times New Roman" w:eastAsia="宋体" w:cs="Times New Roman"/>
          <w:sz w:val="24"/>
          <w:u w:val="single"/>
        </w:rPr>
        <w:t>董事</w:t>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inve_has_next]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hint="eastAsia" w:cs="Times New Roman"/>
          <w:sz w:val="24"/>
          <w:lang w:eastAsia="zh-CN"/>
        </w:rPr>
        <w:t>，</w:t>
      </w:r>
      <w:r>
        <w:rPr>
          <w:rFonts w:hint="eastAsia" w:cs="Times New Roman"/>
          <w:sz w:val="24"/>
          <w:lang w:eastAsia="zh-CN"/>
        </w:rPr>
        <w:fldChar w:fldCharType="begin"/>
      </w:r>
      <w:r>
        <w:rPr>
          <w:rFonts w:hint="eastAsia" w:cs="Times New Roman"/>
          <w:sz w:val="24"/>
          <w:lang w:eastAsia="zh-CN"/>
        </w:rPr>
        <w:instrText xml:space="preserve"> MERGEFIELD [#else] \* MERGEFORMAT </w:instrText>
      </w:r>
      <w:r>
        <w:rPr>
          <w:rFonts w:hint="eastAsia" w:cs="Times New Roman"/>
          <w:sz w:val="24"/>
          <w:lang w:eastAsia="zh-CN"/>
        </w:rPr>
        <w:fldChar w:fldCharType="separate"/>
      </w:r>
      <w:r>
        <w:rPr>
          <w:rFonts w:hint="eastAsia" w:cs="Times New Roman"/>
          <w:sz w:val="24"/>
          <w:lang w:eastAsia="zh-CN"/>
        </w:rPr>
        <w:t>«[#else]»</w:t>
      </w:r>
      <w:r>
        <w:rPr>
          <w:rFonts w:hint="eastAsia" w:cs="Times New Roman"/>
          <w:sz w:val="24"/>
          <w:lang w:eastAsia="zh-CN"/>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与</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agreement.newDirectorateObj.investorDirectorsList as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inve_index lt (agreement.newDirectorateObj.investorDirectorsList?size-1)]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inve_index lt (agreement.newDirectorateObj.investorDirectorsList?size-2)]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cs="Times New Roman"/>
          <w:sz w:val="24"/>
          <w:highlight w:val="none"/>
          <w:lang w:eastAsia="zh-CN"/>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合称“</w:t>
      </w:r>
      <w:r>
        <w:rPr>
          <w:rFonts w:hint="eastAsia" w:ascii="Times New Roman" w:hAnsi="Times New Roman" w:eastAsia="宋体" w:cs="Times New Roman"/>
          <w:sz w:val="24"/>
          <w:u w:val="single"/>
        </w:rPr>
        <w:t>投资方董事</w:t>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。董事、董事长任期为四（</w:t>
      </w:r>
      <w:r>
        <w:rPr>
          <w:rFonts w:ascii="Times New Roman" w:hAnsi="Times New Roman" w:eastAsia="宋体" w:cs="Times New Roman"/>
          <w:sz w:val="24"/>
        </w:rPr>
        <w:t>4</w:t>
      </w:r>
      <w:r>
        <w:rPr>
          <w:rFonts w:hint="eastAsia" w:ascii="Times New Roman" w:hAnsi="Times New Roman" w:eastAsia="宋体" w:cs="Times New Roman"/>
          <w:sz w:val="24"/>
        </w:rPr>
        <w:t>）年，但期满经原委派方再次委派，可以连任。若董事会出现空缺，原委派方应立即将缺任董事的职位补足。任何一方均可随时有因或无因替换其委派的任何董事，并委派任何其他人代替被撤换之董事出任剩余任期董事。</w:t>
      </w:r>
    </w:p>
    <w:p>
      <w:pPr>
        <w:tabs>
          <w:tab w:val="left" w:pos="1440"/>
        </w:tabs>
        <w:snapToGrid w:val="0"/>
        <w:spacing w:before="156" w:after="10" w:line="420" w:lineRule="atLeast"/>
        <w:ind w:left="720"/>
        <w:rPr>
          <w:rFonts w:ascii="Times New Roman" w:hAnsi="Times New Roman" w:eastAsia="宋体" w:cs="Times New Roman"/>
          <w:sz w:val="24"/>
        </w:rPr>
      </w:pPr>
      <w:r>
        <w:rPr>
          <w:rFonts w:hint="eastAsia" w:ascii="Times New Roman" w:hAnsi="Times New Roman" w:eastAsia="宋体" w:cs="Times New Roman"/>
          <w:sz w:val="24"/>
        </w:rPr>
        <w:t>董事长为公司的法定代表人，有权代表公司并以公司名义进行活动。若董事长不能或未能履行其职责，应授权其他董事代表公司并履行董事长之职责。</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董事会职权</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董事会为公司最高权力机构，有权就公司全部重大事件作出决定。</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受限于本合同的其它规定，有关下列事项的决议，应由出席合法召集的董事会会议的全体董事一致同意方可表决通过：</w:t>
      </w:r>
    </w:p>
    <w:p>
      <w:pPr>
        <w:keepNext w:val="0"/>
        <w:keepLines w:val="0"/>
        <w:pageBreakBefore w:val="0"/>
        <w:widowControl/>
        <w:numPr>
          <w:ilvl w:val="0"/>
          <w:numId w:val="15"/>
        </w:numPr>
        <w:tabs>
          <w:tab w:val="left" w:pos="2100"/>
          <w:tab w:val="clear" w:pos="900"/>
        </w:tabs>
        <w:kinsoku/>
        <w:wordWrap/>
        <w:overflowPunct/>
        <w:topLinePunct w:val="0"/>
        <w:autoSpaceDE/>
        <w:autoSpaceDN/>
        <w:bidi w:val="0"/>
        <w:adjustRightInd/>
        <w:snapToGrid/>
        <w:spacing w:before="156" w:after="10" w:line="420" w:lineRule="atLeast"/>
        <w:ind w:left="2268" w:leftChars="0" w:right="0" w:rightChars="0" w:hanging="85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公司章程的修改；</w:t>
      </w:r>
    </w:p>
    <w:p>
      <w:pPr>
        <w:keepNext w:val="0"/>
        <w:keepLines w:val="0"/>
        <w:pageBreakBefore w:val="0"/>
        <w:widowControl/>
        <w:numPr>
          <w:ilvl w:val="0"/>
          <w:numId w:val="15"/>
        </w:numPr>
        <w:tabs>
          <w:tab w:val="left" w:pos="2100"/>
          <w:tab w:val="clear" w:pos="900"/>
        </w:tabs>
        <w:kinsoku/>
        <w:wordWrap/>
        <w:overflowPunct/>
        <w:topLinePunct w:val="0"/>
        <w:autoSpaceDE/>
        <w:autoSpaceDN/>
        <w:bidi w:val="0"/>
        <w:adjustRightInd/>
        <w:snapToGrid/>
        <w:spacing w:before="156" w:after="10" w:line="420" w:lineRule="atLeast"/>
        <w:ind w:left="2137" w:leftChars="0" w:right="0" w:rightChars="0" w:hanging="72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公司的中止、解散；</w:t>
      </w:r>
    </w:p>
    <w:p>
      <w:pPr>
        <w:keepNext w:val="0"/>
        <w:keepLines w:val="0"/>
        <w:pageBreakBefore w:val="0"/>
        <w:widowControl/>
        <w:numPr>
          <w:ilvl w:val="0"/>
          <w:numId w:val="15"/>
        </w:numPr>
        <w:tabs>
          <w:tab w:val="left" w:pos="2100"/>
          <w:tab w:val="clear" w:pos="900"/>
        </w:tabs>
        <w:kinsoku/>
        <w:wordWrap/>
        <w:overflowPunct/>
        <w:topLinePunct w:val="0"/>
        <w:autoSpaceDE/>
        <w:autoSpaceDN/>
        <w:bidi w:val="0"/>
        <w:adjustRightInd/>
        <w:snapToGrid/>
        <w:spacing w:before="156" w:after="10" w:line="420" w:lineRule="atLeast"/>
        <w:ind w:left="2137" w:leftChars="0" w:right="0" w:rightChars="0" w:hanging="72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公司注册资本的增加、减少；</w:t>
      </w:r>
    </w:p>
    <w:p>
      <w:pPr>
        <w:keepNext w:val="0"/>
        <w:keepLines w:val="0"/>
        <w:pageBreakBefore w:val="0"/>
        <w:widowControl/>
        <w:numPr>
          <w:ilvl w:val="0"/>
          <w:numId w:val="15"/>
        </w:numPr>
        <w:tabs>
          <w:tab w:val="left" w:pos="2100"/>
          <w:tab w:val="clear" w:pos="900"/>
        </w:tabs>
        <w:kinsoku/>
        <w:wordWrap/>
        <w:overflowPunct/>
        <w:topLinePunct w:val="0"/>
        <w:autoSpaceDE/>
        <w:autoSpaceDN/>
        <w:bidi w:val="0"/>
        <w:adjustRightInd/>
        <w:snapToGrid/>
        <w:spacing w:before="156" w:after="10" w:line="420" w:lineRule="atLeast"/>
        <w:ind w:left="2137" w:leftChars="0" w:right="0" w:rightChars="0" w:hanging="72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公司的合并、分立。</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董事会会议</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会议每季度至少召开一次。除董事会另有决定，董事会会议应在公司的法定地址举行。【三分之二（2/3）】以上的董事（其中包括投资方董事）出席构成董事会会议的合法召开人数。在任何合法召集的董事会上，若未能达到法定人数，董事会应在一周后的同一时间和地点再次召开，除非董事长或其他召集人另有通知。</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如不少于三分之一（1/3）以上的董事要求召开临时会议，需在一（1）个月前书面提出，并说明拟讨论的事项，董事长应召集临时会议，并将会议的日程及议题书面通知全体董事。</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长应制定董事会议事日程，并应负责召集和主持会议。如董事长因故无法召集和/或主持董事会会议，则董事长可以书面委托其他董事召集和/或主持。如董事长无故拒绝召集和/或主持议事日程当中的会议，则提议召开会议的董事有权自行召集和/或主持董事会会议。</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董事长或其他董事会召集人应在正常董事会召开前至少十五（15）日、临时董事会召开前至少七（7）日向全体董事发出书面通知，写明会议议事日程以及会议时间和地点。</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董事因任何原因无法出席董事会会议，必须通过信件、传真或专人送达的方式书面委托一代理人以该董事名义出席董事会并代为投票。一名代理人可代表一名董事。代理人具有与委托董事相同的权利和权力。</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决议亦可通过交换信件（包括电子邮件）或传真的形式书面传阅表决通过。上述书面决议应备案于董事会会议记录，并应与董事当面出席会议作出的表决具有同等效力和作用。董事会决议由出席董事会的董事签字。</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董事会决议亦可通过电话或其他电子视听方式进行，上述方式应使各位董事在任何时候均可互相听到。董事或其代理人参加此种形式的董事会会议即构成该董事或其代理人本人出席了董事会会议。</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除非董事会另行批准，出任董事不计报酬。但任何董事或其代理人为出席董事会会议以及履行董事会分配的职责而发生的全部合理费用，包括往返机票和合理的住宿费，应由公司负担。公司不负担董事的报酬及其与公司业务无关的其他费用。若董事同时兼任公司经理或职员，公司应按该职位支付报酬。</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每位董事有一票表决权。</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会议记录应由所有亲自出席、或通过电话或代理人出席会议的董事签名。为便于顺利开展公司业务，董事长，或当董事长缺席时，由董事长指定并代表他的其他董事，可以为任何一次董事会会议指定董事会秘书。董事会秘书的职责应包括：做会议记录、翻译或安排翻译文件以及将与会议有关的文件送达给董事。董事会会议记录应采用中文书写，并存档于公司总部。董事会会议记录的复印件应送至各方。</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公司不设监事会，设一名监事，由创始人共同委派。监事的任期为三年，可连选连任。监事行使下列职权：</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检查公司财务；</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对董事、高级管理人员执行公司职务的行为进行监督，对违反法律、行政法规、公司章程或者公司决议的董事、高级管理人员提出罢免的建议；</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当董事、高级管理人员的行为损害公司的利益时，要求董事、高级管理人员予以纠正；</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依照《公司法》第一百五十一条的规定，对董事、高级管理人员提起诉讼。</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监事必须根据本合同、公司章程及相关法律法规的规定行使职权，擅自行使职权的行为无效。</w:t>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5" w:name="_Toc332999840"/>
      <w:r>
        <w:rPr>
          <w:rFonts w:hint="eastAsia" w:ascii="Times New Roman" w:hAnsi="Times New Roman" w:eastAsia="宋体" w:cs="Times New Roman"/>
          <w:b/>
          <w:bCs w:val="0"/>
          <w:sz w:val="24"/>
          <w:szCs w:val="22"/>
        </w:rPr>
        <w:t>管理机构</w:t>
      </w:r>
      <w:bookmarkEnd w:id="25"/>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管理机构</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公司董事会应建立管理机构，该机构应对董事会负责并在其领导下负责公司的日常经营管理。</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董事可同时兼任高级公司职员以及担任公司的其他职务。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高级公司职员的责任和权力</w:t>
      </w:r>
    </w:p>
    <w:p>
      <w:pPr>
        <w:keepNext w:val="0"/>
        <w:keepLines w:val="0"/>
        <w:pageBreakBefore w:val="0"/>
        <w:widowControl w:val="0"/>
        <w:kinsoku/>
        <w:wordWrap/>
        <w:overflowPunct/>
        <w:topLinePunct w:val="0"/>
        <w:autoSpaceDE/>
        <w:autoSpaceDN/>
        <w:bidi w:val="0"/>
        <w:adjustRightInd/>
        <w:snapToGrid/>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公司设总经理一名</w:t>
      </w:r>
      <w:r>
        <w:rPr>
          <w:rFonts w:ascii="Times New Roman" w:hAnsi="Times New Roman" w:eastAsia="宋体" w:cs="Times New Roman"/>
          <w:sz w:val="24"/>
        </w:rPr>
        <w:t>，</w:t>
      </w:r>
      <w:r>
        <w:rPr>
          <w:rFonts w:hint="eastAsia" w:ascii="Times New Roman" w:hAnsi="Times New Roman" w:eastAsia="宋体" w:cs="Times New Roman"/>
          <w:sz w:val="24"/>
        </w:rPr>
        <w:t>由</w:t>
      </w:r>
      <w:r>
        <w:rPr>
          <w:rFonts w:ascii="Times New Roman" w:hAnsi="Times New Roman" w:eastAsia="宋体" w:cs="Times New Roman"/>
          <w:sz w:val="24"/>
        </w:rPr>
        <w:t>董事会决定聘任或者解聘。</w:t>
      </w:r>
      <w:r>
        <w:rPr>
          <w:rFonts w:hint="eastAsia" w:ascii="Times New Roman" w:hAnsi="Times New Roman" w:eastAsia="宋体" w:cs="Times New Roman"/>
          <w:sz w:val="24"/>
        </w:rPr>
        <w:t>总</w:t>
      </w:r>
      <w:r>
        <w:rPr>
          <w:rFonts w:ascii="Times New Roman" w:hAnsi="Times New Roman" w:eastAsia="宋体" w:cs="Times New Roman"/>
          <w:sz w:val="24"/>
        </w:rPr>
        <w:t>经理对董事会负责，行使下列职权：</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主持公司的生产经营管理工作，组织实施董事会决议；</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组织实施公司年度经营计划和投资方案；</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拟订公司内部管理机构设置方案；</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拟订公司的基本管理制度；</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制定公司的具体规章；</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决定聘任或者解聘除应由董事会决定聘任或者解聘以外的负责管理人员；</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董事会授予的其他职权。</w:t>
      </w:r>
    </w:p>
    <w:p>
      <w:pPr>
        <w:tabs>
          <w:tab w:val="left" w:pos="1440"/>
        </w:tabs>
        <w:snapToGrid w:val="0"/>
        <w:spacing w:line="420" w:lineRule="atLeast"/>
        <w:ind w:left="720"/>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6" w:name="_Toc332999842"/>
      <w:r>
        <w:rPr>
          <w:rFonts w:hint="eastAsia" w:ascii="Times New Roman" w:hAnsi="Times New Roman" w:eastAsia="宋体" w:cs="Times New Roman"/>
          <w:b/>
          <w:bCs w:val="0"/>
          <w:sz w:val="24"/>
          <w:szCs w:val="22"/>
        </w:rPr>
        <w:t>场地和办公场所</w:t>
      </w:r>
      <w:bookmarkEnd w:id="26"/>
    </w:p>
    <w:p>
      <w:pPr>
        <w:pStyle w:val="8"/>
        <w:spacing w:before="156" w:after="10" w:line="420" w:lineRule="atLeast"/>
        <w:ind w:firstLine="480" w:firstLineChars="200"/>
        <w:rPr>
          <w:rFonts w:ascii="Times New Roman" w:hAnsi="Times New Roman" w:eastAsia="宋体" w:cs="Times New Roman"/>
        </w:rPr>
      </w:pPr>
      <w:r>
        <w:rPr>
          <w:rFonts w:hint="eastAsia" w:ascii="Times New Roman" w:hAnsi="Times New Roman" w:eastAsia="宋体" w:cs="Times New Roman"/>
        </w:rPr>
        <w:t>公司的生产及办公场所由董事会决定。</w:t>
      </w:r>
    </w:p>
    <w:p>
      <w:pPr>
        <w:pStyle w:val="8"/>
        <w:spacing w:before="156" w:after="10" w:line="420" w:lineRule="atLeast"/>
        <w:rPr>
          <w:rFonts w:ascii="Times New Roman" w:hAnsi="Times New Roman" w:eastAsia="宋体" w:cs="Times New Roman"/>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7" w:name="_Toc332999843"/>
      <w:r>
        <w:rPr>
          <w:rFonts w:hint="eastAsia" w:ascii="Times New Roman" w:hAnsi="Times New Roman" w:eastAsia="宋体" w:cs="Times New Roman"/>
          <w:b/>
          <w:bCs w:val="0"/>
          <w:sz w:val="24"/>
          <w:szCs w:val="22"/>
        </w:rPr>
        <w:t>材料和服务的购买</w:t>
      </w:r>
      <w:bookmarkEnd w:id="27"/>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公司所需的设备、原材料、燃料、运输工具和办公用品，有权自行决定在中国购买或向国外购买。</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8" w:name="_Toc332999844"/>
      <w:r>
        <w:rPr>
          <w:rFonts w:hint="eastAsia" w:ascii="Times New Roman" w:hAnsi="Times New Roman" w:eastAsia="宋体" w:cs="Times New Roman"/>
          <w:b/>
          <w:bCs w:val="0"/>
          <w:sz w:val="24"/>
          <w:szCs w:val="22"/>
        </w:rPr>
        <w:t>劳动管</w:t>
      </w:r>
      <w:bookmarkEnd w:id="28"/>
      <w:r>
        <w:rPr>
          <w:rFonts w:hint="eastAsia" w:ascii="Times New Roman" w:hAnsi="Times New Roman" w:eastAsia="宋体" w:cs="Times New Roman"/>
          <w:b/>
          <w:bCs w:val="0"/>
          <w:sz w:val="24"/>
          <w:szCs w:val="22"/>
        </w:rPr>
        <w:t>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管理原则</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公司具有外商投资企业所应享有的全部企业自主权，并有聘任和解聘职工的全部职权。公司雇员的招聘、聘用、处罚、开除和辞职及其工资、保险、福利和其他事宜应依照有关的中国法律处理。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劳动合同</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公司应按照相关中国法律的规定与员工签订劳动合同。</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劳动和用人政策</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下述事宜应由董事会决定并在公司的劳动和用人政策以及公司与职工或代表职工的工会签订的劳动合同中加以规定：公司职员和工人的聘用、开除、辞职、工资、保险、福利、奖惩，及其在聘用期间取得及申请版权、专利权和其他与发明和著作有关的保护权。</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对于公司所有中国雇员应执行择优录用的招聘政策。为此，在得到必要批准后，公司可以在中国境内任何地方，以及必要时从国外雇用合格的员工。</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公司应按照本合同的原则与其核心员工签订保密、竞业禁止协议。</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9" w:name="_Toc332999845"/>
      <w:r>
        <w:rPr>
          <w:rFonts w:hint="eastAsia" w:ascii="Times New Roman" w:hAnsi="Times New Roman" w:eastAsia="宋体" w:cs="Times New Roman"/>
          <w:b/>
          <w:bCs w:val="0"/>
          <w:sz w:val="24"/>
          <w:szCs w:val="22"/>
        </w:rPr>
        <w:t>财务，税收，审计和利润分配</w:t>
      </w:r>
      <w:bookmarkEnd w:id="29"/>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税收</w:t>
      </w:r>
    </w:p>
    <w:p>
      <w:pPr>
        <w:keepNext w:val="0"/>
        <w:keepLines w:val="0"/>
        <w:pageBreakBefore w:val="0"/>
        <w:widowControl w:val="0"/>
        <w:numPr>
          <w:ilvl w:val="2"/>
          <w:numId w:val="20"/>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公司应根据中国的有关法律、法规纳税。公司应申请根据中国法律可享受的一切税收和关税的优惠待遇。</w:t>
      </w:r>
    </w:p>
    <w:p>
      <w:pPr>
        <w:keepNext w:val="0"/>
        <w:keepLines w:val="0"/>
        <w:pageBreakBefore w:val="0"/>
        <w:widowControl w:val="0"/>
        <w:numPr>
          <w:ilvl w:val="2"/>
          <w:numId w:val="20"/>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在创始人的协助下，公司应申请根据中国法律和法规现在或将来适用于类似公司的在华合资企业或各方中的任何一方在税收、关税和其他税赋方面所能享受的一切减免待遇。</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财务</w:t>
      </w:r>
    </w:p>
    <w:p>
      <w:pPr>
        <w:keepNext w:val="0"/>
        <w:keepLines w:val="0"/>
        <w:pageBreakBefore w:val="0"/>
        <w:widowControl w:val="0"/>
        <w:numPr>
          <w:ilvl w:val="2"/>
          <w:numId w:val="21"/>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公司的财政年度应自每公历年1月1日至同年12月31日。公司最后一个财政年度应自公司终止或期满之年的1月1日至公司经营期限终止或期满日。</w:t>
      </w:r>
    </w:p>
    <w:p>
      <w:pPr>
        <w:keepNext w:val="0"/>
        <w:keepLines w:val="0"/>
        <w:pageBreakBefore w:val="0"/>
        <w:widowControl w:val="0"/>
        <w:numPr>
          <w:ilvl w:val="2"/>
          <w:numId w:val="21"/>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应采用国际通用的权责发生制和借贷记账法记账。公司的一切会计记录、凭证账簿和报表应用中文书写。公司应采用人民币为其财务报表的本位币。年度、季度和月度报告应由总经理和财务总监批准并联合签名，并应用中文书写。财务总监应负责编制有关公司财务的会计和管理标准，并提交董事会批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审计</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每个会计年度结束后四十五（45</w:t>
      </w:r>
      <w:r>
        <w:rPr>
          <w:rFonts w:ascii="Times New Roman" w:hAnsi="Times New Roman" w:eastAsia="宋体" w:cs="Times New Roman"/>
          <w:sz w:val="24"/>
        </w:rPr>
        <w:t>）</w:t>
      </w:r>
      <w:r>
        <w:rPr>
          <w:rFonts w:hint="eastAsia" w:ascii="Times New Roman" w:hAnsi="Times New Roman" w:eastAsia="宋体" w:cs="Times New Roman"/>
          <w:sz w:val="24"/>
        </w:rPr>
        <w:t>天内，公司应聘请一家由公司和多数投资方共同选定的有资质的会计师事务所对公司账目和账簿进行审计。该事务所出具的年度审计报告应提交给董事会。</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提取三项基金</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每年缴纳所得税以及其他适用税款后，董事会应根据中国法律和法规决定从税后净利润中提取公司储备基金、企业发展基金以及职工奖励及福利基金的金额。董事会应根据公司的经营和财务状况决定每年从税后净利润中提留上述基金的数额及上述基金的最高限额。</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利润分配</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公司每年的利润分配方案由董事会决定，其中应包括投资方董事的同意。</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公司在上一年度发生亏损，公司本年度的利润应首先用于弥补亏损。在上一年或前几年亏损全部弥补前，不得分配利润或用其再投资。公司保留并从上年度结转的未用于再投资的可分配利润可与本年度的可分配利润一起分配。</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0" w:name="_Toc332999846"/>
      <w:r>
        <w:rPr>
          <w:rFonts w:hint="eastAsia" w:ascii="Times New Roman" w:hAnsi="Times New Roman" w:eastAsia="宋体" w:cs="Times New Roman"/>
          <w:b/>
          <w:bCs w:val="0"/>
          <w:sz w:val="24"/>
          <w:szCs w:val="22"/>
        </w:rPr>
        <w:t>银行账户和外汇</w:t>
      </w:r>
      <w:bookmarkEnd w:id="30"/>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账户</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公司应在中国的金融机构开设人民币账户和外汇账户。若需要，经审批机关批准，公司可在境外金融机构开设外汇账户。</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外汇</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公司应根据中国的有关外汇法律、法规的规定处理公司一切外汇事宜。</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lang w:val="en-GB"/>
        </w:rPr>
        <w:t>为平衡公司的外汇需求，经董事会批准（应包含投资方董事的同意），公司可采取中国法律允许的方法和从事中国法律允许的活动。</w:t>
      </w:r>
      <w:r>
        <w:rPr>
          <w:rFonts w:hint="eastAsia" w:ascii="Times New Roman" w:hAnsi="Times New Roman" w:eastAsia="宋体" w:cs="Times New Roman"/>
          <w:sz w:val="24"/>
          <w:lang w:val="en-GB"/>
        </w:rPr>
        <w:br w:type="textWrapping"/>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1" w:name="_Toc332999847"/>
      <w:r>
        <w:rPr>
          <w:rFonts w:hint="eastAsia" w:ascii="Times New Roman" w:hAnsi="Times New Roman" w:eastAsia="宋体" w:cs="Times New Roman"/>
          <w:b/>
          <w:bCs w:val="0"/>
          <w:sz w:val="24"/>
          <w:szCs w:val="22"/>
        </w:rPr>
        <w:t>合资期限</w:t>
      </w:r>
      <w:bookmarkEnd w:id="31"/>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合资期限</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除非出现本合同中规定的提前终止的情况，公司的经营期限为长期。【</w:t>
      </w:r>
      <w:r>
        <w:rPr>
          <w:rFonts w:hint="eastAsia" w:ascii="Times New Roman" w:hAnsi="Times New Roman" w:eastAsia="宋体" w:cs="Times New Roman"/>
          <w:b/>
          <w:bCs/>
          <w:i/>
          <w:iCs/>
          <w:sz w:val="24"/>
          <w:highlight w:val="yellow"/>
        </w:rPr>
        <w:t>SH Note:请确认上述合资期限</w:t>
      </w:r>
      <w:r>
        <w:rPr>
          <w:rFonts w:hint="eastAsia" w:ascii="Times New Roman" w:hAnsi="Times New Roman" w:eastAsia="宋体" w:cs="Times New Roman"/>
          <w:sz w:val="24"/>
        </w:rPr>
        <w:t>】</w:t>
      </w:r>
    </w:p>
    <w:p>
      <w:pPr>
        <w:snapToGrid w:val="0"/>
        <w:spacing w:before="156" w:after="10" w:line="420" w:lineRule="atLeast"/>
        <w:rPr>
          <w:rFonts w:ascii="Times New Roman" w:hAnsi="Times New Roman" w:eastAsia="宋体" w:cs="Times New Roman"/>
          <w:sz w:val="24"/>
          <w:u w:val="single"/>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2" w:name="_Toc332999848"/>
      <w:r>
        <w:rPr>
          <w:rFonts w:hint="eastAsia" w:ascii="Times New Roman" w:hAnsi="Times New Roman" w:eastAsia="宋体" w:cs="Times New Roman"/>
          <w:b/>
          <w:bCs w:val="0"/>
          <w:sz w:val="24"/>
          <w:szCs w:val="22"/>
        </w:rPr>
        <w:t>提前终止</w:t>
      </w:r>
      <w:bookmarkEnd w:id="32"/>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终止事件</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当发生下列任何事件时，被提及的一方有权请求提前终止公司。除非各方另有协议，公司应按照本合同第25.2条的规定终止：</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若发生了对本合同的重大违约，且该重大违约在守约方发出书面通知之日起六十（60）日内仍未能得以补救，则守约方有权行使该权利；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公司发生严重亏损，无力继续经营，则多数投资方有权行使该权利；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若因某一方的不可抗力事件而导致本合同全部或部分无法履行持续九十(90)日，则履行本合同未受阻止的一方有权行使该权利；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任何一方违反本合同规定转让其在公司的股权，则守约方有权行使该权利；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公司的全部或任何重要部分的资产被任何政府部门征用（在这种情况下公司应按照法律争取合理赔偿），则多数投资方有权行使该权利；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若各方一致决定终止合资经营，则任何一方均有权行使该权利。</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终止</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若一方根据本合同第25.1条选择终止公司，应为此向董事长提出书面通知。自收到上述通知后三十（30）日内，董事长（或由董事长委任并代表他的其他董事）应为此召开董事会。</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各方应促使各自委派的董事在按照上述第25.2（a）条召开的董事会会议上一致通过解散公司的决议。</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若法律要求，公司终止应取得审批机关的批准。</w:t>
      </w:r>
    </w:p>
    <w:p>
      <w:pPr>
        <w:snapToGrid w:val="0"/>
        <w:spacing w:before="156" w:after="10" w:line="420" w:lineRule="atLeast"/>
        <w:ind w:left="720"/>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3" w:name="_Toc332999849"/>
      <w:r>
        <w:rPr>
          <w:rFonts w:hint="eastAsia" w:ascii="Times New Roman" w:hAnsi="Times New Roman" w:eastAsia="宋体" w:cs="Times New Roman"/>
          <w:b/>
          <w:bCs w:val="0"/>
          <w:sz w:val="24"/>
          <w:szCs w:val="22"/>
        </w:rPr>
        <w:t>清算</w:t>
      </w:r>
      <w:bookmarkEnd w:id="33"/>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若合资期限按计划期满、发生本合同第9.1条规定的清算事件（但不包括9.1条的（</w:t>
      </w:r>
      <w:r>
        <w:rPr>
          <w:rFonts w:hint="eastAsia" w:cs="Times New Roman"/>
          <w:sz w:val="24"/>
          <w:u w:val="none"/>
          <w:lang w:val="en-US" w:eastAsia="zh-CN"/>
        </w:rPr>
        <w:t>2</w:t>
      </w:r>
      <w:r>
        <w:rPr>
          <w:rFonts w:hint="eastAsia" w:ascii="Times New Roman" w:hAnsi="Times New Roman" w:eastAsia="宋体" w:cs="Times New Roman"/>
          <w:sz w:val="24"/>
          <w:u w:val="none"/>
          <w:lang w:eastAsia="zh-CN"/>
        </w:rPr>
        <w:t>）和（</w:t>
      </w:r>
      <w:r>
        <w:rPr>
          <w:rFonts w:hint="eastAsia" w:cs="Times New Roman"/>
          <w:sz w:val="24"/>
          <w:u w:val="none"/>
          <w:lang w:val="en-US" w:eastAsia="zh-CN"/>
        </w:rPr>
        <w:t>3</w:t>
      </w:r>
      <w:r>
        <w:rPr>
          <w:rFonts w:hint="eastAsia" w:ascii="Times New Roman" w:hAnsi="Times New Roman" w:eastAsia="宋体" w:cs="Times New Roman"/>
          <w:sz w:val="24"/>
          <w:u w:val="none"/>
          <w:lang w:eastAsia="zh-CN"/>
        </w:rPr>
        <w:t>）项）、或根据本合同第25条的规定公司提前终止时，董事会应立即一致通过清算公司的决议，制定清算程序，成立清算委员会并将公司的清算通知审批机关。</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公司应依法组成清算委员会（其中必须包括各投资方指派的人员），由清算委员会负责清算事宜。</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清算委员会应尽其最大努力为资产争取最高的价格并最大限度地获取外汇付款。</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当公司清算终结时，清算委员会应将清算程序终结报告提交董事会批准并由其提交给审批机关批准/备案（如适用），清算委员会还应办理注销公司税务登记、公司登记、归还营业执照以及海关登记手续。</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公司应用其全部资产承担其债务和责任。在清算时，除非法律另有要求，公司的资产应按照如下顺序进行处置：</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支付清算费用；</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支付公司应支付给工人和雇员的全部工资、保险和福利；</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支付公司应支付的各项税款；</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支付公司全部未付债务，包括公司欠各方的债务；</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按照本合同第9.2条规定的清算顺序进行清算。</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清算期间，清算委员会应代表公司参加任何法律诉讼。</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4" w:name="_Toc332999850"/>
      <w:r>
        <w:rPr>
          <w:rFonts w:hint="eastAsia" w:ascii="Times New Roman" w:hAnsi="Times New Roman" w:eastAsia="宋体" w:cs="Times New Roman"/>
          <w:b/>
          <w:bCs w:val="0"/>
          <w:sz w:val="24"/>
          <w:szCs w:val="22"/>
        </w:rPr>
        <w:t>违约责任</w:t>
      </w:r>
      <w:bookmarkEnd w:id="34"/>
      <w:r>
        <w:rPr>
          <w:rFonts w:hint="eastAsia" w:ascii="Times New Roman" w:hAnsi="Times New Roman" w:eastAsia="宋体" w:cs="Times New Roman"/>
          <w:b/>
          <w:bCs w:val="0"/>
          <w:sz w:val="24"/>
          <w:szCs w:val="22"/>
        </w:rPr>
        <w:t>及赔偿</w:t>
      </w:r>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违反本合同的任何一方应负责赔偿其他方因违约而遭受的实际以及届时可预见的全部损失，包括利润损失。如果本合同任何一方违反本合同规定，则其他方除享有本合同项下的其它权利之外，还有权就该守约方因违约而蒙受的损失提出赔偿要求。本合同的一方（“</w:t>
      </w:r>
      <w:r>
        <w:rPr>
          <w:rFonts w:hint="eastAsia" w:ascii="Times New Roman" w:hAnsi="Times New Roman" w:eastAsia="宋体" w:cs="Times New Roman"/>
          <w:sz w:val="24"/>
          <w:u w:val="single"/>
        </w:rPr>
        <w:t>赔偿方</w:t>
      </w:r>
      <w:r>
        <w:rPr>
          <w:rFonts w:hint="eastAsia" w:ascii="Times New Roman" w:hAnsi="Times New Roman" w:eastAsia="宋体" w:cs="Times New Roman"/>
          <w:sz w:val="24"/>
        </w:rPr>
        <w:t>”）应就以下情形向其他方及其各自的权利义务承继人、关联方和代表（合称为“</w:t>
      </w:r>
      <w:r>
        <w:rPr>
          <w:rFonts w:hint="eastAsia" w:ascii="Times New Roman" w:hAnsi="Times New Roman" w:eastAsia="宋体" w:cs="Times New Roman"/>
          <w:sz w:val="24"/>
          <w:u w:val="single"/>
        </w:rPr>
        <w:t>受偿方</w:t>
      </w:r>
      <w:r>
        <w:rPr>
          <w:rFonts w:hint="eastAsia" w:ascii="Times New Roman" w:hAnsi="Times New Roman" w:eastAsia="宋体" w:cs="Times New Roman"/>
          <w:sz w:val="24"/>
        </w:rPr>
        <w:t>”）作出赔偿，使受偿方免受损害并偿付相关款项：（a）赔偿方违反其在本合同中所作的任何陈述或保证或其陈述或保证失实；（b）赔偿方违反或未能全面履行本合同项下的承诺、协议、保证或义务，已被另一方以书面形式豁免的情形除外。赔偿方应就受偿方因上述情形所直接或间接遭受的任何和所有损失、债务、责任、减值、费用（包括调查及辩护费用以及合理的律师和会计师收费），或其他任何形式的损害（无论是否牵涉第三方的索偿）作出赔偿或补偿。</w:t>
      </w:r>
    </w:p>
    <w:p>
      <w:pPr>
        <w:snapToGrid w:val="0"/>
        <w:spacing w:before="156" w:after="10" w:line="420" w:lineRule="atLeast"/>
        <w:ind w:firstLine="480" w:firstLineChars="200"/>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5" w:name="_Toc332999851"/>
      <w:r>
        <w:rPr>
          <w:rFonts w:hint="eastAsia" w:ascii="Times New Roman" w:hAnsi="Times New Roman" w:eastAsia="宋体" w:cs="Times New Roman"/>
          <w:b/>
          <w:bCs w:val="0"/>
          <w:sz w:val="24"/>
          <w:szCs w:val="22"/>
        </w:rPr>
        <w:t>保险</w:t>
      </w:r>
      <w:bookmarkEnd w:id="35"/>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限于中国有关法律法规允许的程度，公司应在其整个经营期间购买并保持此类企业出于谨慎而应购买的充足的保险。公司的各项保险应该向中国境内的保险公司购买。</w:t>
      </w:r>
    </w:p>
    <w:p>
      <w:pPr>
        <w:snapToGrid w:val="0"/>
        <w:spacing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6" w:name="_Toc332999852"/>
      <w:r>
        <w:rPr>
          <w:rFonts w:hint="eastAsia" w:ascii="Times New Roman" w:hAnsi="Times New Roman" w:eastAsia="宋体" w:cs="Times New Roman"/>
          <w:b/>
          <w:bCs w:val="0"/>
          <w:sz w:val="24"/>
          <w:szCs w:val="22"/>
        </w:rPr>
        <w:t>保密</w:t>
      </w:r>
      <w:bookmarkEnd w:id="36"/>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除非本合同另有约定，本合同各方应尽最大努力，对其因履行本合同而取得的所有其他方的各种形式的任何技术或商业信息保密，包括本合同的任何内容及各方之间可能有的其他合作事项和交易等。任何一方应限制其雇员、代理人、分包商、供应商等仅在为适当履行本合同义务所必需时方可获得上述信息，且应责成其董事、高级管理人员和其他雇员以及其关联方的董事、高级管理人员和其他雇员遵守保密义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上述限制不适用于：</w:t>
      </w:r>
    </w:p>
    <w:p>
      <w:pPr>
        <w:keepNext w:val="0"/>
        <w:keepLines w:val="0"/>
        <w:pageBreakBefore w:val="0"/>
        <w:widowControl w:val="0"/>
        <w:numPr>
          <w:ilvl w:val="2"/>
          <w:numId w:val="2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在披露时已成为公众一般可取得的资料；</w:t>
      </w:r>
    </w:p>
    <w:p>
      <w:pPr>
        <w:keepNext w:val="0"/>
        <w:keepLines w:val="0"/>
        <w:pageBreakBefore w:val="0"/>
        <w:widowControl w:val="0"/>
        <w:numPr>
          <w:ilvl w:val="2"/>
          <w:numId w:val="2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并非因接收方的过错在披露后已成为公众一般可取得的资料；</w:t>
      </w:r>
    </w:p>
    <w:p>
      <w:pPr>
        <w:keepNext w:val="0"/>
        <w:keepLines w:val="0"/>
        <w:pageBreakBefore w:val="0"/>
        <w:widowControl w:val="0"/>
        <w:numPr>
          <w:ilvl w:val="2"/>
          <w:numId w:val="2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接收方可以证明在披露前其已经掌握，并且不是从另一方直接或间接取得的资料；任何一方依照法律要求，有义务向有关政府部门、股票交易机构等披露，或任何一方因其正常经营所需，向其直接法律顾问和财务顾问披露上述保密信息；</w:t>
      </w:r>
    </w:p>
    <w:p>
      <w:pPr>
        <w:keepNext w:val="0"/>
        <w:keepLines w:val="0"/>
        <w:pageBreakBefore w:val="0"/>
        <w:widowControl w:val="0"/>
        <w:numPr>
          <w:ilvl w:val="2"/>
          <w:numId w:val="2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任何一方依照法律要求，有义务向有关政府部门、股票交易机构等披露，或任何一方因其正常经营所需，向其直接法律顾问和财务顾问披露上述保密信息。</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本合同任何一方应责成其董事、高级管理人员、雇员、代理人、顾问、分包商、供应商、客户以及其关联方的董事、高级管理人员、雇员、代理人、顾问、分包商、供应商、客户遵守第29.1条所规定的保密义务。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无论本合同因何种原因被解除或终止，各方都应当遵守第27条规定的保密义务。</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7" w:name="_Toc332999853"/>
      <w:r>
        <w:rPr>
          <w:rFonts w:hint="eastAsia" w:ascii="Times New Roman" w:hAnsi="Times New Roman" w:eastAsia="宋体" w:cs="Times New Roman"/>
          <w:b/>
          <w:bCs w:val="0"/>
          <w:sz w:val="24"/>
          <w:szCs w:val="22"/>
        </w:rPr>
        <w:t>不可抗力</w:t>
      </w:r>
      <w:bookmarkEnd w:id="37"/>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若任何一方因不可抗力事件而无法履行其在本合同项下的任何义务（“</w:t>
      </w:r>
      <w:r>
        <w:rPr>
          <w:rFonts w:hint="eastAsia" w:ascii="Times New Roman" w:hAnsi="Times New Roman" w:eastAsia="宋体" w:cs="Times New Roman"/>
          <w:sz w:val="24"/>
          <w:u w:val="single"/>
          <w:lang w:eastAsia="zh-CN"/>
        </w:rPr>
        <w:t>受阻方</w:t>
      </w:r>
      <w:r>
        <w:rPr>
          <w:rFonts w:hint="eastAsia" w:ascii="Times New Roman" w:hAnsi="Times New Roman" w:eastAsia="宋体" w:cs="Times New Roman"/>
          <w:sz w:val="24"/>
          <w:u w:val="none"/>
          <w:lang w:eastAsia="zh-CN"/>
        </w:rPr>
        <w:t>”），在遵守本合同第30.1条的条件下，不可抗力所妨碍的本合同项下义务应推延其履行时间，推延的期限应等同于不可抗力所导致的延误期限；本合同项下的其他义务和履行期限不受影响。</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受阻方应自不可抗力事件发生之日起十（10）日内以电传、电报、传真或专人送达的方式将上述事件通知其他方。在不可抗力事件发生之日起十五（15）日内，受阻方应向其他方提供不可抗力事件的详细说明和经当地公证机关公证或由不可抗力事件发生地的有关部门出具的有效证明，确认上述不可抗力事件的发生。受阻方应对其他方提出的任何与此有关的疑问给予明确的书面说明。受阻方应尽其合理努力减轻和避免不可抗力事件的影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若不可抗力事件所引起的延误自发出上述通知之日起持续九十（90）日以上，其他方有权选择继续履行本合同或根据本合同第25.1条终止本合同。</w:t>
      </w:r>
    </w:p>
    <w:p>
      <w:pPr>
        <w:snapToGrid w:val="0"/>
        <w:spacing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8" w:name="_Toc332999854"/>
      <w:r>
        <w:rPr>
          <w:rFonts w:hint="eastAsia" w:ascii="Times New Roman" w:hAnsi="Times New Roman" w:eastAsia="宋体" w:cs="Times New Roman"/>
          <w:b/>
          <w:bCs w:val="0"/>
          <w:sz w:val="24"/>
          <w:szCs w:val="22"/>
        </w:rPr>
        <w:t>适用法律</w:t>
      </w:r>
      <w:bookmarkEnd w:id="38"/>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本合同应受正式公布的中国法律管辖。若本合同某一方面没有中国已公布的法律可依，则应参考国际上的一般做法。</w:t>
      </w:r>
    </w:p>
    <w:p>
      <w:pPr>
        <w:snapToGrid w:val="0"/>
        <w:spacing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9" w:name="_Toc332999855"/>
      <w:r>
        <w:rPr>
          <w:rFonts w:hint="eastAsia" w:ascii="Times New Roman" w:hAnsi="Times New Roman" w:eastAsia="宋体" w:cs="Times New Roman"/>
          <w:b/>
          <w:bCs w:val="0"/>
          <w:sz w:val="24"/>
          <w:szCs w:val="22"/>
        </w:rPr>
        <w:t>争议解决</w:t>
      </w:r>
      <w:bookmarkEnd w:id="39"/>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任何因本合同引起或与本合同有关的争议，均应提交</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${agreement["insideDisputeResolution"].arbitrationInstitution}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按照其届时有效的仲裁规则在</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${agreement["insideDisputeResolution"].arbitrationAddress}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进行仲裁。仲裁裁决是终局并对各方有约束力的。争议解决期间，除争议事项外，各方应当继续履行本合同的其他条款。</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40" w:name="_Toc332999856"/>
      <w:r>
        <w:rPr>
          <w:rFonts w:hint="eastAsia" w:ascii="Times New Roman" w:hAnsi="Times New Roman" w:eastAsia="宋体" w:cs="Times New Roman"/>
          <w:b/>
          <w:bCs w:val="0"/>
          <w:sz w:val="24"/>
          <w:szCs w:val="22"/>
        </w:rPr>
        <w:t>其他</w:t>
      </w:r>
      <w:bookmarkEnd w:id="40"/>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构成各方就本合同内容所达成的全部协议，并取代各方以前与此相关的所有讨论、记录、备忘录、投资框架协议、谈判、谅解以及文件和协议。本合同签署前各方签署的有关本合同事项的全部协议、合同以及其他文件自本合同生效起自动失效或无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本合同的任何修改须经各方正式授权的代表签署书面协议。若法律要求，上述修改自审批机关批准后生效。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各方在本合同项下的权利和义务应在合资期限内持续，并不应受设立公司、通过章程或签署任何附件的影响。若本合同与章程有任何冲突或不一致之处，以本合同为准。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如果按照任何有关法律，本合同任何一项或多项条款或任何一份或多份本次投资所涉及的其它法律文件被认定为无效、非法或无法执行，则</w:t>
      </w:r>
    </w:p>
    <w:p>
      <w:pPr>
        <w:keepNext w:val="0"/>
        <w:keepLines w:val="0"/>
        <w:pageBreakBefore w:val="0"/>
        <w:widowControl w:val="0"/>
        <w:numPr>
          <w:ilvl w:val="2"/>
          <w:numId w:val="2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本合同其他条款的效力、合法性与可执行性不受影响或妨碍，并完全有效，除被认定为无效、非法或无法执行的协议之外，本次投资所涉及的其他协议的效力、合法性与可执行性不受影响或妨碍，并完全有效；</w:t>
      </w:r>
    </w:p>
    <w:p>
      <w:pPr>
        <w:keepNext w:val="0"/>
        <w:keepLines w:val="0"/>
        <w:pageBreakBefore w:val="0"/>
        <w:widowControl w:val="0"/>
        <w:numPr>
          <w:ilvl w:val="2"/>
          <w:numId w:val="2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各方应立即将上述无效、非法或不可执行的条款或协议代之以合法、有效且可执行的条款或协议，而该等替代条款或协议的意图应最接近上述无效、非法或不可执行的条款或协议的意图。</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本合同第27、29、31和第32条在本合同终止后继续有效。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合同一式【】份中文原件，每方各保留【】份，每一份具有同等法律效力。【</w:t>
      </w:r>
      <w:r>
        <w:rPr>
          <w:rFonts w:hint="eastAsia" w:ascii="Times New Roman" w:hAnsi="Times New Roman" w:eastAsia="宋体" w:cs="Times New Roman"/>
          <w:b/>
          <w:bCs/>
          <w:i/>
          <w:iCs/>
          <w:sz w:val="24"/>
          <w:highlight w:val="yellow"/>
          <w:u w:val="none"/>
          <w:lang w:eastAsia="zh-CN"/>
        </w:rPr>
        <w:t>SH Note:请各方确认并告知所需原件份数</w:t>
      </w:r>
      <w:r>
        <w:rPr>
          <w:rFonts w:hint="eastAsia" w:ascii="Times New Roman" w:hAnsi="Times New Roman" w:eastAsia="宋体" w:cs="Times New Roman"/>
          <w:sz w:val="24"/>
          <w:u w:val="none"/>
          <w:lang w:eastAsia="zh-CN"/>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本合同的标题只为参考，不应视为本合同的一部分或影响本合同的含义或解释。</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本合同以中文书写，自各方或其授权代表签署（并盖章）之日起生效。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本合同由各方正式授权的代表于本合同首部写明的日期签署，谨此为证。</w:t>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[本页以下无正文]</w:t>
      </w:r>
    </w:p>
    <w:p>
      <w:pPr>
        <w:snapToGrid w:val="0"/>
        <w:spacing w:line="420" w:lineRule="atLeast"/>
        <w:rPr>
          <w:rFonts w:ascii="Times New Roman" w:hAnsi="Times New Roman" w:eastAsia="宋体" w:cs="Times New Roman"/>
          <w:sz w:val="24"/>
        </w:rPr>
        <w:sectPr>
          <w:footerReference r:id="rId4" w:type="default"/>
          <w:footerReference r:id="rId5" w:type="even"/>
          <w:pgSz w:w="11905" w:h="16840"/>
          <w:pgMar w:top="840" w:right="1165" w:bottom="940" w:left="1660" w:header="720" w:footer="720" w:gutter="0"/>
          <w:cols w:space="720" w:num="1"/>
          <w:titlePg/>
        </w:sectPr>
      </w:pP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agreement.founderList?size gt 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agreement.founderList as founder]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founder_index%4==0]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[本页无正文，为合资合同签字页]</w:t>
      </w:r>
    </w:p>
    <w:p>
      <w:pPr>
        <w:spacing w:before="156" w:after="156" w:line="420" w:lineRule="atLeast"/>
        <w:rPr>
          <w:rFonts w:ascii="Times New Roman" w:hAnsi="Times New Roman" w:eastAsia="宋体" w:cs="Times New Roman"/>
          <w:b/>
          <w:sz w:val="24"/>
        </w:rPr>
      </w:pPr>
    </w:p>
    <w:p>
      <w:pPr>
        <w:spacing w:before="156" w:after="156" w:line="420" w:lineRule="atLeast"/>
        <w:rPr>
          <w:rFonts w:ascii="Times New Roman" w:hAnsi="Times New Roman" w:eastAsia="宋体" w:cs="Times New Roman"/>
          <w:b/>
          <w:sz w:val="24"/>
        </w:rPr>
      </w:pPr>
      <w:r>
        <w:rPr>
          <w:rFonts w:hint="eastAsia" w:ascii="Times New Roman" w:hAnsi="Times New Roman" w:eastAsia="宋体" w:cs="Times New Roman"/>
          <w:b/>
          <w:sz w:val="24"/>
        </w:rPr>
        <w:t>甲方：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pacing w:before="156" w:after="156"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${founder["shareholderName"]}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«${founder[»</w:t>
      </w:r>
      <w:r>
        <w:rPr>
          <w:rFonts w:ascii="Times New Roman" w:hAnsi="Times New Roman" w:eastAsia="宋体" w:cs="Times New Roman"/>
          <w:b w:val="0"/>
          <w:bCs/>
          <w:sz w:val="24"/>
        </w:rPr>
        <w:fldChar w:fldCharType="end"/>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pacing w:before="156" w:after="156"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[#if (founder_index+1)%4==0]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«[#if»</w:t>
      </w:r>
      <w:r>
        <w:rPr>
          <w:rFonts w:ascii="Times New Roman" w:hAnsi="Times New Roman" w:eastAsia="宋体" w:cs="Times New Roman"/>
          <w:b w:val="0"/>
          <w:bCs/>
          <w:sz w:val="24"/>
        </w:rPr>
        <w:fldChar w:fldCharType="end"/>
      </w: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[#if founder_has_next]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«[#if»</w:t>
      </w:r>
      <w:r>
        <w:rPr>
          <w:rFonts w:ascii="Times New Roman" w:hAnsi="Times New Roman" w:eastAsia="宋体" w:cs="Times New Roman"/>
          <w:b w:val="0"/>
          <w:bCs/>
          <w:sz w:val="24"/>
        </w:rPr>
        <w:fldChar w:fldCharType="end"/>
      </w:r>
    </w:p>
    <w:p>
      <w:pPr>
        <w:spacing w:before="156" w:after="156" w:line="420" w:lineRule="atLeast"/>
        <w:rPr>
          <w:rFonts w:ascii="Times New Roman" w:hAnsi="Times New Roman" w:eastAsia="宋体" w:cs="Times New Roman"/>
          <w:b/>
          <w:sz w:val="24"/>
        </w:rPr>
      </w:pPr>
    </w:p>
    <w:p>
      <w:pPr>
        <w:spacing w:before="156" w:after="156" w:line="420" w:lineRule="atLeast"/>
        <w:rPr>
          <w:rFonts w:ascii="Times New Roman" w:hAnsi="Times New Roman" w:eastAsia="宋体" w:cs="Times New Roman"/>
          <w:b/>
          <w:sz w:val="24"/>
        </w:rPr>
        <w:sectPr>
          <w:footerReference r:id="rId6" w:type="default"/>
          <w:pgSz w:w="11905" w:h="16840"/>
          <w:pgMar w:top="840" w:right="1165" w:bottom="940" w:left="1660" w:header="420" w:footer="720" w:gutter="0"/>
          <w:cols w:space="720" w:num="1"/>
          <w:titlePg/>
          <w:docGrid w:linePitch="286" w:charSpace="0"/>
        </w:sectPr>
      </w:pPr>
    </w:p>
    <w:p>
      <w:pPr>
        <w:snapToGrid w:val="0"/>
        <w:spacing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partNum=agreement.personalList?size+agreement.enterprisesList?size+agreement.eiPersonalList?size+agreement.eiDcList?size+agreement.eiOcList?size]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p>
    <w:p>
      <w:pPr>
        <w:snapToGrid w:val="0"/>
        <w:spacing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partNum gt 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agreement.personalList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${psnal["shareholderName"]}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«${psnal[»</w:t>
      </w:r>
      <w:r>
        <w:rPr>
          <w:rFonts w:ascii="Times New Roman" w:hAnsi="Times New Roman" w:eastAsia="宋体" w:cs="Times New Roman"/>
          <w:b w:val="0"/>
          <w:bCs/>
          <w:sz w:val="24"/>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4"/>
        </w:rPr>
        <w:br w:type="page"/>
      </w: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agreement.eiPersonalList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${psnal["investorName"]}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«${psnal[»</w:t>
      </w:r>
      <w:r>
        <w:rPr>
          <w:rFonts w:ascii="Times New Roman" w:hAnsi="Times New Roman" w:eastAsia="宋体" w:cs="Times New Roman"/>
          <w:b w:val="0"/>
          <w:bCs/>
          <w:sz w:val="24"/>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bookmarkStart w:id="41" w:name="OLE_LINK2"/>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bookmarkEnd w:id="41"/>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4"/>
        </w:rPr>
        <w:br w:type="page"/>
      </w: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agreement.eiOcList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${psnal["investorName"]}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«${psnal[»</w:t>
      </w:r>
      <w:r>
        <w:rPr>
          <w:rFonts w:ascii="Times New Roman" w:hAnsi="Times New Roman" w:eastAsia="宋体" w:cs="Times New Roman"/>
          <w:b w:val="0"/>
          <w:bCs/>
          <w:sz w:val="24"/>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董事：【 】</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rPr>
          <w:rFonts w:ascii="Times New Roman" w:hAnsi="Times New Roman" w:eastAsia="宋体" w:cs="Times New Roman"/>
          <w:sz w:val="24"/>
        </w:rPr>
      </w:pPr>
      <w:r>
        <w:rPr>
          <w:rFonts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jc w:val="left"/>
        <w:rPr>
          <w:rFonts w:hint="eastAsia"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agreement.eiDcList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jc w:val="left"/>
        <w:rPr>
          <w:rFonts w:hint="eastAsia" w:ascii="Times New Roman" w:hAnsi="Times New Roman" w:eastAsia="宋体" w:cs="Times New Roman"/>
          <w:b/>
          <w:sz w:val="24"/>
        </w:rPr>
      </w:pPr>
    </w:p>
    <w:p>
      <w:pPr>
        <w:snapToGrid w:val="0"/>
        <w:spacing w:line="420" w:lineRule="atLeast"/>
        <w:jc w:val="left"/>
        <w:rPr>
          <w:rFonts w:ascii="Times New Roman" w:hAnsi="Times New Roman" w:eastAsia="宋体" w:cs="Times New Roman"/>
          <w:b w:val="0"/>
          <w:bCs/>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${psnal["investorName"]}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«${psnal[»</w:t>
      </w:r>
      <w:r>
        <w:rPr>
          <w:rFonts w:ascii="Times New Roman" w:hAnsi="Times New Roman" w:eastAsia="宋体" w:cs="Times New Roman"/>
          <w:b w:val="0"/>
          <w:bCs/>
          <w:sz w:val="24"/>
        </w:rPr>
        <w:fldChar w:fldCharType="end"/>
      </w:r>
    </w:p>
    <w:p>
      <w:pPr>
        <w:snapToGrid w:val="0"/>
        <w:spacing w:line="420" w:lineRule="atLeast"/>
        <w:jc w:val="left"/>
        <w:rPr>
          <w:rFonts w:ascii="Times New Roman" w:hAnsi="Times New Roman" w:eastAsia="宋体" w:cs="Times New Roman"/>
          <w:b w:val="0"/>
          <w:bCs/>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法定代表人/授权签字人：【】</w:t>
      </w:r>
    </w:p>
    <w:p>
      <w:pPr>
        <w:snapToGrid w:val="0"/>
        <w:spacing w:line="420" w:lineRule="atLeast"/>
        <w:jc w:val="left"/>
        <w:rPr>
          <w:rFonts w:hint="eastAsia" w:ascii="Times New Roman" w:hAnsi="Times New Roman" w:eastAsia="宋体" w:cs="Times New Roman"/>
          <w:b w:val="0"/>
          <w:bCs/>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jc w:val="left"/>
        <w:rPr>
          <w:rFonts w:hint="eastAsia"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agreement.enterprisesList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jc w:val="left"/>
        <w:rPr>
          <w:rFonts w:hint="eastAsia" w:ascii="Times New Roman" w:hAnsi="Times New Roman" w:eastAsia="宋体" w:cs="Times New Roman"/>
          <w:b/>
          <w:sz w:val="24"/>
        </w:rPr>
      </w:pPr>
    </w:p>
    <w:p>
      <w:pPr>
        <w:snapToGrid w:val="0"/>
        <w:spacing w:line="420" w:lineRule="atLeast"/>
        <w:jc w:val="left"/>
        <w:rPr>
          <w:rFonts w:hint="eastAsia" w:ascii="Times New Roman" w:hAnsi="Times New Roman" w:eastAsia="宋体" w:cs="Times New Roman"/>
          <w:b w:val="0"/>
          <w:bCs/>
          <w:sz w:val="24"/>
          <w:lang w:val="en-US"/>
        </w:rPr>
      </w:pPr>
      <w:r>
        <w:rPr>
          <w:rFonts w:hint="eastAsia" w:ascii="Times New Roman" w:hAnsi="Times New Roman" w:eastAsia="宋体" w:cs="Times New Roman"/>
          <w:b w:val="0"/>
          <w:bCs/>
          <w:sz w:val="24"/>
          <w:lang w:val="en-US"/>
        </w:rPr>
        <w:fldChar w:fldCharType="begin"/>
      </w:r>
      <w:r>
        <w:rPr>
          <w:rFonts w:hint="eastAsia" w:ascii="Times New Roman" w:hAnsi="Times New Roman" w:eastAsia="宋体" w:cs="Times New Roman"/>
          <w:b w:val="0"/>
          <w:bCs/>
          <w:sz w:val="24"/>
          <w:lang w:val="en-US"/>
        </w:rPr>
        <w:instrText xml:space="preserve"> MERGEFIELD ${psnal["shareholderName"]} \* MERGEFORMAT </w:instrText>
      </w:r>
      <w:r>
        <w:rPr>
          <w:rFonts w:hint="eastAsia" w:ascii="Times New Roman" w:hAnsi="Times New Roman" w:eastAsia="宋体" w:cs="Times New Roman"/>
          <w:b w:val="0"/>
          <w:bCs/>
          <w:sz w:val="24"/>
          <w:lang w:val="en-US"/>
        </w:rPr>
        <w:fldChar w:fldCharType="separate"/>
      </w:r>
      <w:r>
        <w:rPr>
          <w:rFonts w:hint="eastAsia" w:ascii="Times New Roman" w:hAnsi="Times New Roman" w:eastAsia="宋体" w:cs="Times New Roman"/>
          <w:b w:val="0"/>
          <w:bCs/>
          <w:sz w:val="24"/>
          <w:lang w:val="en-US"/>
        </w:rPr>
        <w:t>«${psnal[»</w:t>
      </w:r>
      <w:r>
        <w:rPr>
          <w:rFonts w:hint="eastAsia" w:ascii="Times New Roman" w:hAnsi="Times New Roman" w:eastAsia="宋体" w:cs="Times New Roman"/>
          <w:b w:val="0"/>
          <w:bCs/>
          <w:sz w:val="24"/>
          <w:lang w:val="en-US"/>
        </w:rPr>
        <w:fldChar w:fldCharType="end"/>
      </w:r>
    </w:p>
    <w:p>
      <w:pPr>
        <w:snapToGrid w:val="0"/>
        <w:spacing w:line="420" w:lineRule="atLeast"/>
        <w:jc w:val="left"/>
        <w:rPr>
          <w:rFonts w:hint="eastAsia" w:ascii="Times New Roman" w:hAnsi="Times New Roman" w:eastAsia="宋体" w:cs="Times New Roman"/>
          <w:b w:val="0"/>
          <w:bCs/>
          <w:sz w:val="24"/>
          <w:lang w:val="en-US"/>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psnal.type=="境外企业"]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董事：【 】</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[#else]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«[#else]»</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法定代表人/授权签字人：【】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jc w:val="left"/>
        <w:rPr>
          <w:rFonts w:hint="eastAsia" w:ascii="Times New Roman" w:hAnsi="Times New Roman" w:eastAsia="宋体" w:cs="Times New Roman"/>
          <w:b w:val="0"/>
          <w:bCs/>
          <w:sz w:val="24"/>
          <w:lang w:val="en-US"/>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jc w:val="left"/>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jc w:val="left"/>
        <w:rPr>
          <w:rFonts w:hint="eastAsia"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jc w:val="left"/>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丙方：</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${agreement["jvObj"].JVName}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«${agreement[»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（盖章）</w:t>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法定代表人：【】</w:t>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szCs w:val="24"/>
        </w:rPr>
      </w:pPr>
    </w:p>
    <w:sectPr>
      <w:pgSz w:w="11905" w:h="16840"/>
      <w:pgMar w:top="840" w:right="1165" w:bottom="940" w:left="1660" w:header="420" w:footer="720" w:gutter="0"/>
      <w:cols w:space="720" w:num="1"/>
      <w:titlePg/>
      <w:docGrid w:linePitch="28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ngb" w:date="2017-10-20T14:47:42Z" w:initials="z">
    <w:p>
      <w:pPr>
        <w:pStyle w:val="7"/>
        <w:rPr>
          <w:rFonts w:hint="eastAsia" w:eastAsia="宋体"/>
          <w:lang w:val="en-US" w:eastAsia="zh-CN"/>
        </w:rPr>
      </w:pPr>
      <w:r>
        <w:rPr>
          <w:rFonts w:hint="eastAsia"/>
          <w:lang w:val="en-US" w:eastAsia="zh-CN"/>
        </w:rPr>
        <w:t>待讨论</w:t>
      </w:r>
    </w:p>
  </w:comment>
  <w:comment w:id="1" w:author="zhangb" w:date="2017-10-20T14:48:24Z" w:initials="z">
    <w:p>
      <w:pPr>
        <w:pStyle w:val="7"/>
        <w:rPr>
          <w:rFonts w:hint="eastAsia" w:eastAsia="宋体"/>
          <w:lang w:val="en-US" w:eastAsia="zh-CN"/>
        </w:rPr>
      </w:pPr>
      <w:r>
        <w:rPr>
          <w:rFonts w:hint="eastAsia"/>
          <w:lang w:val="en-US" w:eastAsia="zh-CN"/>
        </w:rPr>
        <w:t>待讨论</w:t>
      </w:r>
    </w:p>
  </w:comment>
  <w:comment w:id="2" w:author="zhangb" w:date="2017-10-20T14:48:30Z" w:initials="z">
    <w:p>
      <w:pPr>
        <w:pStyle w:val="7"/>
        <w:rPr>
          <w:rFonts w:hint="eastAsia" w:eastAsia="宋体"/>
          <w:lang w:val="en-US" w:eastAsia="zh-CN"/>
        </w:rPr>
      </w:pPr>
      <w:r>
        <w:rPr>
          <w:rFonts w:hint="eastAsia"/>
          <w:lang w:val="en-US" w:eastAsia="zh-CN"/>
        </w:rPr>
        <w:t>待讨论</w:t>
      </w:r>
    </w:p>
  </w:comment>
  <w:comment w:id="3" w:author="zhangb" w:date="2017-10-20T14:48:37Z" w:initials="z">
    <w:p>
      <w:pPr>
        <w:pStyle w:val="7"/>
        <w:rPr>
          <w:rFonts w:hint="eastAsia" w:eastAsia="宋体"/>
          <w:lang w:val="en-US" w:eastAsia="zh-CN"/>
        </w:rPr>
      </w:pPr>
      <w:r>
        <w:rPr>
          <w:rFonts w:hint="eastAsia"/>
          <w:lang w:val="en-US" w:eastAsia="zh-CN"/>
        </w:rPr>
        <w:t>待讨论</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A0000287" w:usb1="28C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Yu Gothic UI">
    <w:altName w:val="Meiryo UI"/>
    <w:panose1 w:val="020B0500000000000000"/>
    <w:charset w:val="80"/>
    <w:family w:val="auto"/>
    <w:pitch w:val="default"/>
    <w:sig w:usb0="00000000" w:usb1="00000000" w:usb2="00000016" w:usb3="00000000" w:csb0="2002009F"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Meiryo UI">
    <w:panose1 w:val="020B0604030504040204"/>
    <w:charset w:val="80"/>
    <w:family w:val="auto"/>
    <w:pitch w:val="default"/>
    <w:sig w:usb0="E00002FF" w:usb1="6AC7FFFF" w:usb2="08000012" w:usb3="00000000" w:csb0="6002009F" w:csb1="DFD7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es New">
    <w:altName w:val="Times New Roman"/>
    <w:panose1 w:val="00000000000000000000"/>
    <w:charset w:val="00"/>
    <w:family w:val="auto"/>
    <w:pitch w:val="default"/>
    <w:sig w:usb0="00000000" w:usb1="00000000" w:usb2="00000000" w:usb3="00000000" w:csb0="00000000" w:csb1="00000000"/>
  </w:font>
  <w:font w:name="Time New Roma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14</w:t>
    </w:r>
    <w:r>
      <w:rPr>
        <w:rStyle w:val="18"/>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64FA"/>
    <w:multiLevelType w:val="multilevel"/>
    <w:tmpl w:val="092B64FA"/>
    <w:lvl w:ilvl="0" w:tentative="0">
      <w:start w:val="1"/>
      <w:numFmt w:val="lowerLetter"/>
      <w:lvlText w:val="%1)"/>
      <w:lvlJc w:val="left"/>
      <w:pPr>
        <w:ind w:left="1160" w:hanging="480"/>
      </w:p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1">
    <w:nsid w:val="59E71351"/>
    <w:multiLevelType w:val="multilevel"/>
    <w:tmpl w:val="59E71351"/>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abstractNum w:abstractNumId="2">
    <w:nsid w:val="59E9DDB8"/>
    <w:multiLevelType w:val="multilevel"/>
    <w:tmpl w:val="59E9DDB8"/>
    <w:lvl w:ilvl="0" w:tentative="0">
      <w:start w:val="1"/>
      <w:numFmt w:val="decimal"/>
      <w:lvlText w:val="第%1条"/>
      <w:lvlJc w:val="left"/>
      <w:pPr>
        <w:ind w:left="425" w:hanging="425"/>
      </w:pPr>
      <w:rPr>
        <w:rFonts w:hint="default" w:ascii="Times New Roman" w:hAnsi="Times New Roman" w:eastAsia="宋体" w:cs="Times New Roman"/>
      </w:rPr>
    </w:lvl>
    <w:lvl w:ilvl="1" w:tentative="0">
      <w:start w:val="1"/>
      <w:numFmt w:val="decimal"/>
      <w:lvlText w:val="%1.%2"/>
      <w:lvlJc w:val="left"/>
      <w:pPr>
        <w:tabs>
          <w:tab w:val="left" w:pos="0"/>
        </w:tabs>
        <w:ind w:left="709" w:leftChars="0" w:hanging="709" w:firstLineChars="0"/>
      </w:pPr>
      <w:rPr>
        <w:rFonts w:hint="default" w:ascii="Times New Roman" w:hAnsi="Times New Roman" w:eastAsia="宋体" w:cs="Times New Roman"/>
      </w:rPr>
    </w:lvl>
    <w:lvl w:ilvl="2" w:tentative="0">
      <w:start w:val="1"/>
      <w:numFmt w:val="lowerLetter"/>
      <w:lvlText w:val="(%3)"/>
      <w:lvlJc w:val="left"/>
      <w:pPr>
        <w:tabs>
          <w:tab w:val="left" w:pos="850"/>
        </w:tabs>
        <w:ind w:left="1701" w:leftChars="0" w:hanging="901" w:firstLineChars="0"/>
      </w:pPr>
      <w:rPr>
        <w:rFonts w:hint="default" w:ascii="Times New Roman" w:hAnsi="Times New Roman" w:eastAsia="宋体" w:cs="Times New Roman"/>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59EEA066"/>
    <w:multiLevelType w:val="multilevel"/>
    <w:tmpl w:val="59EEA06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9EEA0B7"/>
    <w:multiLevelType w:val="multilevel"/>
    <w:tmpl w:val="59EEA0B7"/>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5">
    <w:nsid w:val="59EEA104"/>
    <w:multiLevelType w:val="multilevel"/>
    <w:tmpl w:val="59EEA1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6">
    <w:nsid w:val="59EEA12F"/>
    <w:multiLevelType w:val="multilevel"/>
    <w:tmpl w:val="59EEA12F"/>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59EEA156"/>
    <w:multiLevelType w:val="multilevel"/>
    <w:tmpl w:val="59EEA15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8">
    <w:nsid w:val="59EEA3EB"/>
    <w:multiLevelType w:val="multilevel"/>
    <w:tmpl w:val="59EEA3E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9">
    <w:nsid w:val="59EEA404"/>
    <w:multiLevelType w:val="multilevel"/>
    <w:tmpl w:val="59EEA4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0">
    <w:nsid w:val="59EEE945"/>
    <w:multiLevelType w:val="multilevel"/>
    <w:tmpl w:val="59EEE945"/>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1">
    <w:nsid w:val="59EEE9A0"/>
    <w:multiLevelType w:val="multilevel"/>
    <w:tmpl w:val="59EEE9A0"/>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2">
    <w:nsid w:val="59EEE9CE"/>
    <w:multiLevelType w:val="multilevel"/>
    <w:tmpl w:val="59EEE9CE"/>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3">
    <w:nsid w:val="59EEE9E7"/>
    <w:multiLevelType w:val="multilevel"/>
    <w:tmpl w:val="59EEE9E7"/>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4">
    <w:nsid w:val="59EEEA04"/>
    <w:multiLevelType w:val="multilevel"/>
    <w:tmpl w:val="59EEEA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5">
    <w:nsid w:val="59EEEA1B"/>
    <w:multiLevelType w:val="multilevel"/>
    <w:tmpl w:val="59EEEA1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6">
    <w:nsid w:val="59EEEA32"/>
    <w:multiLevelType w:val="multilevel"/>
    <w:tmpl w:val="59EEEA32"/>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7">
    <w:nsid w:val="59EEEA45"/>
    <w:multiLevelType w:val="multilevel"/>
    <w:tmpl w:val="59EEEA45"/>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8">
    <w:nsid w:val="59EEEA57"/>
    <w:multiLevelType w:val="multilevel"/>
    <w:tmpl w:val="59EEEA57"/>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9">
    <w:nsid w:val="59EEEA68"/>
    <w:multiLevelType w:val="multilevel"/>
    <w:tmpl w:val="59EEEA68"/>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0">
    <w:nsid w:val="59EEEA94"/>
    <w:multiLevelType w:val="multilevel"/>
    <w:tmpl w:val="59EEEA9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1">
    <w:nsid w:val="59EEEAAE"/>
    <w:multiLevelType w:val="multilevel"/>
    <w:tmpl w:val="59EEEAAE"/>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2">
    <w:nsid w:val="59EEEACA"/>
    <w:multiLevelType w:val="multilevel"/>
    <w:tmpl w:val="59EEEACA"/>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3">
    <w:nsid w:val="59EEEAF2"/>
    <w:multiLevelType w:val="multilevel"/>
    <w:tmpl w:val="59EEEAF2"/>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4">
    <w:nsid w:val="59EEEB06"/>
    <w:multiLevelType w:val="multilevel"/>
    <w:tmpl w:val="59EEEB0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5">
    <w:nsid w:val="59F06478"/>
    <w:multiLevelType w:val="multilevel"/>
    <w:tmpl w:val="59F06478"/>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6">
    <w:nsid w:val="5EBF0A85"/>
    <w:multiLevelType w:val="multilevel"/>
    <w:tmpl w:val="5EBF0A85"/>
    <w:lvl w:ilvl="0" w:tentative="0">
      <w:start w:val="1"/>
      <w:numFmt w:val="lowerRoman"/>
      <w:lvlText w:val="(%1)"/>
      <w:lvlJc w:val="left"/>
      <w:pPr>
        <w:tabs>
          <w:tab w:val="left" w:pos="900"/>
        </w:tabs>
        <w:ind w:left="900" w:hanging="480"/>
      </w:pPr>
      <w:rPr>
        <w:rFonts w:hint="default" w:ascii="Times New Roman" w:hAnsi="Times New Roman"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7">
    <w:nsid w:val="6B887FAC"/>
    <w:multiLevelType w:val="multilevel"/>
    <w:tmpl w:val="6B887FAC"/>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25"/>
  </w:num>
  <w:num w:numId="8">
    <w:abstractNumId w:val="8"/>
  </w:num>
  <w:num w:numId="9">
    <w:abstractNumId w:val="9"/>
  </w:num>
  <w:num w:numId="10">
    <w:abstractNumId w:val="0"/>
  </w:num>
  <w:num w:numId="11">
    <w:abstractNumId w:val="27"/>
  </w:num>
  <w:num w:numId="12">
    <w:abstractNumId w:val="1"/>
  </w:num>
  <w:num w:numId="13">
    <w:abstractNumId w:val="10"/>
  </w:num>
  <w:num w:numId="14">
    <w:abstractNumId w:val="11"/>
  </w:num>
  <w:num w:numId="15">
    <w:abstractNumId w:val="26"/>
  </w:num>
  <w:num w:numId="16">
    <w:abstractNumId w:val="13"/>
  </w:num>
  <w:num w:numId="17">
    <w:abstractNumId w:val="12"/>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45"/>
    <w:rsid w:val="000000D5"/>
    <w:rsid w:val="0000041F"/>
    <w:rsid w:val="00001487"/>
    <w:rsid w:val="00001593"/>
    <w:rsid w:val="00001762"/>
    <w:rsid w:val="00002761"/>
    <w:rsid w:val="00003265"/>
    <w:rsid w:val="000033CB"/>
    <w:rsid w:val="00003FC9"/>
    <w:rsid w:val="00004573"/>
    <w:rsid w:val="00005A42"/>
    <w:rsid w:val="00005BC9"/>
    <w:rsid w:val="00006785"/>
    <w:rsid w:val="000067EF"/>
    <w:rsid w:val="00006EE7"/>
    <w:rsid w:val="00007901"/>
    <w:rsid w:val="000105D4"/>
    <w:rsid w:val="00010CF0"/>
    <w:rsid w:val="00011179"/>
    <w:rsid w:val="000111C0"/>
    <w:rsid w:val="000117B0"/>
    <w:rsid w:val="00011B82"/>
    <w:rsid w:val="00011E49"/>
    <w:rsid w:val="00011E9B"/>
    <w:rsid w:val="00012C0A"/>
    <w:rsid w:val="00012C1C"/>
    <w:rsid w:val="00013130"/>
    <w:rsid w:val="00013819"/>
    <w:rsid w:val="00013B15"/>
    <w:rsid w:val="00014656"/>
    <w:rsid w:val="000149F3"/>
    <w:rsid w:val="00014AD2"/>
    <w:rsid w:val="00014AE0"/>
    <w:rsid w:val="00015A89"/>
    <w:rsid w:val="00015D34"/>
    <w:rsid w:val="00016DA1"/>
    <w:rsid w:val="00017620"/>
    <w:rsid w:val="000179FC"/>
    <w:rsid w:val="0002097B"/>
    <w:rsid w:val="00020B57"/>
    <w:rsid w:val="00020DB9"/>
    <w:rsid w:val="000214D5"/>
    <w:rsid w:val="0002169E"/>
    <w:rsid w:val="000218A3"/>
    <w:rsid w:val="0002334F"/>
    <w:rsid w:val="0002347C"/>
    <w:rsid w:val="00024213"/>
    <w:rsid w:val="00024804"/>
    <w:rsid w:val="00024E72"/>
    <w:rsid w:val="00024ECA"/>
    <w:rsid w:val="00025095"/>
    <w:rsid w:val="00025504"/>
    <w:rsid w:val="00025A3B"/>
    <w:rsid w:val="00025AD9"/>
    <w:rsid w:val="00025DC5"/>
    <w:rsid w:val="00025E95"/>
    <w:rsid w:val="00026581"/>
    <w:rsid w:val="0002662C"/>
    <w:rsid w:val="00026A75"/>
    <w:rsid w:val="00027954"/>
    <w:rsid w:val="00027B42"/>
    <w:rsid w:val="000300D1"/>
    <w:rsid w:val="0003111F"/>
    <w:rsid w:val="000319B0"/>
    <w:rsid w:val="00032074"/>
    <w:rsid w:val="00032D1E"/>
    <w:rsid w:val="00033652"/>
    <w:rsid w:val="00033C6E"/>
    <w:rsid w:val="000340CC"/>
    <w:rsid w:val="000343C7"/>
    <w:rsid w:val="0003478F"/>
    <w:rsid w:val="00035363"/>
    <w:rsid w:val="000354B9"/>
    <w:rsid w:val="0003636C"/>
    <w:rsid w:val="0003639C"/>
    <w:rsid w:val="00036C74"/>
    <w:rsid w:val="00036FF2"/>
    <w:rsid w:val="000400B8"/>
    <w:rsid w:val="00040110"/>
    <w:rsid w:val="000404B2"/>
    <w:rsid w:val="0004056B"/>
    <w:rsid w:val="0004109D"/>
    <w:rsid w:val="00041854"/>
    <w:rsid w:val="00041B25"/>
    <w:rsid w:val="00041D4B"/>
    <w:rsid w:val="00041D4D"/>
    <w:rsid w:val="00041F96"/>
    <w:rsid w:val="0004252C"/>
    <w:rsid w:val="000426E0"/>
    <w:rsid w:val="00042FB0"/>
    <w:rsid w:val="00042FBE"/>
    <w:rsid w:val="0004455A"/>
    <w:rsid w:val="00045092"/>
    <w:rsid w:val="00045822"/>
    <w:rsid w:val="00045A3D"/>
    <w:rsid w:val="000463E9"/>
    <w:rsid w:val="000468C0"/>
    <w:rsid w:val="0004691A"/>
    <w:rsid w:val="00046CBB"/>
    <w:rsid w:val="00047F5E"/>
    <w:rsid w:val="000501C7"/>
    <w:rsid w:val="000509B3"/>
    <w:rsid w:val="00050DC8"/>
    <w:rsid w:val="00051073"/>
    <w:rsid w:val="0005118D"/>
    <w:rsid w:val="00051504"/>
    <w:rsid w:val="0005179C"/>
    <w:rsid w:val="00051B2F"/>
    <w:rsid w:val="000524A9"/>
    <w:rsid w:val="000528A8"/>
    <w:rsid w:val="00052A11"/>
    <w:rsid w:val="00052EBE"/>
    <w:rsid w:val="000531E6"/>
    <w:rsid w:val="000531EE"/>
    <w:rsid w:val="00053786"/>
    <w:rsid w:val="00054D4D"/>
    <w:rsid w:val="00054F98"/>
    <w:rsid w:val="000556E5"/>
    <w:rsid w:val="0005585F"/>
    <w:rsid w:val="000558AD"/>
    <w:rsid w:val="0005632C"/>
    <w:rsid w:val="000565EB"/>
    <w:rsid w:val="00056646"/>
    <w:rsid w:val="00056D51"/>
    <w:rsid w:val="00056EB2"/>
    <w:rsid w:val="00056F86"/>
    <w:rsid w:val="00056FC7"/>
    <w:rsid w:val="0005793C"/>
    <w:rsid w:val="00057950"/>
    <w:rsid w:val="00060334"/>
    <w:rsid w:val="000607B9"/>
    <w:rsid w:val="00060E18"/>
    <w:rsid w:val="0006121B"/>
    <w:rsid w:val="0006166E"/>
    <w:rsid w:val="00061722"/>
    <w:rsid w:val="000617F5"/>
    <w:rsid w:val="00061BA8"/>
    <w:rsid w:val="00061DE7"/>
    <w:rsid w:val="00062776"/>
    <w:rsid w:val="000627CE"/>
    <w:rsid w:val="00062858"/>
    <w:rsid w:val="000628BF"/>
    <w:rsid w:val="00063219"/>
    <w:rsid w:val="00064B7D"/>
    <w:rsid w:val="00064D27"/>
    <w:rsid w:val="00064D29"/>
    <w:rsid w:val="00064DAA"/>
    <w:rsid w:val="00064DAC"/>
    <w:rsid w:val="00064E8E"/>
    <w:rsid w:val="00065B49"/>
    <w:rsid w:val="0006677A"/>
    <w:rsid w:val="000668B2"/>
    <w:rsid w:val="00067C21"/>
    <w:rsid w:val="00067F45"/>
    <w:rsid w:val="00070704"/>
    <w:rsid w:val="00070966"/>
    <w:rsid w:val="000710EE"/>
    <w:rsid w:val="0007159A"/>
    <w:rsid w:val="000718ED"/>
    <w:rsid w:val="00071AB2"/>
    <w:rsid w:val="00072FD8"/>
    <w:rsid w:val="000731DE"/>
    <w:rsid w:val="000734EF"/>
    <w:rsid w:val="00073C41"/>
    <w:rsid w:val="00074857"/>
    <w:rsid w:val="00074A65"/>
    <w:rsid w:val="000751D4"/>
    <w:rsid w:val="00075654"/>
    <w:rsid w:val="00075C10"/>
    <w:rsid w:val="00075C91"/>
    <w:rsid w:val="00075E4B"/>
    <w:rsid w:val="00075F34"/>
    <w:rsid w:val="00075F64"/>
    <w:rsid w:val="00076160"/>
    <w:rsid w:val="00076801"/>
    <w:rsid w:val="00076D5F"/>
    <w:rsid w:val="00076F63"/>
    <w:rsid w:val="0007735A"/>
    <w:rsid w:val="00077361"/>
    <w:rsid w:val="000776C2"/>
    <w:rsid w:val="000778E9"/>
    <w:rsid w:val="000779BD"/>
    <w:rsid w:val="00077A62"/>
    <w:rsid w:val="0008010E"/>
    <w:rsid w:val="0008083A"/>
    <w:rsid w:val="000809DB"/>
    <w:rsid w:val="00080A03"/>
    <w:rsid w:val="00080F11"/>
    <w:rsid w:val="00081145"/>
    <w:rsid w:val="00081397"/>
    <w:rsid w:val="00081788"/>
    <w:rsid w:val="00081853"/>
    <w:rsid w:val="00082AFF"/>
    <w:rsid w:val="00082F20"/>
    <w:rsid w:val="00083451"/>
    <w:rsid w:val="0008422A"/>
    <w:rsid w:val="000847E4"/>
    <w:rsid w:val="00084975"/>
    <w:rsid w:val="00084A4A"/>
    <w:rsid w:val="00084F7A"/>
    <w:rsid w:val="00085730"/>
    <w:rsid w:val="00085754"/>
    <w:rsid w:val="00085F7E"/>
    <w:rsid w:val="0008608B"/>
    <w:rsid w:val="00086106"/>
    <w:rsid w:val="00086F8D"/>
    <w:rsid w:val="00087419"/>
    <w:rsid w:val="0008741C"/>
    <w:rsid w:val="00090088"/>
    <w:rsid w:val="0009061F"/>
    <w:rsid w:val="00090DF0"/>
    <w:rsid w:val="00090FB7"/>
    <w:rsid w:val="00090FD5"/>
    <w:rsid w:val="00090FF8"/>
    <w:rsid w:val="000918BA"/>
    <w:rsid w:val="00092762"/>
    <w:rsid w:val="00093ABE"/>
    <w:rsid w:val="0009474E"/>
    <w:rsid w:val="00094A33"/>
    <w:rsid w:val="00094AD5"/>
    <w:rsid w:val="0009507F"/>
    <w:rsid w:val="00095133"/>
    <w:rsid w:val="00095217"/>
    <w:rsid w:val="0009589A"/>
    <w:rsid w:val="0009599B"/>
    <w:rsid w:val="000959DF"/>
    <w:rsid w:val="00096894"/>
    <w:rsid w:val="00097552"/>
    <w:rsid w:val="000A00B8"/>
    <w:rsid w:val="000A0566"/>
    <w:rsid w:val="000A05F8"/>
    <w:rsid w:val="000A0C65"/>
    <w:rsid w:val="000A0CC2"/>
    <w:rsid w:val="000A0D40"/>
    <w:rsid w:val="000A1008"/>
    <w:rsid w:val="000A1CE9"/>
    <w:rsid w:val="000A20AD"/>
    <w:rsid w:val="000A2E53"/>
    <w:rsid w:val="000A360E"/>
    <w:rsid w:val="000A3A8A"/>
    <w:rsid w:val="000A3F66"/>
    <w:rsid w:val="000A4428"/>
    <w:rsid w:val="000A4D18"/>
    <w:rsid w:val="000A5EE6"/>
    <w:rsid w:val="000A63F5"/>
    <w:rsid w:val="000A6853"/>
    <w:rsid w:val="000A7249"/>
    <w:rsid w:val="000A7531"/>
    <w:rsid w:val="000A76E1"/>
    <w:rsid w:val="000B05A0"/>
    <w:rsid w:val="000B094E"/>
    <w:rsid w:val="000B1380"/>
    <w:rsid w:val="000B16DD"/>
    <w:rsid w:val="000B251F"/>
    <w:rsid w:val="000B2FCE"/>
    <w:rsid w:val="000B3024"/>
    <w:rsid w:val="000B3928"/>
    <w:rsid w:val="000B39A7"/>
    <w:rsid w:val="000B5472"/>
    <w:rsid w:val="000B603A"/>
    <w:rsid w:val="000B74ED"/>
    <w:rsid w:val="000B7820"/>
    <w:rsid w:val="000B7C5D"/>
    <w:rsid w:val="000B7D0B"/>
    <w:rsid w:val="000C01E2"/>
    <w:rsid w:val="000C0E09"/>
    <w:rsid w:val="000C180B"/>
    <w:rsid w:val="000C1A18"/>
    <w:rsid w:val="000C1EAF"/>
    <w:rsid w:val="000C2530"/>
    <w:rsid w:val="000C273F"/>
    <w:rsid w:val="000C3669"/>
    <w:rsid w:val="000C4380"/>
    <w:rsid w:val="000C519B"/>
    <w:rsid w:val="000C5320"/>
    <w:rsid w:val="000C58BB"/>
    <w:rsid w:val="000C594E"/>
    <w:rsid w:val="000C5C12"/>
    <w:rsid w:val="000C6E0D"/>
    <w:rsid w:val="000C71BE"/>
    <w:rsid w:val="000C745B"/>
    <w:rsid w:val="000C77D3"/>
    <w:rsid w:val="000C7847"/>
    <w:rsid w:val="000C7AC1"/>
    <w:rsid w:val="000C7ADE"/>
    <w:rsid w:val="000C7B3A"/>
    <w:rsid w:val="000C7D30"/>
    <w:rsid w:val="000D01EB"/>
    <w:rsid w:val="000D0CB5"/>
    <w:rsid w:val="000D1062"/>
    <w:rsid w:val="000D119A"/>
    <w:rsid w:val="000D11DC"/>
    <w:rsid w:val="000D193D"/>
    <w:rsid w:val="000D1BEE"/>
    <w:rsid w:val="000D26D6"/>
    <w:rsid w:val="000D274A"/>
    <w:rsid w:val="000D27E6"/>
    <w:rsid w:val="000D294A"/>
    <w:rsid w:val="000D2FAF"/>
    <w:rsid w:val="000D374E"/>
    <w:rsid w:val="000D3872"/>
    <w:rsid w:val="000D3BC5"/>
    <w:rsid w:val="000D3E66"/>
    <w:rsid w:val="000D3EEC"/>
    <w:rsid w:val="000D448B"/>
    <w:rsid w:val="000D4571"/>
    <w:rsid w:val="000D4FD6"/>
    <w:rsid w:val="000D5C7A"/>
    <w:rsid w:val="000D5EFC"/>
    <w:rsid w:val="000D62C2"/>
    <w:rsid w:val="000D6425"/>
    <w:rsid w:val="000D7A15"/>
    <w:rsid w:val="000D7E9E"/>
    <w:rsid w:val="000D7FA5"/>
    <w:rsid w:val="000E02EA"/>
    <w:rsid w:val="000E0FAC"/>
    <w:rsid w:val="000E12C5"/>
    <w:rsid w:val="000E18EB"/>
    <w:rsid w:val="000E19A7"/>
    <w:rsid w:val="000E1AAE"/>
    <w:rsid w:val="000E2357"/>
    <w:rsid w:val="000E23D9"/>
    <w:rsid w:val="000E260D"/>
    <w:rsid w:val="000E289B"/>
    <w:rsid w:val="000E28F4"/>
    <w:rsid w:val="000E2C2C"/>
    <w:rsid w:val="000E3570"/>
    <w:rsid w:val="000E35AA"/>
    <w:rsid w:val="000E4B9F"/>
    <w:rsid w:val="000E4CB0"/>
    <w:rsid w:val="000E4F25"/>
    <w:rsid w:val="000E5160"/>
    <w:rsid w:val="000E5889"/>
    <w:rsid w:val="000E615E"/>
    <w:rsid w:val="000E6793"/>
    <w:rsid w:val="000E7AC4"/>
    <w:rsid w:val="000F006D"/>
    <w:rsid w:val="000F0403"/>
    <w:rsid w:val="000F0A79"/>
    <w:rsid w:val="000F0CF4"/>
    <w:rsid w:val="000F2926"/>
    <w:rsid w:val="000F2DA8"/>
    <w:rsid w:val="000F3673"/>
    <w:rsid w:val="000F3F72"/>
    <w:rsid w:val="000F45F9"/>
    <w:rsid w:val="000F4830"/>
    <w:rsid w:val="000F5A9B"/>
    <w:rsid w:val="000F5CFF"/>
    <w:rsid w:val="000F6D54"/>
    <w:rsid w:val="000F6E1F"/>
    <w:rsid w:val="000F70E1"/>
    <w:rsid w:val="000F752F"/>
    <w:rsid w:val="000F7A9B"/>
    <w:rsid w:val="000F7C34"/>
    <w:rsid w:val="00100EE5"/>
    <w:rsid w:val="001012A4"/>
    <w:rsid w:val="00101C61"/>
    <w:rsid w:val="00102222"/>
    <w:rsid w:val="0010237B"/>
    <w:rsid w:val="001033D5"/>
    <w:rsid w:val="001037D9"/>
    <w:rsid w:val="00104113"/>
    <w:rsid w:val="00104D07"/>
    <w:rsid w:val="00105009"/>
    <w:rsid w:val="00105436"/>
    <w:rsid w:val="0010563B"/>
    <w:rsid w:val="00106D48"/>
    <w:rsid w:val="00106ECB"/>
    <w:rsid w:val="00107105"/>
    <w:rsid w:val="001101CB"/>
    <w:rsid w:val="001105B0"/>
    <w:rsid w:val="00110C47"/>
    <w:rsid w:val="00111414"/>
    <w:rsid w:val="00111FAF"/>
    <w:rsid w:val="00112448"/>
    <w:rsid w:val="00112A55"/>
    <w:rsid w:val="00112B1C"/>
    <w:rsid w:val="00113750"/>
    <w:rsid w:val="001137A1"/>
    <w:rsid w:val="001138E9"/>
    <w:rsid w:val="0011465E"/>
    <w:rsid w:val="00114BC8"/>
    <w:rsid w:val="00114F1C"/>
    <w:rsid w:val="0011552B"/>
    <w:rsid w:val="001155E3"/>
    <w:rsid w:val="0011588D"/>
    <w:rsid w:val="0011593A"/>
    <w:rsid w:val="001161E0"/>
    <w:rsid w:val="00116473"/>
    <w:rsid w:val="001169AC"/>
    <w:rsid w:val="001169DD"/>
    <w:rsid w:val="00116DF7"/>
    <w:rsid w:val="00116EBB"/>
    <w:rsid w:val="001170D5"/>
    <w:rsid w:val="00117419"/>
    <w:rsid w:val="00120B5F"/>
    <w:rsid w:val="00120B71"/>
    <w:rsid w:val="001212B4"/>
    <w:rsid w:val="00121632"/>
    <w:rsid w:val="00121EB4"/>
    <w:rsid w:val="00121FA0"/>
    <w:rsid w:val="001220D1"/>
    <w:rsid w:val="001224DF"/>
    <w:rsid w:val="001229F7"/>
    <w:rsid w:val="00122DB8"/>
    <w:rsid w:val="00122EA0"/>
    <w:rsid w:val="00123B8D"/>
    <w:rsid w:val="00123F21"/>
    <w:rsid w:val="001247B5"/>
    <w:rsid w:val="00124BDF"/>
    <w:rsid w:val="00124EC7"/>
    <w:rsid w:val="001250B0"/>
    <w:rsid w:val="00126761"/>
    <w:rsid w:val="0012683E"/>
    <w:rsid w:val="001268CC"/>
    <w:rsid w:val="00126A13"/>
    <w:rsid w:val="00126A44"/>
    <w:rsid w:val="00126B52"/>
    <w:rsid w:val="00126F01"/>
    <w:rsid w:val="00131CFB"/>
    <w:rsid w:val="00131D37"/>
    <w:rsid w:val="001327DF"/>
    <w:rsid w:val="00135B2D"/>
    <w:rsid w:val="00137475"/>
    <w:rsid w:val="00137E50"/>
    <w:rsid w:val="001407EB"/>
    <w:rsid w:val="00140AA5"/>
    <w:rsid w:val="001414F3"/>
    <w:rsid w:val="001414FE"/>
    <w:rsid w:val="0014169B"/>
    <w:rsid w:val="001424DF"/>
    <w:rsid w:val="00142515"/>
    <w:rsid w:val="00142B3C"/>
    <w:rsid w:val="00142BE6"/>
    <w:rsid w:val="00143B82"/>
    <w:rsid w:val="00143FF1"/>
    <w:rsid w:val="001442BE"/>
    <w:rsid w:val="00144518"/>
    <w:rsid w:val="001445A2"/>
    <w:rsid w:val="001446CF"/>
    <w:rsid w:val="0014501E"/>
    <w:rsid w:val="0014521F"/>
    <w:rsid w:val="001452D2"/>
    <w:rsid w:val="00147061"/>
    <w:rsid w:val="001474F6"/>
    <w:rsid w:val="00147CF2"/>
    <w:rsid w:val="00150134"/>
    <w:rsid w:val="0015013C"/>
    <w:rsid w:val="001501DF"/>
    <w:rsid w:val="00150732"/>
    <w:rsid w:val="00150809"/>
    <w:rsid w:val="00150C20"/>
    <w:rsid w:val="00150D0E"/>
    <w:rsid w:val="00150EA9"/>
    <w:rsid w:val="00151218"/>
    <w:rsid w:val="00152AC1"/>
    <w:rsid w:val="00152C17"/>
    <w:rsid w:val="00152C98"/>
    <w:rsid w:val="001530A0"/>
    <w:rsid w:val="00153234"/>
    <w:rsid w:val="00153E12"/>
    <w:rsid w:val="00154B72"/>
    <w:rsid w:val="0015501A"/>
    <w:rsid w:val="00155731"/>
    <w:rsid w:val="00155C37"/>
    <w:rsid w:val="00155C77"/>
    <w:rsid w:val="00155EFB"/>
    <w:rsid w:val="00156B92"/>
    <w:rsid w:val="00156C5D"/>
    <w:rsid w:val="00156C8E"/>
    <w:rsid w:val="00157452"/>
    <w:rsid w:val="00157489"/>
    <w:rsid w:val="0015763B"/>
    <w:rsid w:val="00157713"/>
    <w:rsid w:val="0015780D"/>
    <w:rsid w:val="00157A29"/>
    <w:rsid w:val="00157F25"/>
    <w:rsid w:val="00160FE6"/>
    <w:rsid w:val="00161060"/>
    <w:rsid w:val="001610CB"/>
    <w:rsid w:val="001615CA"/>
    <w:rsid w:val="001617B3"/>
    <w:rsid w:val="00161E37"/>
    <w:rsid w:val="0016223A"/>
    <w:rsid w:val="0016246F"/>
    <w:rsid w:val="001628EF"/>
    <w:rsid w:val="001635B2"/>
    <w:rsid w:val="00163D0E"/>
    <w:rsid w:val="0016403B"/>
    <w:rsid w:val="001644AB"/>
    <w:rsid w:val="001652B4"/>
    <w:rsid w:val="001657D7"/>
    <w:rsid w:val="00165835"/>
    <w:rsid w:val="00165C71"/>
    <w:rsid w:val="00166722"/>
    <w:rsid w:val="00167060"/>
    <w:rsid w:val="00167496"/>
    <w:rsid w:val="0016758B"/>
    <w:rsid w:val="00167827"/>
    <w:rsid w:val="00167919"/>
    <w:rsid w:val="00167B63"/>
    <w:rsid w:val="00167F69"/>
    <w:rsid w:val="0017058E"/>
    <w:rsid w:val="00171A0F"/>
    <w:rsid w:val="00171BAF"/>
    <w:rsid w:val="00173D59"/>
    <w:rsid w:val="001745E1"/>
    <w:rsid w:val="00174BCE"/>
    <w:rsid w:val="00174C9F"/>
    <w:rsid w:val="00174EE5"/>
    <w:rsid w:val="0017526A"/>
    <w:rsid w:val="00175357"/>
    <w:rsid w:val="001768AE"/>
    <w:rsid w:val="00176D2E"/>
    <w:rsid w:val="00177274"/>
    <w:rsid w:val="00180278"/>
    <w:rsid w:val="00180696"/>
    <w:rsid w:val="00180F53"/>
    <w:rsid w:val="001811FF"/>
    <w:rsid w:val="00181521"/>
    <w:rsid w:val="00181BD3"/>
    <w:rsid w:val="00182232"/>
    <w:rsid w:val="001822A4"/>
    <w:rsid w:val="00183A8D"/>
    <w:rsid w:val="00183AB1"/>
    <w:rsid w:val="001842A8"/>
    <w:rsid w:val="00184B07"/>
    <w:rsid w:val="00184F26"/>
    <w:rsid w:val="001852A9"/>
    <w:rsid w:val="00185678"/>
    <w:rsid w:val="00185750"/>
    <w:rsid w:val="001858CA"/>
    <w:rsid w:val="001859AE"/>
    <w:rsid w:val="00185A4E"/>
    <w:rsid w:val="00186056"/>
    <w:rsid w:val="001861CE"/>
    <w:rsid w:val="00186779"/>
    <w:rsid w:val="001873CE"/>
    <w:rsid w:val="00187683"/>
    <w:rsid w:val="00187D81"/>
    <w:rsid w:val="0019000F"/>
    <w:rsid w:val="00190413"/>
    <w:rsid w:val="00190F8E"/>
    <w:rsid w:val="0019176B"/>
    <w:rsid w:val="001917EB"/>
    <w:rsid w:val="00191FD3"/>
    <w:rsid w:val="0019255E"/>
    <w:rsid w:val="001927D3"/>
    <w:rsid w:val="00192A78"/>
    <w:rsid w:val="00192F1A"/>
    <w:rsid w:val="00192F83"/>
    <w:rsid w:val="00193A55"/>
    <w:rsid w:val="00194735"/>
    <w:rsid w:val="00194C3F"/>
    <w:rsid w:val="00195542"/>
    <w:rsid w:val="00195B16"/>
    <w:rsid w:val="00195B9A"/>
    <w:rsid w:val="00195BDB"/>
    <w:rsid w:val="00195CBE"/>
    <w:rsid w:val="00195CCF"/>
    <w:rsid w:val="00196C0F"/>
    <w:rsid w:val="001975FD"/>
    <w:rsid w:val="001A0FB0"/>
    <w:rsid w:val="001A1A24"/>
    <w:rsid w:val="001A1A25"/>
    <w:rsid w:val="001A1EED"/>
    <w:rsid w:val="001A1F9A"/>
    <w:rsid w:val="001A2549"/>
    <w:rsid w:val="001A28FE"/>
    <w:rsid w:val="001A3110"/>
    <w:rsid w:val="001A45DF"/>
    <w:rsid w:val="001A46AF"/>
    <w:rsid w:val="001A49C5"/>
    <w:rsid w:val="001A5802"/>
    <w:rsid w:val="001A64F7"/>
    <w:rsid w:val="001A6FC1"/>
    <w:rsid w:val="001A7897"/>
    <w:rsid w:val="001B00AC"/>
    <w:rsid w:val="001B0123"/>
    <w:rsid w:val="001B013C"/>
    <w:rsid w:val="001B0630"/>
    <w:rsid w:val="001B0680"/>
    <w:rsid w:val="001B1353"/>
    <w:rsid w:val="001B15CA"/>
    <w:rsid w:val="001B1782"/>
    <w:rsid w:val="001B1890"/>
    <w:rsid w:val="001B1C1B"/>
    <w:rsid w:val="001B1C57"/>
    <w:rsid w:val="001B21B3"/>
    <w:rsid w:val="001B2C44"/>
    <w:rsid w:val="001B3361"/>
    <w:rsid w:val="001B40DA"/>
    <w:rsid w:val="001B466C"/>
    <w:rsid w:val="001B4E46"/>
    <w:rsid w:val="001B5754"/>
    <w:rsid w:val="001B57BA"/>
    <w:rsid w:val="001B6366"/>
    <w:rsid w:val="001B64D8"/>
    <w:rsid w:val="001B6A0F"/>
    <w:rsid w:val="001B6BE9"/>
    <w:rsid w:val="001B6C05"/>
    <w:rsid w:val="001B6C77"/>
    <w:rsid w:val="001B709A"/>
    <w:rsid w:val="001B73A0"/>
    <w:rsid w:val="001B7A2E"/>
    <w:rsid w:val="001C045E"/>
    <w:rsid w:val="001C07FC"/>
    <w:rsid w:val="001C09BB"/>
    <w:rsid w:val="001C12A3"/>
    <w:rsid w:val="001C26CA"/>
    <w:rsid w:val="001C2894"/>
    <w:rsid w:val="001C2A1F"/>
    <w:rsid w:val="001C2C0D"/>
    <w:rsid w:val="001C2C30"/>
    <w:rsid w:val="001C3144"/>
    <w:rsid w:val="001C406F"/>
    <w:rsid w:val="001C46B6"/>
    <w:rsid w:val="001C48D9"/>
    <w:rsid w:val="001C4954"/>
    <w:rsid w:val="001C557C"/>
    <w:rsid w:val="001C5A26"/>
    <w:rsid w:val="001C6495"/>
    <w:rsid w:val="001C6F00"/>
    <w:rsid w:val="001C7140"/>
    <w:rsid w:val="001C7232"/>
    <w:rsid w:val="001C77DE"/>
    <w:rsid w:val="001D030C"/>
    <w:rsid w:val="001D0589"/>
    <w:rsid w:val="001D06AA"/>
    <w:rsid w:val="001D0751"/>
    <w:rsid w:val="001D1249"/>
    <w:rsid w:val="001D1A8C"/>
    <w:rsid w:val="001D24A7"/>
    <w:rsid w:val="001D2580"/>
    <w:rsid w:val="001D2C3C"/>
    <w:rsid w:val="001D2F86"/>
    <w:rsid w:val="001D337A"/>
    <w:rsid w:val="001D338B"/>
    <w:rsid w:val="001D3BD1"/>
    <w:rsid w:val="001D3D60"/>
    <w:rsid w:val="001D50C3"/>
    <w:rsid w:val="001D526D"/>
    <w:rsid w:val="001D556E"/>
    <w:rsid w:val="001D57EF"/>
    <w:rsid w:val="001D5B75"/>
    <w:rsid w:val="001D6083"/>
    <w:rsid w:val="001D61AC"/>
    <w:rsid w:val="001D659F"/>
    <w:rsid w:val="001D7348"/>
    <w:rsid w:val="001D7596"/>
    <w:rsid w:val="001D76E6"/>
    <w:rsid w:val="001D782D"/>
    <w:rsid w:val="001E0594"/>
    <w:rsid w:val="001E0F23"/>
    <w:rsid w:val="001E23B1"/>
    <w:rsid w:val="001E27E0"/>
    <w:rsid w:val="001E297F"/>
    <w:rsid w:val="001E2AC6"/>
    <w:rsid w:val="001E3310"/>
    <w:rsid w:val="001E35A9"/>
    <w:rsid w:val="001E37B0"/>
    <w:rsid w:val="001E3EED"/>
    <w:rsid w:val="001E4509"/>
    <w:rsid w:val="001E4FDC"/>
    <w:rsid w:val="001E51E2"/>
    <w:rsid w:val="001E577F"/>
    <w:rsid w:val="001E579E"/>
    <w:rsid w:val="001E6B9D"/>
    <w:rsid w:val="001E7149"/>
    <w:rsid w:val="001E7B88"/>
    <w:rsid w:val="001E7D93"/>
    <w:rsid w:val="001F026E"/>
    <w:rsid w:val="001F0486"/>
    <w:rsid w:val="001F093F"/>
    <w:rsid w:val="001F0EA5"/>
    <w:rsid w:val="001F1AAA"/>
    <w:rsid w:val="001F1B48"/>
    <w:rsid w:val="001F1E8A"/>
    <w:rsid w:val="001F2396"/>
    <w:rsid w:val="001F391B"/>
    <w:rsid w:val="001F39DA"/>
    <w:rsid w:val="001F3B6B"/>
    <w:rsid w:val="001F3C19"/>
    <w:rsid w:val="001F4280"/>
    <w:rsid w:val="001F4B17"/>
    <w:rsid w:val="001F4B6C"/>
    <w:rsid w:val="001F4F8E"/>
    <w:rsid w:val="001F5543"/>
    <w:rsid w:val="001F56C9"/>
    <w:rsid w:val="001F5DD6"/>
    <w:rsid w:val="001F5ECE"/>
    <w:rsid w:val="001F61C7"/>
    <w:rsid w:val="001F6E97"/>
    <w:rsid w:val="002000B2"/>
    <w:rsid w:val="00200429"/>
    <w:rsid w:val="00200646"/>
    <w:rsid w:val="002007BB"/>
    <w:rsid w:val="00200B88"/>
    <w:rsid w:val="00202219"/>
    <w:rsid w:val="00202648"/>
    <w:rsid w:val="0020267E"/>
    <w:rsid w:val="00202C75"/>
    <w:rsid w:val="00203C26"/>
    <w:rsid w:val="0020482A"/>
    <w:rsid w:val="00204958"/>
    <w:rsid w:val="00204B07"/>
    <w:rsid w:val="00204F18"/>
    <w:rsid w:val="002053F4"/>
    <w:rsid w:val="002055CD"/>
    <w:rsid w:val="00205866"/>
    <w:rsid w:val="00205CB9"/>
    <w:rsid w:val="00206275"/>
    <w:rsid w:val="002069A1"/>
    <w:rsid w:val="00206AA5"/>
    <w:rsid w:val="00206AA7"/>
    <w:rsid w:val="00206B89"/>
    <w:rsid w:val="00206D5E"/>
    <w:rsid w:val="0020762C"/>
    <w:rsid w:val="002077EC"/>
    <w:rsid w:val="00207DA1"/>
    <w:rsid w:val="0021034E"/>
    <w:rsid w:val="0021055F"/>
    <w:rsid w:val="002108CD"/>
    <w:rsid w:val="002108F5"/>
    <w:rsid w:val="00210CF1"/>
    <w:rsid w:val="002110A0"/>
    <w:rsid w:val="002111E1"/>
    <w:rsid w:val="00211245"/>
    <w:rsid w:val="0021132E"/>
    <w:rsid w:val="00211661"/>
    <w:rsid w:val="00211AA5"/>
    <w:rsid w:val="00211B51"/>
    <w:rsid w:val="002127E3"/>
    <w:rsid w:val="00212843"/>
    <w:rsid w:val="0021348C"/>
    <w:rsid w:val="0021367D"/>
    <w:rsid w:val="0021406C"/>
    <w:rsid w:val="00214384"/>
    <w:rsid w:val="00214C44"/>
    <w:rsid w:val="00214D2A"/>
    <w:rsid w:val="00214EE6"/>
    <w:rsid w:val="0021528F"/>
    <w:rsid w:val="002153E0"/>
    <w:rsid w:val="002163B0"/>
    <w:rsid w:val="002165A8"/>
    <w:rsid w:val="00217B88"/>
    <w:rsid w:val="00217FF7"/>
    <w:rsid w:val="002209F3"/>
    <w:rsid w:val="0022184F"/>
    <w:rsid w:val="00222036"/>
    <w:rsid w:val="00222E94"/>
    <w:rsid w:val="00223512"/>
    <w:rsid w:val="0022422E"/>
    <w:rsid w:val="002247AB"/>
    <w:rsid w:val="0022580F"/>
    <w:rsid w:val="00225BAD"/>
    <w:rsid w:val="00226796"/>
    <w:rsid w:val="00226CCB"/>
    <w:rsid w:val="002271AA"/>
    <w:rsid w:val="0022759A"/>
    <w:rsid w:val="00227DDF"/>
    <w:rsid w:val="002301A6"/>
    <w:rsid w:val="00230262"/>
    <w:rsid w:val="00230A90"/>
    <w:rsid w:val="00230C03"/>
    <w:rsid w:val="00230D45"/>
    <w:rsid w:val="00231240"/>
    <w:rsid w:val="002315F5"/>
    <w:rsid w:val="00231A67"/>
    <w:rsid w:val="00231CCE"/>
    <w:rsid w:val="00231E87"/>
    <w:rsid w:val="002328E1"/>
    <w:rsid w:val="002338D8"/>
    <w:rsid w:val="00233FF4"/>
    <w:rsid w:val="002342A6"/>
    <w:rsid w:val="002351E5"/>
    <w:rsid w:val="00235E40"/>
    <w:rsid w:val="0023612F"/>
    <w:rsid w:val="00236907"/>
    <w:rsid w:val="00236E1B"/>
    <w:rsid w:val="00236E7F"/>
    <w:rsid w:val="00237016"/>
    <w:rsid w:val="002373C7"/>
    <w:rsid w:val="002378B5"/>
    <w:rsid w:val="002400C7"/>
    <w:rsid w:val="0024049B"/>
    <w:rsid w:val="00240719"/>
    <w:rsid w:val="0024210D"/>
    <w:rsid w:val="00242CCE"/>
    <w:rsid w:val="002433F3"/>
    <w:rsid w:val="00243433"/>
    <w:rsid w:val="00243491"/>
    <w:rsid w:val="002435C0"/>
    <w:rsid w:val="002436F3"/>
    <w:rsid w:val="00243F2B"/>
    <w:rsid w:val="002442EB"/>
    <w:rsid w:val="002446DC"/>
    <w:rsid w:val="00244A4E"/>
    <w:rsid w:val="00244F05"/>
    <w:rsid w:val="002456DB"/>
    <w:rsid w:val="00245F0F"/>
    <w:rsid w:val="00245FE6"/>
    <w:rsid w:val="00246A8F"/>
    <w:rsid w:val="00247459"/>
    <w:rsid w:val="00247DC6"/>
    <w:rsid w:val="002511FF"/>
    <w:rsid w:val="00251427"/>
    <w:rsid w:val="002514E2"/>
    <w:rsid w:val="00251C9A"/>
    <w:rsid w:val="00252B91"/>
    <w:rsid w:val="00252C4B"/>
    <w:rsid w:val="0025306D"/>
    <w:rsid w:val="002530D5"/>
    <w:rsid w:val="00253564"/>
    <w:rsid w:val="002536E5"/>
    <w:rsid w:val="0025426A"/>
    <w:rsid w:val="00254415"/>
    <w:rsid w:val="00254D9E"/>
    <w:rsid w:val="00255C09"/>
    <w:rsid w:val="00256724"/>
    <w:rsid w:val="002568E1"/>
    <w:rsid w:val="00256B4F"/>
    <w:rsid w:val="00256B99"/>
    <w:rsid w:val="00256CDA"/>
    <w:rsid w:val="00256DBF"/>
    <w:rsid w:val="00257292"/>
    <w:rsid w:val="00257AC4"/>
    <w:rsid w:val="00257B71"/>
    <w:rsid w:val="00257BE8"/>
    <w:rsid w:val="002605A5"/>
    <w:rsid w:val="00260A12"/>
    <w:rsid w:val="002610EF"/>
    <w:rsid w:val="002611DC"/>
    <w:rsid w:val="002613E1"/>
    <w:rsid w:val="002618B1"/>
    <w:rsid w:val="00261A03"/>
    <w:rsid w:val="00261A9F"/>
    <w:rsid w:val="00261DEE"/>
    <w:rsid w:val="00262092"/>
    <w:rsid w:val="00262099"/>
    <w:rsid w:val="0026273D"/>
    <w:rsid w:val="0026274D"/>
    <w:rsid w:val="002628EE"/>
    <w:rsid w:val="00262A7B"/>
    <w:rsid w:val="00262A9B"/>
    <w:rsid w:val="00262FE2"/>
    <w:rsid w:val="00263352"/>
    <w:rsid w:val="00263666"/>
    <w:rsid w:val="00263891"/>
    <w:rsid w:val="00265135"/>
    <w:rsid w:val="002662CA"/>
    <w:rsid w:val="0026639D"/>
    <w:rsid w:val="00266525"/>
    <w:rsid w:val="00267028"/>
    <w:rsid w:val="00267287"/>
    <w:rsid w:val="0026737A"/>
    <w:rsid w:val="00267937"/>
    <w:rsid w:val="00267ACF"/>
    <w:rsid w:val="0027003C"/>
    <w:rsid w:val="00270085"/>
    <w:rsid w:val="00270870"/>
    <w:rsid w:val="00270CC3"/>
    <w:rsid w:val="00270FC4"/>
    <w:rsid w:val="0027118C"/>
    <w:rsid w:val="002711CD"/>
    <w:rsid w:val="00271377"/>
    <w:rsid w:val="00271387"/>
    <w:rsid w:val="00271515"/>
    <w:rsid w:val="002715B8"/>
    <w:rsid w:val="0027161F"/>
    <w:rsid w:val="00271E8A"/>
    <w:rsid w:val="0027268F"/>
    <w:rsid w:val="0027299B"/>
    <w:rsid w:val="00272AF8"/>
    <w:rsid w:val="00272D22"/>
    <w:rsid w:val="002733F7"/>
    <w:rsid w:val="002735EA"/>
    <w:rsid w:val="0027458F"/>
    <w:rsid w:val="002750A7"/>
    <w:rsid w:val="00275AE0"/>
    <w:rsid w:val="00275D8C"/>
    <w:rsid w:val="0027606D"/>
    <w:rsid w:val="00276BBF"/>
    <w:rsid w:val="00276C99"/>
    <w:rsid w:val="002774B1"/>
    <w:rsid w:val="002775E5"/>
    <w:rsid w:val="002802E1"/>
    <w:rsid w:val="00281143"/>
    <w:rsid w:val="00281319"/>
    <w:rsid w:val="00281336"/>
    <w:rsid w:val="00281677"/>
    <w:rsid w:val="00281708"/>
    <w:rsid w:val="00281788"/>
    <w:rsid w:val="002820BC"/>
    <w:rsid w:val="00282576"/>
    <w:rsid w:val="00283A45"/>
    <w:rsid w:val="00283BB5"/>
    <w:rsid w:val="0028491C"/>
    <w:rsid w:val="00284EF3"/>
    <w:rsid w:val="00285850"/>
    <w:rsid w:val="002859DF"/>
    <w:rsid w:val="00285C6A"/>
    <w:rsid w:val="00285D47"/>
    <w:rsid w:val="0028635D"/>
    <w:rsid w:val="00286B04"/>
    <w:rsid w:val="00287498"/>
    <w:rsid w:val="00287744"/>
    <w:rsid w:val="00287DF0"/>
    <w:rsid w:val="002902ED"/>
    <w:rsid w:val="0029088D"/>
    <w:rsid w:val="00290DAF"/>
    <w:rsid w:val="00290FF7"/>
    <w:rsid w:val="002914D5"/>
    <w:rsid w:val="00291AA5"/>
    <w:rsid w:val="00292036"/>
    <w:rsid w:val="002922EB"/>
    <w:rsid w:val="00292A51"/>
    <w:rsid w:val="00293125"/>
    <w:rsid w:val="00293B9C"/>
    <w:rsid w:val="00293EB6"/>
    <w:rsid w:val="00294527"/>
    <w:rsid w:val="00294C15"/>
    <w:rsid w:val="00295307"/>
    <w:rsid w:val="0029552F"/>
    <w:rsid w:val="002957C6"/>
    <w:rsid w:val="00295E00"/>
    <w:rsid w:val="00295F6E"/>
    <w:rsid w:val="002960C6"/>
    <w:rsid w:val="00296743"/>
    <w:rsid w:val="002967F1"/>
    <w:rsid w:val="00297230"/>
    <w:rsid w:val="002A0119"/>
    <w:rsid w:val="002A0451"/>
    <w:rsid w:val="002A1425"/>
    <w:rsid w:val="002A1432"/>
    <w:rsid w:val="002A22A2"/>
    <w:rsid w:val="002A2A90"/>
    <w:rsid w:val="002A34F5"/>
    <w:rsid w:val="002A373E"/>
    <w:rsid w:val="002A3958"/>
    <w:rsid w:val="002A3AE0"/>
    <w:rsid w:val="002A3BE3"/>
    <w:rsid w:val="002A4458"/>
    <w:rsid w:val="002A46D4"/>
    <w:rsid w:val="002A5238"/>
    <w:rsid w:val="002A557A"/>
    <w:rsid w:val="002A55B2"/>
    <w:rsid w:val="002A5875"/>
    <w:rsid w:val="002A5C07"/>
    <w:rsid w:val="002A5ED1"/>
    <w:rsid w:val="002A66DD"/>
    <w:rsid w:val="002A7649"/>
    <w:rsid w:val="002A78CD"/>
    <w:rsid w:val="002B0262"/>
    <w:rsid w:val="002B0849"/>
    <w:rsid w:val="002B0F17"/>
    <w:rsid w:val="002B1065"/>
    <w:rsid w:val="002B1A72"/>
    <w:rsid w:val="002B1DE6"/>
    <w:rsid w:val="002B2079"/>
    <w:rsid w:val="002B2313"/>
    <w:rsid w:val="002B238F"/>
    <w:rsid w:val="002B2F4A"/>
    <w:rsid w:val="002B3031"/>
    <w:rsid w:val="002B36F5"/>
    <w:rsid w:val="002B39F4"/>
    <w:rsid w:val="002B4493"/>
    <w:rsid w:val="002B4D9E"/>
    <w:rsid w:val="002B4F0B"/>
    <w:rsid w:val="002B50CD"/>
    <w:rsid w:val="002B6D5B"/>
    <w:rsid w:val="002B7C02"/>
    <w:rsid w:val="002C0900"/>
    <w:rsid w:val="002C0D28"/>
    <w:rsid w:val="002C1232"/>
    <w:rsid w:val="002C17D4"/>
    <w:rsid w:val="002C1DE3"/>
    <w:rsid w:val="002C28F4"/>
    <w:rsid w:val="002C36D6"/>
    <w:rsid w:val="002C390C"/>
    <w:rsid w:val="002C3B0E"/>
    <w:rsid w:val="002C3B2B"/>
    <w:rsid w:val="002C44CA"/>
    <w:rsid w:val="002C461C"/>
    <w:rsid w:val="002C4A55"/>
    <w:rsid w:val="002C514F"/>
    <w:rsid w:val="002C5B25"/>
    <w:rsid w:val="002C5BD4"/>
    <w:rsid w:val="002C5C4D"/>
    <w:rsid w:val="002C679B"/>
    <w:rsid w:val="002C7217"/>
    <w:rsid w:val="002C77E3"/>
    <w:rsid w:val="002C786A"/>
    <w:rsid w:val="002C79CF"/>
    <w:rsid w:val="002C7AA5"/>
    <w:rsid w:val="002C7E0A"/>
    <w:rsid w:val="002C7E19"/>
    <w:rsid w:val="002D03F3"/>
    <w:rsid w:val="002D05A4"/>
    <w:rsid w:val="002D0B8F"/>
    <w:rsid w:val="002D1219"/>
    <w:rsid w:val="002D195A"/>
    <w:rsid w:val="002D1C47"/>
    <w:rsid w:val="002D1F8C"/>
    <w:rsid w:val="002D2178"/>
    <w:rsid w:val="002D2C14"/>
    <w:rsid w:val="002D349B"/>
    <w:rsid w:val="002D3642"/>
    <w:rsid w:val="002D36B2"/>
    <w:rsid w:val="002D3880"/>
    <w:rsid w:val="002D39D7"/>
    <w:rsid w:val="002D47B5"/>
    <w:rsid w:val="002D4CD7"/>
    <w:rsid w:val="002D5149"/>
    <w:rsid w:val="002D60EC"/>
    <w:rsid w:val="002D62B4"/>
    <w:rsid w:val="002D630A"/>
    <w:rsid w:val="002D6567"/>
    <w:rsid w:val="002D694D"/>
    <w:rsid w:val="002D72FD"/>
    <w:rsid w:val="002D74E0"/>
    <w:rsid w:val="002D77AE"/>
    <w:rsid w:val="002D7882"/>
    <w:rsid w:val="002D7926"/>
    <w:rsid w:val="002E0BA8"/>
    <w:rsid w:val="002E0E50"/>
    <w:rsid w:val="002E199D"/>
    <w:rsid w:val="002E1BC4"/>
    <w:rsid w:val="002E2A44"/>
    <w:rsid w:val="002E2AA4"/>
    <w:rsid w:val="002E369C"/>
    <w:rsid w:val="002E3C4A"/>
    <w:rsid w:val="002E4363"/>
    <w:rsid w:val="002E456B"/>
    <w:rsid w:val="002E4B0D"/>
    <w:rsid w:val="002E50BB"/>
    <w:rsid w:val="002E5131"/>
    <w:rsid w:val="002E5607"/>
    <w:rsid w:val="002E6270"/>
    <w:rsid w:val="002E6327"/>
    <w:rsid w:val="002E6726"/>
    <w:rsid w:val="002E6AF0"/>
    <w:rsid w:val="002E6D87"/>
    <w:rsid w:val="002E6DBE"/>
    <w:rsid w:val="002E6E35"/>
    <w:rsid w:val="002E7155"/>
    <w:rsid w:val="002E7270"/>
    <w:rsid w:val="002E7ACE"/>
    <w:rsid w:val="002F0821"/>
    <w:rsid w:val="002F0B27"/>
    <w:rsid w:val="002F153D"/>
    <w:rsid w:val="002F1618"/>
    <w:rsid w:val="002F17B5"/>
    <w:rsid w:val="002F17DD"/>
    <w:rsid w:val="002F1BD3"/>
    <w:rsid w:val="002F1C22"/>
    <w:rsid w:val="002F2073"/>
    <w:rsid w:val="002F21B1"/>
    <w:rsid w:val="002F21D2"/>
    <w:rsid w:val="002F22C3"/>
    <w:rsid w:val="002F23BB"/>
    <w:rsid w:val="002F29E6"/>
    <w:rsid w:val="002F2BC4"/>
    <w:rsid w:val="002F2C02"/>
    <w:rsid w:val="002F3514"/>
    <w:rsid w:val="002F3A8F"/>
    <w:rsid w:val="002F3F34"/>
    <w:rsid w:val="002F40A3"/>
    <w:rsid w:val="002F4442"/>
    <w:rsid w:val="002F4760"/>
    <w:rsid w:val="002F522D"/>
    <w:rsid w:val="002F5459"/>
    <w:rsid w:val="002F59F7"/>
    <w:rsid w:val="002F6150"/>
    <w:rsid w:val="002F6274"/>
    <w:rsid w:val="0030053B"/>
    <w:rsid w:val="00300C7F"/>
    <w:rsid w:val="00301092"/>
    <w:rsid w:val="0030189D"/>
    <w:rsid w:val="003018E4"/>
    <w:rsid w:val="00301BF3"/>
    <w:rsid w:val="0030234B"/>
    <w:rsid w:val="0030242F"/>
    <w:rsid w:val="003029F9"/>
    <w:rsid w:val="00302A42"/>
    <w:rsid w:val="00302D31"/>
    <w:rsid w:val="00302EA6"/>
    <w:rsid w:val="00302F40"/>
    <w:rsid w:val="00303071"/>
    <w:rsid w:val="003038F8"/>
    <w:rsid w:val="00303C03"/>
    <w:rsid w:val="00304DF1"/>
    <w:rsid w:val="00305342"/>
    <w:rsid w:val="003053D4"/>
    <w:rsid w:val="003054F8"/>
    <w:rsid w:val="00305768"/>
    <w:rsid w:val="003058E3"/>
    <w:rsid w:val="00305FAC"/>
    <w:rsid w:val="00307B3F"/>
    <w:rsid w:val="00307EF6"/>
    <w:rsid w:val="003108EB"/>
    <w:rsid w:val="00310EC3"/>
    <w:rsid w:val="00311320"/>
    <w:rsid w:val="00311348"/>
    <w:rsid w:val="00311416"/>
    <w:rsid w:val="00311952"/>
    <w:rsid w:val="0031247C"/>
    <w:rsid w:val="0031249D"/>
    <w:rsid w:val="003128AB"/>
    <w:rsid w:val="003129D1"/>
    <w:rsid w:val="00312C75"/>
    <w:rsid w:val="0031308F"/>
    <w:rsid w:val="00313868"/>
    <w:rsid w:val="00314990"/>
    <w:rsid w:val="00314A41"/>
    <w:rsid w:val="00314E4F"/>
    <w:rsid w:val="00315016"/>
    <w:rsid w:val="003151B5"/>
    <w:rsid w:val="00315D61"/>
    <w:rsid w:val="00315E65"/>
    <w:rsid w:val="00316319"/>
    <w:rsid w:val="00316BC6"/>
    <w:rsid w:val="00317302"/>
    <w:rsid w:val="003173B1"/>
    <w:rsid w:val="003177BE"/>
    <w:rsid w:val="00317CF5"/>
    <w:rsid w:val="00320603"/>
    <w:rsid w:val="003213E6"/>
    <w:rsid w:val="0032190A"/>
    <w:rsid w:val="00322045"/>
    <w:rsid w:val="003223EF"/>
    <w:rsid w:val="00322688"/>
    <w:rsid w:val="0032284A"/>
    <w:rsid w:val="00323493"/>
    <w:rsid w:val="00323733"/>
    <w:rsid w:val="003238E6"/>
    <w:rsid w:val="00323A3A"/>
    <w:rsid w:val="003243ED"/>
    <w:rsid w:val="00324440"/>
    <w:rsid w:val="00324469"/>
    <w:rsid w:val="0032459E"/>
    <w:rsid w:val="003245C8"/>
    <w:rsid w:val="003249E2"/>
    <w:rsid w:val="00324CAC"/>
    <w:rsid w:val="00324CD2"/>
    <w:rsid w:val="00325069"/>
    <w:rsid w:val="00325B1E"/>
    <w:rsid w:val="00326055"/>
    <w:rsid w:val="00326074"/>
    <w:rsid w:val="00326451"/>
    <w:rsid w:val="00326579"/>
    <w:rsid w:val="00326C8F"/>
    <w:rsid w:val="00327358"/>
    <w:rsid w:val="00327428"/>
    <w:rsid w:val="00327AD9"/>
    <w:rsid w:val="00327BE2"/>
    <w:rsid w:val="00327E42"/>
    <w:rsid w:val="00330025"/>
    <w:rsid w:val="00330776"/>
    <w:rsid w:val="00330886"/>
    <w:rsid w:val="00330D97"/>
    <w:rsid w:val="00330E25"/>
    <w:rsid w:val="003319CE"/>
    <w:rsid w:val="003323D7"/>
    <w:rsid w:val="00332524"/>
    <w:rsid w:val="00332A0F"/>
    <w:rsid w:val="00332B4E"/>
    <w:rsid w:val="00332BB5"/>
    <w:rsid w:val="00332E43"/>
    <w:rsid w:val="00332EA3"/>
    <w:rsid w:val="00332F50"/>
    <w:rsid w:val="00333145"/>
    <w:rsid w:val="00333AC7"/>
    <w:rsid w:val="00333F59"/>
    <w:rsid w:val="003341F4"/>
    <w:rsid w:val="00334B93"/>
    <w:rsid w:val="003354D2"/>
    <w:rsid w:val="003354F9"/>
    <w:rsid w:val="00335699"/>
    <w:rsid w:val="00335C27"/>
    <w:rsid w:val="00336564"/>
    <w:rsid w:val="0033685E"/>
    <w:rsid w:val="00336A9B"/>
    <w:rsid w:val="00336DE1"/>
    <w:rsid w:val="003377C6"/>
    <w:rsid w:val="00337E49"/>
    <w:rsid w:val="00337E55"/>
    <w:rsid w:val="0034006E"/>
    <w:rsid w:val="0034038E"/>
    <w:rsid w:val="0034060D"/>
    <w:rsid w:val="00340E83"/>
    <w:rsid w:val="0034102B"/>
    <w:rsid w:val="003412F1"/>
    <w:rsid w:val="00341759"/>
    <w:rsid w:val="00341E1B"/>
    <w:rsid w:val="00342373"/>
    <w:rsid w:val="00342C6F"/>
    <w:rsid w:val="00343627"/>
    <w:rsid w:val="0034379F"/>
    <w:rsid w:val="00343B65"/>
    <w:rsid w:val="00343B7B"/>
    <w:rsid w:val="00344C4C"/>
    <w:rsid w:val="0034640F"/>
    <w:rsid w:val="003469FC"/>
    <w:rsid w:val="0034708A"/>
    <w:rsid w:val="00347E3D"/>
    <w:rsid w:val="00350210"/>
    <w:rsid w:val="003511C5"/>
    <w:rsid w:val="00351707"/>
    <w:rsid w:val="003518AE"/>
    <w:rsid w:val="00351DEE"/>
    <w:rsid w:val="00351EA8"/>
    <w:rsid w:val="00352279"/>
    <w:rsid w:val="0035242E"/>
    <w:rsid w:val="0035320E"/>
    <w:rsid w:val="003533F4"/>
    <w:rsid w:val="00353881"/>
    <w:rsid w:val="00353CA2"/>
    <w:rsid w:val="003548AB"/>
    <w:rsid w:val="00354951"/>
    <w:rsid w:val="003549C5"/>
    <w:rsid w:val="003557CE"/>
    <w:rsid w:val="00355C03"/>
    <w:rsid w:val="00355CDE"/>
    <w:rsid w:val="0035667D"/>
    <w:rsid w:val="00357048"/>
    <w:rsid w:val="003570FE"/>
    <w:rsid w:val="003571BF"/>
    <w:rsid w:val="003600A1"/>
    <w:rsid w:val="00360284"/>
    <w:rsid w:val="00360360"/>
    <w:rsid w:val="00360CB1"/>
    <w:rsid w:val="00361118"/>
    <w:rsid w:val="00361A73"/>
    <w:rsid w:val="00361BCB"/>
    <w:rsid w:val="00362041"/>
    <w:rsid w:val="0036375A"/>
    <w:rsid w:val="00363E4C"/>
    <w:rsid w:val="00364099"/>
    <w:rsid w:val="0036462B"/>
    <w:rsid w:val="0036618A"/>
    <w:rsid w:val="00366551"/>
    <w:rsid w:val="00366685"/>
    <w:rsid w:val="00366767"/>
    <w:rsid w:val="00366935"/>
    <w:rsid w:val="00366BE5"/>
    <w:rsid w:val="00367278"/>
    <w:rsid w:val="003676C2"/>
    <w:rsid w:val="00367838"/>
    <w:rsid w:val="00367F12"/>
    <w:rsid w:val="00370616"/>
    <w:rsid w:val="00371316"/>
    <w:rsid w:val="003714D3"/>
    <w:rsid w:val="003716C0"/>
    <w:rsid w:val="00371CCD"/>
    <w:rsid w:val="0037258A"/>
    <w:rsid w:val="00372F94"/>
    <w:rsid w:val="003731D9"/>
    <w:rsid w:val="00373F18"/>
    <w:rsid w:val="003741F5"/>
    <w:rsid w:val="00374FF8"/>
    <w:rsid w:val="00375099"/>
    <w:rsid w:val="00375A54"/>
    <w:rsid w:val="00375FA2"/>
    <w:rsid w:val="00376DD0"/>
    <w:rsid w:val="00377117"/>
    <w:rsid w:val="00377398"/>
    <w:rsid w:val="003775C5"/>
    <w:rsid w:val="00377BC9"/>
    <w:rsid w:val="00380224"/>
    <w:rsid w:val="00380710"/>
    <w:rsid w:val="003807AE"/>
    <w:rsid w:val="00380CC1"/>
    <w:rsid w:val="003810EF"/>
    <w:rsid w:val="00381BC5"/>
    <w:rsid w:val="0038205B"/>
    <w:rsid w:val="003820EC"/>
    <w:rsid w:val="0038239B"/>
    <w:rsid w:val="00382E5F"/>
    <w:rsid w:val="00383369"/>
    <w:rsid w:val="00383684"/>
    <w:rsid w:val="003837FB"/>
    <w:rsid w:val="003838DA"/>
    <w:rsid w:val="00383FBF"/>
    <w:rsid w:val="003847A8"/>
    <w:rsid w:val="00384DF1"/>
    <w:rsid w:val="0038661A"/>
    <w:rsid w:val="00386D8E"/>
    <w:rsid w:val="0038783B"/>
    <w:rsid w:val="00390A9B"/>
    <w:rsid w:val="00391A4C"/>
    <w:rsid w:val="00391A5D"/>
    <w:rsid w:val="00391B24"/>
    <w:rsid w:val="00391DE4"/>
    <w:rsid w:val="0039226A"/>
    <w:rsid w:val="00392A76"/>
    <w:rsid w:val="00393193"/>
    <w:rsid w:val="0039342E"/>
    <w:rsid w:val="00393737"/>
    <w:rsid w:val="00394265"/>
    <w:rsid w:val="00394371"/>
    <w:rsid w:val="00394A5E"/>
    <w:rsid w:val="00394FFF"/>
    <w:rsid w:val="0039523E"/>
    <w:rsid w:val="0039527F"/>
    <w:rsid w:val="003952A5"/>
    <w:rsid w:val="00395378"/>
    <w:rsid w:val="003956CB"/>
    <w:rsid w:val="00396254"/>
    <w:rsid w:val="00396C58"/>
    <w:rsid w:val="00396E3D"/>
    <w:rsid w:val="00396E41"/>
    <w:rsid w:val="003973C1"/>
    <w:rsid w:val="003975B9"/>
    <w:rsid w:val="00397DFD"/>
    <w:rsid w:val="003A02CF"/>
    <w:rsid w:val="003A0363"/>
    <w:rsid w:val="003A046B"/>
    <w:rsid w:val="003A0C11"/>
    <w:rsid w:val="003A0EC1"/>
    <w:rsid w:val="003A0F89"/>
    <w:rsid w:val="003A1107"/>
    <w:rsid w:val="003A1F08"/>
    <w:rsid w:val="003A2B13"/>
    <w:rsid w:val="003A2DA1"/>
    <w:rsid w:val="003A3456"/>
    <w:rsid w:val="003A3A56"/>
    <w:rsid w:val="003A3E59"/>
    <w:rsid w:val="003A436D"/>
    <w:rsid w:val="003A4492"/>
    <w:rsid w:val="003A4E0F"/>
    <w:rsid w:val="003A544E"/>
    <w:rsid w:val="003A5515"/>
    <w:rsid w:val="003A66B7"/>
    <w:rsid w:val="003A6BD3"/>
    <w:rsid w:val="003A708A"/>
    <w:rsid w:val="003A7598"/>
    <w:rsid w:val="003A75F5"/>
    <w:rsid w:val="003A7CCE"/>
    <w:rsid w:val="003B05A8"/>
    <w:rsid w:val="003B099F"/>
    <w:rsid w:val="003B0BEB"/>
    <w:rsid w:val="003B0FE7"/>
    <w:rsid w:val="003B1185"/>
    <w:rsid w:val="003B1D0C"/>
    <w:rsid w:val="003B1FEC"/>
    <w:rsid w:val="003B22FF"/>
    <w:rsid w:val="003B25FB"/>
    <w:rsid w:val="003B445B"/>
    <w:rsid w:val="003B4DFC"/>
    <w:rsid w:val="003B5748"/>
    <w:rsid w:val="003B5B29"/>
    <w:rsid w:val="003B6642"/>
    <w:rsid w:val="003B6F1C"/>
    <w:rsid w:val="003B7BD3"/>
    <w:rsid w:val="003C0047"/>
    <w:rsid w:val="003C0186"/>
    <w:rsid w:val="003C023E"/>
    <w:rsid w:val="003C0462"/>
    <w:rsid w:val="003C0C66"/>
    <w:rsid w:val="003C0F79"/>
    <w:rsid w:val="003C11FF"/>
    <w:rsid w:val="003C1848"/>
    <w:rsid w:val="003C2344"/>
    <w:rsid w:val="003C27E0"/>
    <w:rsid w:val="003C2CBB"/>
    <w:rsid w:val="003C30B2"/>
    <w:rsid w:val="003C3361"/>
    <w:rsid w:val="003C3461"/>
    <w:rsid w:val="003C4445"/>
    <w:rsid w:val="003C45CC"/>
    <w:rsid w:val="003C45DF"/>
    <w:rsid w:val="003C4897"/>
    <w:rsid w:val="003C4F38"/>
    <w:rsid w:val="003C4FA5"/>
    <w:rsid w:val="003C50AC"/>
    <w:rsid w:val="003C54E3"/>
    <w:rsid w:val="003C5659"/>
    <w:rsid w:val="003C568F"/>
    <w:rsid w:val="003C577C"/>
    <w:rsid w:val="003C583E"/>
    <w:rsid w:val="003C592F"/>
    <w:rsid w:val="003C5D0F"/>
    <w:rsid w:val="003C6234"/>
    <w:rsid w:val="003C62C4"/>
    <w:rsid w:val="003C636F"/>
    <w:rsid w:val="003C63D3"/>
    <w:rsid w:val="003C7D02"/>
    <w:rsid w:val="003C7D9B"/>
    <w:rsid w:val="003D00BF"/>
    <w:rsid w:val="003D02B2"/>
    <w:rsid w:val="003D0331"/>
    <w:rsid w:val="003D1265"/>
    <w:rsid w:val="003D16FE"/>
    <w:rsid w:val="003D23D2"/>
    <w:rsid w:val="003D26DC"/>
    <w:rsid w:val="003D3123"/>
    <w:rsid w:val="003D36C3"/>
    <w:rsid w:val="003D3C28"/>
    <w:rsid w:val="003D44B9"/>
    <w:rsid w:val="003D484A"/>
    <w:rsid w:val="003D5369"/>
    <w:rsid w:val="003D624D"/>
    <w:rsid w:val="003D6701"/>
    <w:rsid w:val="003D68E0"/>
    <w:rsid w:val="003D6A1A"/>
    <w:rsid w:val="003D6ABE"/>
    <w:rsid w:val="003D786F"/>
    <w:rsid w:val="003E03B7"/>
    <w:rsid w:val="003E0757"/>
    <w:rsid w:val="003E07C8"/>
    <w:rsid w:val="003E191D"/>
    <w:rsid w:val="003E1D2D"/>
    <w:rsid w:val="003E22D6"/>
    <w:rsid w:val="003E26A5"/>
    <w:rsid w:val="003E4484"/>
    <w:rsid w:val="003E4629"/>
    <w:rsid w:val="003E5566"/>
    <w:rsid w:val="003E570B"/>
    <w:rsid w:val="003E57ED"/>
    <w:rsid w:val="003E58D4"/>
    <w:rsid w:val="003E606B"/>
    <w:rsid w:val="003E626D"/>
    <w:rsid w:val="003E62A8"/>
    <w:rsid w:val="003E6916"/>
    <w:rsid w:val="003E6A04"/>
    <w:rsid w:val="003E6B4B"/>
    <w:rsid w:val="003E6DC1"/>
    <w:rsid w:val="003E7000"/>
    <w:rsid w:val="003E7118"/>
    <w:rsid w:val="003E7B1A"/>
    <w:rsid w:val="003E7B53"/>
    <w:rsid w:val="003E7CDA"/>
    <w:rsid w:val="003F06E4"/>
    <w:rsid w:val="003F1290"/>
    <w:rsid w:val="003F1465"/>
    <w:rsid w:val="003F1985"/>
    <w:rsid w:val="003F20FB"/>
    <w:rsid w:val="003F3105"/>
    <w:rsid w:val="003F3DD7"/>
    <w:rsid w:val="003F4545"/>
    <w:rsid w:val="003F46CE"/>
    <w:rsid w:val="003F5252"/>
    <w:rsid w:val="003F5DC3"/>
    <w:rsid w:val="003F7068"/>
    <w:rsid w:val="003F7DF3"/>
    <w:rsid w:val="00400345"/>
    <w:rsid w:val="0040070E"/>
    <w:rsid w:val="00400FBE"/>
    <w:rsid w:val="0040103E"/>
    <w:rsid w:val="004010D2"/>
    <w:rsid w:val="0040149B"/>
    <w:rsid w:val="00401635"/>
    <w:rsid w:val="004017A2"/>
    <w:rsid w:val="00401BB6"/>
    <w:rsid w:val="004026FB"/>
    <w:rsid w:val="00402B89"/>
    <w:rsid w:val="00402C5C"/>
    <w:rsid w:val="004038D6"/>
    <w:rsid w:val="0040448A"/>
    <w:rsid w:val="00404B4D"/>
    <w:rsid w:val="00405250"/>
    <w:rsid w:val="004059E3"/>
    <w:rsid w:val="00405FDF"/>
    <w:rsid w:val="00406929"/>
    <w:rsid w:val="00407B2F"/>
    <w:rsid w:val="0041019E"/>
    <w:rsid w:val="00410AFD"/>
    <w:rsid w:val="004119E5"/>
    <w:rsid w:val="00411D26"/>
    <w:rsid w:val="00412BA9"/>
    <w:rsid w:val="004131E4"/>
    <w:rsid w:val="0041346C"/>
    <w:rsid w:val="004145C1"/>
    <w:rsid w:val="00414E74"/>
    <w:rsid w:val="004154F5"/>
    <w:rsid w:val="004157F9"/>
    <w:rsid w:val="00415D85"/>
    <w:rsid w:val="004163D1"/>
    <w:rsid w:val="004164D8"/>
    <w:rsid w:val="00416F0C"/>
    <w:rsid w:val="00416F61"/>
    <w:rsid w:val="004170B9"/>
    <w:rsid w:val="00417A42"/>
    <w:rsid w:val="00417CFC"/>
    <w:rsid w:val="00417E1E"/>
    <w:rsid w:val="0042047D"/>
    <w:rsid w:val="00420BF5"/>
    <w:rsid w:val="00420C1A"/>
    <w:rsid w:val="00420DA3"/>
    <w:rsid w:val="00420EFD"/>
    <w:rsid w:val="00422378"/>
    <w:rsid w:val="00422951"/>
    <w:rsid w:val="004246E2"/>
    <w:rsid w:val="00425959"/>
    <w:rsid w:val="00425A3E"/>
    <w:rsid w:val="00425A76"/>
    <w:rsid w:val="00425B2B"/>
    <w:rsid w:val="00425D30"/>
    <w:rsid w:val="00426ECF"/>
    <w:rsid w:val="004273A9"/>
    <w:rsid w:val="0042758F"/>
    <w:rsid w:val="004277E7"/>
    <w:rsid w:val="00427A08"/>
    <w:rsid w:val="00427A7C"/>
    <w:rsid w:val="0043122B"/>
    <w:rsid w:val="0043154A"/>
    <w:rsid w:val="0043171D"/>
    <w:rsid w:val="004321CE"/>
    <w:rsid w:val="004337CF"/>
    <w:rsid w:val="00433A2F"/>
    <w:rsid w:val="00433F0D"/>
    <w:rsid w:val="00434109"/>
    <w:rsid w:val="00435627"/>
    <w:rsid w:val="0043564E"/>
    <w:rsid w:val="0043599E"/>
    <w:rsid w:val="00436814"/>
    <w:rsid w:val="00436845"/>
    <w:rsid w:val="0043687A"/>
    <w:rsid w:val="00436CDB"/>
    <w:rsid w:val="00436D73"/>
    <w:rsid w:val="00436E8A"/>
    <w:rsid w:val="004373A5"/>
    <w:rsid w:val="004378CD"/>
    <w:rsid w:val="0044084B"/>
    <w:rsid w:val="0044099F"/>
    <w:rsid w:val="004409FC"/>
    <w:rsid w:val="00440D80"/>
    <w:rsid w:val="00440FC0"/>
    <w:rsid w:val="0044160F"/>
    <w:rsid w:val="00441B31"/>
    <w:rsid w:val="00441C24"/>
    <w:rsid w:val="0044236F"/>
    <w:rsid w:val="00442838"/>
    <w:rsid w:val="004428CD"/>
    <w:rsid w:val="004432E3"/>
    <w:rsid w:val="004437AD"/>
    <w:rsid w:val="00445D50"/>
    <w:rsid w:val="004463A5"/>
    <w:rsid w:val="004466C2"/>
    <w:rsid w:val="00446758"/>
    <w:rsid w:val="0044683D"/>
    <w:rsid w:val="00447E7B"/>
    <w:rsid w:val="00451100"/>
    <w:rsid w:val="004512F6"/>
    <w:rsid w:val="00451371"/>
    <w:rsid w:val="004525E4"/>
    <w:rsid w:val="0045283A"/>
    <w:rsid w:val="00453136"/>
    <w:rsid w:val="00454782"/>
    <w:rsid w:val="0045493E"/>
    <w:rsid w:val="0045505D"/>
    <w:rsid w:val="0045519F"/>
    <w:rsid w:val="004567AD"/>
    <w:rsid w:val="004568A9"/>
    <w:rsid w:val="00456CDA"/>
    <w:rsid w:val="004577F1"/>
    <w:rsid w:val="00457CF3"/>
    <w:rsid w:val="00457DE8"/>
    <w:rsid w:val="004608B9"/>
    <w:rsid w:val="00460B84"/>
    <w:rsid w:val="00460E58"/>
    <w:rsid w:val="00461044"/>
    <w:rsid w:val="00461A63"/>
    <w:rsid w:val="00461C9B"/>
    <w:rsid w:val="00462DFE"/>
    <w:rsid w:val="004630DB"/>
    <w:rsid w:val="00463107"/>
    <w:rsid w:val="0046333C"/>
    <w:rsid w:val="00463915"/>
    <w:rsid w:val="00463B3A"/>
    <w:rsid w:val="00463B5F"/>
    <w:rsid w:val="00464265"/>
    <w:rsid w:val="00464FA7"/>
    <w:rsid w:val="00465402"/>
    <w:rsid w:val="00465A50"/>
    <w:rsid w:val="004665EF"/>
    <w:rsid w:val="00466629"/>
    <w:rsid w:val="00466A0E"/>
    <w:rsid w:val="00466B06"/>
    <w:rsid w:val="00466B8F"/>
    <w:rsid w:val="00466D65"/>
    <w:rsid w:val="00466FC4"/>
    <w:rsid w:val="0046790B"/>
    <w:rsid w:val="00467B57"/>
    <w:rsid w:val="00467E57"/>
    <w:rsid w:val="004703F8"/>
    <w:rsid w:val="00470D4D"/>
    <w:rsid w:val="00470FA0"/>
    <w:rsid w:val="0047197D"/>
    <w:rsid w:val="00471E1B"/>
    <w:rsid w:val="0047294B"/>
    <w:rsid w:val="00472C24"/>
    <w:rsid w:val="00472E79"/>
    <w:rsid w:val="00472EF3"/>
    <w:rsid w:val="0047330E"/>
    <w:rsid w:val="0047331F"/>
    <w:rsid w:val="00473393"/>
    <w:rsid w:val="004739BE"/>
    <w:rsid w:val="00473D5A"/>
    <w:rsid w:val="00474208"/>
    <w:rsid w:val="00474F57"/>
    <w:rsid w:val="004751CE"/>
    <w:rsid w:val="0047558F"/>
    <w:rsid w:val="00475D24"/>
    <w:rsid w:val="004761AA"/>
    <w:rsid w:val="004766DF"/>
    <w:rsid w:val="00476E15"/>
    <w:rsid w:val="004770B2"/>
    <w:rsid w:val="00477B9D"/>
    <w:rsid w:val="004803A9"/>
    <w:rsid w:val="00480626"/>
    <w:rsid w:val="00480AF8"/>
    <w:rsid w:val="00481050"/>
    <w:rsid w:val="0048108A"/>
    <w:rsid w:val="004813CF"/>
    <w:rsid w:val="004815BD"/>
    <w:rsid w:val="00481BD7"/>
    <w:rsid w:val="00481E9D"/>
    <w:rsid w:val="004822CC"/>
    <w:rsid w:val="0048238A"/>
    <w:rsid w:val="0048299B"/>
    <w:rsid w:val="00482A8D"/>
    <w:rsid w:val="00482BA0"/>
    <w:rsid w:val="004836D0"/>
    <w:rsid w:val="004838B4"/>
    <w:rsid w:val="00483B13"/>
    <w:rsid w:val="00484331"/>
    <w:rsid w:val="00484B94"/>
    <w:rsid w:val="0048539A"/>
    <w:rsid w:val="00485D0B"/>
    <w:rsid w:val="00486635"/>
    <w:rsid w:val="004867A3"/>
    <w:rsid w:val="00486C52"/>
    <w:rsid w:val="00487400"/>
    <w:rsid w:val="0048740D"/>
    <w:rsid w:val="00487676"/>
    <w:rsid w:val="004877E8"/>
    <w:rsid w:val="0048790D"/>
    <w:rsid w:val="0049083E"/>
    <w:rsid w:val="004913CD"/>
    <w:rsid w:val="00491EF6"/>
    <w:rsid w:val="004925A4"/>
    <w:rsid w:val="0049291C"/>
    <w:rsid w:val="00492AEA"/>
    <w:rsid w:val="004930CC"/>
    <w:rsid w:val="0049366C"/>
    <w:rsid w:val="00494122"/>
    <w:rsid w:val="004946F2"/>
    <w:rsid w:val="00494B6A"/>
    <w:rsid w:val="004951F7"/>
    <w:rsid w:val="00495821"/>
    <w:rsid w:val="00496BB3"/>
    <w:rsid w:val="00496FD7"/>
    <w:rsid w:val="0049745C"/>
    <w:rsid w:val="00497829"/>
    <w:rsid w:val="004979F7"/>
    <w:rsid w:val="00497BFE"/>
    <w:rsid w:val="004A0952"/>
    <w:rsid w:val="004A1D24"/>
    <w:rsid w:val="004A268E"/>
    <w:rsid w:val="004A2BC2"/>
    <w:rsid w:val="004A2FBC"/>
    <w:rsid w:val="004A325C"/>
    <w:rsid w:val="004A37A3"/>
    <w:rsid w:val="004A3853"/>
    <w:rsid w:val="004A4822"/>
    <w:rsid w:val="004A596A"/>
    <w:rsid w:val="004A5ABD"/>
    <w:rsid w:val="004A6583"/>
    <w:rsid w:val="004A6C45"/>
    <w:rsid w:val="004B023E"/>
    <w:rsid w:val="004B0263"/>
    <w:rsid w:val="004B0BFD"/>
    <w:rsid w:val="004B0FEE"/>
    <w:rsid w:val="004B112B"/>
    <w:rsid w:val="004B1926"/>
    <w:rsid w:val="004B1CA5"/>
    <w:rsid w:val="004B2A90"/>
    <w:rsid w:val="004B3096"/>
    <w:rsid w:val="004B34AF"/>
    <w:rsid w:val="004B3573"/>
    <w:rsid w:val="004B4DF1"/>
    <w:rsid w:val="004B5155"/>
    <w:rsid w:val="004B5CA0"/>
    <w:rsid w:val="004B5E06"/>
    <w:rsid w:val="004B613F"/>
    <w:rsid w:val="004B6350"/>
    <w:rsid w:val="004B7C33"/>
    <w:rsid w:val="004B7FF1"/>
    <w:rsid w:val="004C02F7"/>
    <w:rsid w:val="004C1867"/>
    <w:rsid w:val="004C19CF"/>
    <w:rsid w:val="004C214B"/>
    <w:rsid w:val="004C2318"/>
    <w:rsid w:val="004C285B"/>
    <w:rsid w:val="004C2F99"/>
    <w:rsid w:val="004C3402"/>
    <w:rsid w:val="004C4267"/>
    <w:rsid w:val="004C4636"/>
    <w:rsid w:val="004C496C"/>
    <w:rsid w:val="004C5BCF"/>
    <w:rsid w:val="004C5CE1"/>
    <w:rsid w:val="004C64AF"/>
    <w:rsid w:val="004C6A65"/>
    <w:rsid w:val="004C6F51"/>
    <w:rsid w:val="004C70C9"/>
    <w:rsid w:val="004C7204"/>
    <w:rsid w:val="004C7FDF"/>
    <w:rsid w:val="004D01E2"/>
    <w:rsid w:val="004D0284"/>
    <w:rsid w:val="004D045E"/>
    <w:rsid w:val="004D08F2"/>
    <w:rsid w:val="004D2199"/>
    <w:rsid w:val="004D2271"/>
    <w:rsid w:val="004D2305"/>
    <w:rsid w:val="004D2B17"/>
    <w:rsid w:val="004D2B64"/>
    <w:rsid w:val="004D2D89"/>
    <w:rsid w:val="004D327D"/>
    <w:rsid w:val="004D383F"/>
    <w:rsid w:val="004D38BD"/>
    <w:rsid w:val="004D39F2"/>
    <w:rsid w:val="004D4036"/>
    <w:rsid w:val="004D413E"/>
    <w:rsid w:val="004D4CDA"/>
    <w:rsid w:val="004D55FA"/>
    <w:rsid w:val="004D64D0"/>
    <w:rsid w:val="004D6B4F"/>
    <w:rsid w:val="004D6C32"/>
    <w:rsid w:val="004D6F93"/>
    <w:rsid w:val="004D757A"/>
    <w:rsid w:val="004D7B25"/>
    <w:rsid w:val="004E0478"/>
    <w:rsid w:val="004E0563"/>
    <w:rsid w:val="004E0568"/>
    <w:rsid w:val="004E0CFD"/>
    <w:rsid w:val="004E0DDE"/>
    <w:rsid w:val="004E0E5D"/>
    <w:rsid w:val="004E11B8"/>
    <w:rsid w:val="004E12E4"/>
    <w:rsid w:val="004E17C6"/>
    <w:rsid w:val="004E1B22"/>
    <w:rsid w:val="004E20B3"/>
    <w:rsid w:val="004E2707"/>
    <w:rsid w:val="004E2911"/>
    <w:rsid w:val="004E3175"/>
    <w:rsid w:val="004E3310"/>
    <w:rsid w:val="004E36B9"/>
    <w:rsid w:val="004E381D"/>
    <w:rsid w:val="004E3869"/>
    <w:rsid w:val="004E3CBA"/>
    <w:rsid w:val="004E4085"/>
    <w:rsid w:val="004E4C71"/>
    <w:rsid w:val="004E4E54"/>
    <w:rsid w:val="004E4F8D"/>
    <w:rsid w:val="004E5214"/>
    <w:rsid w:val="004E5334"/>
    <w:rsid w:val="004E5B63"/>
    <w:rsid w:val="004E5F10"/>
    <w:rsid w:val="004E5F87"/>
    <w:rsid w:val="004E60E8"/>
    <w:rsid w:val="004E6139"/>
    <w:rsid w:val="004E614B"/>
    <w:rsid w:val="004E65A0"/>
    <w:rsid w:val="004E7485"/>
    <w:rsid w:val="004E7863"/>
    <w:rsid w:val="004E7B7F"/>
    <w:rsid w:val="004F05F5"/>
    <w:rsid w:val="004F08B8"/>
    <w:rsid w:val="004F0A38"/>
    <w:rsid w:val="004F0BBA"/>
    <w:rsid w:val="004F20D2"/>
    <w:rsid w:val="004F20F3"/>
    <w:rsid w:val="004F25C8"/>
    <w:rsid w:val="004F2FCD"/>
    <w:rsid w:val="004F3190"/>
    <w:rsid w:val="004F3316"/>
    <w:rsid w:val="004F3A5E"/>
    <w:rsid w:val="004F41B8"/>
    <w:rsid w:val="004F422F"/>
    <w:rsid w:val="004F43F9"/>
    <w:rsid w:val="004F4445"/>
    <w:rsid w:val="004F4858"/>
    <w:rsid w:val="004F4D4C"/>
    <w:rsid w:val="004F5A1D"/>
    <w:rsid w:val="004F5C41"/>
    <w:rsid w:val="004F5CDB"/>
    <w:rsid w:val="004F5E19"/>
    <w:rsid w:val="004F6042"/>
    <w:rsid w:val="004F6200"/>
    <w:rsid w:val="004F6952"/>
    <w:rsid w:val="004F6EA1"/>
    <w:rsid w:val="005001F2"/>
    <w:rsid w:val="00500B46"/>
    <w:rsid w:val="00500B85"/>
    <w:rsid w:val="00501936"/>
    <w:rsid w:val="00501DD6"/>
    <w:rsid w:val="00501FC5"/>
    <w:rsid w:val="00502071"/>
    <w:rsid w:val="005020CD"/>
    <w:rsid w:val="00502415"/>
    <w:rsid w:val="0050317D"/>
    <w:rsid w:val="00503182"/>
    <w:rsid w:val="005032FF"/>
    <w:rsid w:val="00503945"/>
    <w:rsid w:val="00503C84"/>
    <w:rsid w:val="00503E82"/>
    <w:rsid w:val="00503F6F"/>
    <w:rsid w:val="00504624"/>
    <w:rsid w:val="00504679"/>
    <w:rsid w:val="00504739"/>
    <w:rsid w:val="00504E70"/>
    <w:rsid w:val="00504E7C"/>
    <w:rsid w:val="005051FE"/>
    <w:rsid w:val="005054EC"/>
    <w:rsid w:val="0050618D"/>
    <w:rsid w:val="00506820"/>
    <w:rsid w:val="005068AF"/>
    <w:rsid w:val="00507C12"/>
    <w:rsid w:val="005111C8"/>
    <w:rsid w:val="00511401"/>
    <w:rsid w:val="00511757"/>
    <w:rsid w:val="0051243C"/>
    <w:rsid w:val="00512B4A"/>
    <w:rsid w:val="00512F06"/>
    <w:rsid w:val="00513038"/>
    <w:rsid w:val="005130FA"/>
    <w:rsid w:val="00513379"/>
    <w:rsid w:val="005135E4"/>
    <w:rsid w:val="00513B9E"/>
    <w:rsid w:val="00514B15"/>
    <w:rsid w:val="005154B9"/>
    <w:rsid w:val="00515A47"/>
    <w:rsid w:val="00516761"/>
    <w:rsid w:val="00517439"/>
    <w:rsid w:val="0052034E"/>
    <w:rsid w:val="00520424"/>
    <w:rsid w:val="00520662"/>
    <w:rsid w:val="0052132C"/>
    <w:rsid w:val="005215CA"/>
    <w:rsid w:val="005219FC"/>
    <w:rsid w:val="00521C63"/>
    <w:rsid w:val="00522AE2"/>
    <w:rsid w:val="00523110"/>
    <w:rsid w:val="00523645"/>
    <w:rsid w:val="00524004"/>
    <w:rsid w:val="00524450"/>
    <w:rsid w:val="00524766"/>
    <w:rsid w:val="00525778"/>
    <w:rsid w:val="005259C2"/>
    <w:rsid w:val="00525EB4"/>
    <w:rsid w:val="0052655D"/>
    <w:rsid w:val="00526608"/>
    <w:rsid w:val="00527A7E"/>
    <w:rsid w:val="00527AE1"/>
    <w:rsid w:val="00527D3C"/>
    <w:rsid w:val="00530141"/>
    <w:rsid w:val="0053026B"/>
    <w:rsid w:val="00530EF6"/>
    <w:rsid w:val="00531239"/>
    <w:rsid w:val="00531D6F"/>
    <w:rsid w:val="0053248B"/>
    <w:rsid w:val="00532699"/>
    <w:rsid w:val="005327E9"/>
    <w:rsid w:val="00532BF1"/>
    <w:rsid w:val="00532C05"/>
    <w:rsid w:val="00532DED"/>
    <w:rsid w:val="00533267"/>
    <w:rsid w:val="00533518"/>
    <w:rsid w:val="00533A4C"/>
    <w:rsid w:val="00533D35"/>
    <w:rsid w:val="00533DE5"/>
    <w:rsid w:val="00534534"/>
    <w:rsid w:val="005350AF"/>
    <w:rsid w:val="005355BA"/>
    <w:rsid w:val="00535B2E"/>
    <w:rsid w:val="00536213"/>
    <w:rsid w:val="005364A6"/>
    <w:rsid w:val="0053664B"/>
    <w:rsid w:val="005369B7"/>
    <w:rsid w:val="00536CB9"/>
    <w:rsid w:val="005376CB"/>
    <w:rsid w:val="00537C04"/>
    <w:rsid w:val="00540106"/>
    <w:rsid w:val="005403E2"/>
    <w:rsid w:val="005409FC"/>
    <w:rsid w:val="005419DC"/>
    <w:rsid w:val="00542241"/>
    <w:rsid w:val="0054240F"/>
    <w:rsid w:val="005425A9"/>
    <w:rsid w:val="00543005"/>
    <w:rsid w:val="0054316C"/>
    <w:rsid w:val="0054373D"/>
    <w:rsid w:val="005437A0"/>
    <w:rsid w:val="005439F1"/>
    <w:rsid w:val="00543B92"/>
    <w:rsid w:val="00543CB6"/>
    <w:rsid w:val="00543D70"/>
    <w:rsid w:val="00543E54"/>
    <w:rsid w:val="0054416B"/>
    <w:rsid w:val="0054471C"/>
    <w:rsid w:val="0054486B"/>
    <w:rsid w:val="00545128"/>
    <w:rsid w:val="0054522E"/>
    <w:rsid w:val="005457DE"/>
    <w:rsid w:val="00545987"/>
    <w:rsid w:val="00545CFD"/>
    <w:rsid w:val="00545DA1"/>
    <w:rsid w:val="00545F83"/>
    <w:rsid w:val="00546331"/>
    <w:rsid w:val="00546372"/>
    <w:rsid w:val="0054661E"/>
    <w:rsid w:val="00546CFA"/>
    <w:rsid w:val="00546EDF"/>
    <w:rsid w:val="005501E1"/>
    <w:rsid w:val="0055092A"/>
    <w:rsid w:val="00550A47"/>
    <w:rsid w:val="00550FFC"/>
    <w:rsid w:val="005510A7"/>
    <w:rsid w:val="0055226C"/>
    <w:rsid w:val="0055239E"/>
    <w:rsid w:val="00553768"/>
    <w:rsid w:val="00553FF9"/>
    <w:rsid w:val="005541E4"/>
    <w:rsid w:val="00554357"/>
    <w:rsid w:val="0055444D"/>
    <w:rsid w:val="005549C3"/>
    <w:rsid w:val="00554B3D"/>
    <w:rsid w:val="005553D6"/>
    <w:rsid w:val="005557B9"/>
    <w:rsid w:val="00555BEB"/>
    <w:rsid w:val="00555F97"/>
    <w:rsid w:val="005569FE"/>
    <w:rsid w:val="00556DB3"/>
    <w:rsid w:val="00556E84"/>
    <w:rsid w:val="0055733C"/>
    <w:rsid w:val="00557CE2"/>
    <w:rsid w:val="00560349"/>
    <w:rsid w:val="00560575"/>
    <w:rsid w:val="00560FF3"/>
    <w:rsid w:val="005613A9"/>
    <w:rsid w:val="005613BF"/>
    <w:rsid w:val="00561581"/>
    <w:rsid w:val="005627BD"/>
    <w:rsid w:val="00562829"/>
    <w:rsid w:val="00562F22"/>
    <w:rsid w:val="0056331C"/>
    <w:rsid w:val="0056336F"/>
    <w:rsid w:val="00563661"/>
    <w:rsid w:val="005637B1"/>
    <w:rsid w:val="00563880"/>
    <w:rsid w:val="00563F88"/>
    <w:rsid w:val="00564A12"/>
    <w:rsid w:val="00564D02"/>
    <w:rsid w:val="00564DFB"/>
    <w:rsid w:val="00565B9B"/>
    <w:rsid w:val="00565C9D"/>
    <w:rsid w:val="00565DEB"/>
    <w:rsid w:val="00566258"/>
    <w:rsid w:val="00566873"/>
    <w:rsid w:val="00566B61"/>
    <w:rsid w:val="00566DAC"/>
    <w:rsid w:val="00566F0D"/>
    <w:rsid w:val="00567969"/>
    <w:rsid w:val="00567C70"/>
    <w:rsid w:val="005702E2"/>
    <w:rsid w:val="00570FFD"/>
    <w:rsid w:val="005713C7"/>
    <w:rsid w:val="0057152A"/>
    <w:rsid w:val="00571990"/>
    <w:rsid w:val="00571D96"/>
    <w:rsid w:val="00572F29"/>
    <w:rsid w:val="005732E0"/>
    <w:rsid w:val="00573740"/>
    <w:rsid w:val="005739E9"/>
    <w:rsid w:val="00573AD2"/>
    <w:rsid w:val="005740BF"/>
    <w:rsid w:val="00575239"/>
    <w:rsid w:val="00575985"/>
    <w:rsid w:val="00575D60"/>
    <w:rsid w:val="00576118"/>
    <w:rsid w:val="0057661E"/>
    <w:rsid w:val="0057677A"/>
    <w:rsid w:val="005769E5"/>
    <w:rsid w:val="00576B91"/>
    <w:rsid w:val="00577185"/>
    <w:rsid w:val="0057738E"/>
    <w:rsid w:val="0057793B"/>
    <w:rsid w:val="00577964"/>
    <w:rsid w:val="00577DF6"/>
    <w:rsid w:val="00577FB5"/>
    <w:rsid w:val="00580001"/>
    <w:rsid w:val="00580758"/>
    <w:rsid w:val="005809E4"/>
    <w:rsid w:val="00580CC1"/>
    <w:rsid w:val="00580CF2"/>
    <w:rsid w:val="00580D24"/>
    <w:rsid w:val="005812AE"/>
    <w:rsid w:val="005819A9"/>
    <w:rsid w:val="00581AB0"/>
    <w:rsid w:val="0058218B"/>
    <w:rsid w:val="00582EB6"/>
    <w:rsid w:val="005830D0"/>
    <w:rsid w:val="005833F4"/>
    <w:rsid w:val="00583445"/>
    <w:rsid w:val="005836EC"/>
    <w:rsid w:val="005839B7"/>
    <w:rsid w:val="0058411D"/>
    <w:rsid w:val="0058447A"/>
    <w:rsid w:val="005844FF"/>
    <w:rsid w:val="005849F6"/>
    <w:rsid w:val="00584AE0"/>
    <w:rsid w:val="005855AB"/>
    <w:rsid w:val="0058570C"/>
    <w:rsid w:val="005865CF"/>
    <w:rsid w:val="00586698"/>
    <w:rsid w:val="00586ADA"/>
    <w:rsid w:val="00587460"/>
    <w:rsid w:val="00587C74"/>
    <w:rsid w:val="00587D87"/>
    <w:rsid w:val="00590415"/>
    <w:rsid w:val="00590655"/>
    <w:rsid w:val="005908E4"/>
    <w:rsid w:val="00590C57"/>
    <w:rsid w:val="00590DCB"/>
    <w:rsid w:val="00591479"/>
    <w:rsid w:val="0059197B"/>
    <w:rsid w:val="00591B72"/>
    <w:rsid w:val="00592C2E"/>
    <w:rsid w:val="00592C66"/>
    <w:rsid w:val="00592FC1"/>
    <w:rsid w:val="0059303A"/>
    <w:rsid w:val="00593A26"/>
    <w:rsid w:val="00593AFE"/>
    <w:rsid w:val="00593E29"/>
    <w:rsid w:val="005940F9"/>
    <w:rsid w:val="005948B0"/>
    <w:rsid w:val="00594AD0"/>
    <w:rsid w:val="00595413"/>
    <w:rsid w:val="00595547"/>
    <w:rsid w:val="0059565A"/>
    <w:rsid w:val="00595707"/>
    <w:rsid w:val="00595811"/>
    <w:rsid w:val="005959A7"/>
    <w:rsid w:val="00595FF9"/>
    <w:rsid w:val="005969BA"/>
    <w:rsid w:val="005971AE"/>
    <w:rsid w:val="00597370"/>
    <w:rsid w:val="00597802"/>
    <w:rsid w:val="00597BBF"/>
    <w:rsid w:val="00597DA9"/>
    <w:rsid w:val="005A0158"/>
    <w:rsid w:val="005A12AE"/>
    <w:rsid w:val="005A182E"/>
    <w:rsid w:val="005A215D"/>
    <w:rsid w:val="005A3219"/>
    <w:rsid w:val="005A3823"/>
    <w:rsid w:val="005A3F2E"/>
    <w:rsid w:val="005A45A3"/>
    <w:rsid w:val="005A48F9"/>
    <w:rsid w:val="005A5242"/>
    <w:rsid w:val="005A5516"/>
    <w:rsid w:val="005A5568"/>
    <w:rsid w:val="005A58FD"/>
    <w:rsid w:val="005A5E0B"/>
    <w:rsid w:val="005A625D"/>
    <w:rsid w:val="005A64DD"/>
    <w:rsid w:val="005A6876"/>
    <w:rsid w:val="005A6927"/>
    <w:rsid w:val="005A742B"/>
    <w:rsid w:val="005A7755"/>
    <w:rsid w:val="005B0129"/>
    <w:rsid w:val="005B0B08"/>
    <w:rsid w:val="005B1E2E"/>
    <w:rsid w:val="005B3340"/>
    <w:rsid w:val="005B346C"/>
    <w:rsid w:val="005B3AAF"/>
    <w:rsid w:val="005B4F13"/>
    <w:rsid w:val="005B518A"/>
    <w:rsid w:val="005B519F"/>
    <w:rsid w:val="005B5ACE"/>
    <w:rsid w:val="005B5ADF"/>
    <w:rsid w:val="005B5D0B"/>
    <w:rsid w:val="005B62D5"/>
    <w:rsid w:val="005C03B6"/>
    <w:rsid w:val="005C1858"/>
    <w:rsid w:val="005C1B93"/>
    <w:rsid w:val="005C1BAC"/>
    <w:rsid w:val="005C1F72"/>
    <w:rsid w:val="005C2457"/>
    <w:rsid w:val="005C2EA0"/>
    <w:rsid w:val="005C3EA5"/>
    <w:rsid w:val="005C4231"/>
    <w:rsid w:val="005C4322"/>
    <w:rsid w:val="005C4C67"/>
    <w:rsid w:val="005C5281"/>
    <w:rsid w:val="005C5FB1"/>
    <w:rsid w:val="005C64C6"/>
    <w:rsid w:val="005C6DB5"/>
    <w:rsid w:val="005C7152"/>
    <w:rsid w:val="005C7B82"/>
    <w:rsid w:val="005D0F90"/>
    <w:rsid w:val="005D12EA"/>
    <w:rsid w:val="005D1976"/>
    <w:rsid w:val="005D2248"/>
    <w:rsid w:val="005D238D"/>
    <w:rsid w:val="005D2AD9"/>
    <w:rsid w:val="005D2E0E"/>
    <w:rsid w:val="005D32B8"/>
    <w:rsid w:val="005D3D1A"/>
    <w:rsid w:val="005D405E"/>
    <w:rsid w:val="005D4095"/>
    <w:rsid w:val="005D468D"/>
    <w:rsid w:val="005D4A04"/>
    <w:rsid w:val="005D5126"/>
    <w:rsid w:val="005D5270"/>
    <w:rsid w:val="005D54B6"/>
    <w:rsid w:val="005D60CD"/>
    <w:rsid w:val="005D6952"/>
    <w:rsid w:val="005D6D54"/>
    <w:rsid w:val="005D6E0A"/>
    <w:rsid w:val="005D75A7"/>
    <w:rsid w:val="005E0692"/>
    <w:rsid w:val="005E09D6"/>
    <w:rsid w:val="005E103D"/>
    <w:rsid w:val="005E108C"/>
    <w:rsid w:val="005E2057"/>
    <w:rsid w:val="005E2576"/>
    <w:rsid w:val="005E26D2"/>
    <w:rsid w:val="005E3DC9"/>
    <w:rsid w:val="005E4391"/>
    <w:rsid w:val="005E462D"/>
    <w:rsid w:val="005E4760"/>
    <w:rsid w:val="005E4939"/>
    <w:rsid w:val="005E4A67"/>
    <w:rsid w:val="005E4F69"/>
    <w:rsid w:val="005E59C5"/>
    <w:rsid w:val="005E64C8"/>
    <w:rsid w:val="005E6575"/>
    <w:rsid w:val="005E6624"/>
    <w:rsid w:val="005E66D6"/>
    <w:rsid w:val="005E6AE6"/>
    <w:rsid w:val="005E6BA5"/>
    <w:rsid w:val="005E6FE4"/>
    <w:rsid w:val="005E700D"/>
    <w:rsid w:val="005E738B"/>
    <w:rsid w:val="005E77C7"/>
    <w:rsid w:val="005E7E6F"/>
    <w:rsid w:val="005F00EB"/>
    <w:rsid w:val="005F03E6"/>
    <w:rsid w:val="005F0532"/>
    <w:rsid w:val="005F07BB"/>
    <w:rsid w:val="005F0F90"/>
    <w:rsid w:val="005F13E0"/>
    <w:rsid w:val="005F19C8"/>
    <w:rsid w:val="005F1AD5"/>
    <w:rsid w:val="005F2DF3"/>
    <w:rsid w:val="005F356F"/>
    <w:rsid w:val="005F3836"/>
    <w:rsid w:val="005F3E80"/>
    <w:rsid w:val="005F3F1E"/>
    <w:rsid w:val="005F4269"/>
    <w:rsid w:val="005F4592"/>
    <w:rsid w:val="005F464F"/>
    <w:rsid w:val="005F4703"/>
    <w:rsid w:val="005F4C47"/>
    <w:rsid w:val="005F4F2E"/>
    <w:rsid w:val="005F590D"/>
    <w:rsid w:val="005F5BAB"/>
    <w:rsid w:val="005F611A"/>
    <w:rsid w:val="005F639D"/>
    <w:rsid w:val="005F6969"/>
    <w:rsid w:val="005F70C3"/>
    <w:rsid w:val="005F76C3"/>
    <w:rsid w:val="005F78B5"/>
    <w:rsid w:val="005F7A64"/>
    <w:rsid w:val="005F7E47"/>
    <w:rsid w:val="00600256"/>
    <w:rsid w:val="00600A55"/>
    <w:rsid w:val="0060128F"/>
    <w:rsid w:val="006017DE"/>
    <w:rsid w:val="006032B9"/>
    <w:rsid w:val="006037FB"/>
    <w:rsid w:val="00603EF2"/>
    <w:rsid w:val="0060461C"/>
    <w:rsid w:val="00604FE4"/>
    <w:rsid w:val="006051A4"/>
    <w:rsid w:val="0060593F"/>
    <w:rsid w:val="00606BC4"/>
    <w:rsid w:val="00607292"/>
    <w:rsid w:val="006072F8"/>
    <w:rsid w:val="00607435"/>
    <w:rsid w:val="00607A0E"/>
    <w:rsid w:val="00607DB3"/>
    <w:rsid w:val="00610352"/>
    <w:rsid w:val="006108CE"/>
    <w:rsid w:val="00610C39"/>
    <w:rsid w:val="00610C9A"/>
    <w:rsid w:val="00610EE9"/>
    <w:rsid w:val="00611BBC"/>
    <w:rsid w:val="00611E59"/>
    <w:rsid w:val="0061204B"/>
    <w:rsid w:val="00612542"/>
    <w:rsid w:val="00612886"/>
    <w:rsid w:val="00612940"/>
    <w:rsid w:val="00612F48"/>
    <w:rsid w:val="0061419E"/>
    <w:rsid w:val="00614BCD"/>
    <w:rsid w:val="0061516C"/>
    <w:rsid w:val="00615189"/>
    <w:rsid w:val="0061525C"/>
    <w:rsid w:val="006154D2"/>
    <w:rsid w:val="00615B85"/>
    <w:rsid w:val="00615D6C"/>
    <w:rsid w:val="00615E31"/>
    <w:rsid w:val="006162CF"/>
    <w:rsid w:val="00616A38"/>
    <w:rsid w:val="00616BA1"/>
    <w:rsid w:val="00616FC2"/>
    <w:rsid w:val="00620158"/>
    <w:rsid w:val="00620777"/>
    <w:rsid w:val="00620C7D"/>
    <w:rsid w:val="00620EB7"/>
    <w:rsid w:val="00621AC1"/>
    <w:rsid w:val="006221B5"/>
    <w:rsid w:val="00622826"/>
    <w:rsid w:val="006229E6"/>
    <w:rsid w:val="00622CC7"/>
    <w:rsid w:val="00622DDA"/>
    <w:rsid w:val="00623245"/>
    <w:rsid w:val="006239D3"/>
    <w:rsid w:val="00623AAA"/>
    <w:rsid w:val="00623F69"/>
    <w:rsid w:val="00625712"/>
    <w:rsid w:val="00626232"/>
    <w:rsid w:val="006265A5"/>
    <w:rsid w:val="006265F6"/>
    <w:rsid w:val="00626757"/>
    <w:rsid w:val="006267EC"/>
    <w:rsid w:val="006269AB"/>
    <w:rsid w:val="00626D4B"/>
    <w:rsid w:val="00626DB0"/>
    <w:rsid w:val="006272D5"/>
    <w:rsid w:val="0062740A"/>
    <w:rsid w:val="006278A3"/>
    <w:rsid w:val="0062794E"/>
    <w:rsid w:val="006300E1"/>
    <w:rsid w:val="0063038C"/>
    <w:rsid w:val="00631124"/>
    <w:rsid w:val="0063139B"/>
    <w:rsid w:val="00631906"/>
    <w:rsid w:val="0063193A"/>
    <w:rsid w:val="00631C2E"/>
    <w:rsid w:val="0063276E"/>
    <w:rsid w:val="00632DA5"/>
    <w:rsid w:val="00633821"/>
    <w:rsid w:val="00633B3F"/>
    <w:rsid w:val="006342E8"/>
    <w:rsid w:val="0063460E"/>
    <w:rsid w:val="00634A6F"/>
    <w:rsid w:val="00634E8D"/>
    <w:rsid w:val="00635667"/>
    <w:rsid w:val="0063641E"/>
    <w:rsid w:val="00636653"/>
    <w:rsid w:val="006366B1"/>
    <w:rsid w:val="006368EC"/>
    <w:rsid w:val="006371E9"/>
    <w:rsid w:val="00637766"/>
    <w:rsid w:val="006377B8"/>
    <w:rsid w:val="00637CBB"/>
    <w:rsid w:val="00640143"/>
    <w:rsid w:val="00640329"/>
    <w:rsid w:val="00640528"/>
    <w:rsid w:val="00640583"/>
    <w:rsid w:val="006408A7"/>
    <w:rsid w:val="00640B7C"/>
    <w:rsid w:val="00640EE2"/>
    <w:rsid w:val="00640F40"/>
    <w:rsid w:val="0064172B"/>
    <w:rsid w:val="00642828"/>
    <w:rsid w:val="00642F8A"/>
    <w:rsid w:val="0064344E"/>
    <w:rsid w:val="0064378F"/>
    <w:rsid w:val="00643AAB"/>
    <w:rsid w:val="00643E60"/>
    <w:rsid w:val="00643F14"/>
    <w:rsid w:val="0064410A"/>
    <w:rsid w:val="0064410C"/>
    <w:rsid w:val="0064445E"/>
    <w:rsid w:val="006447DA"/>
    <w:rsid w:val="00644A24"/>
    <w:rsid w:val="00644EBF"/>
    <w:rsid w:val="006450E1"/>
    <w:rsid w:val="006459AB"/>
    <w:rsid w:val="00646217"/>
    <w:rsid w:val="006469CA"/>
    <w:rsid w:val="00646B27"/>
    <w:rsid w:val="00647C43"/>
    <w:rsid w:val="00647DD4"/>
    <w:rsid w:val="00650525"/>
    <w:rsid w:val="0065117B"/>
    <w:rsid w:val="006515F9"/>
    <w:rsid w:val="00651837"/>
    <w:rsid w:val="00651B11"/>
    <w:rsid w:val="00651E63"/>
    <w:rsid w:val="0065205D"/>
    <w:rsid w:val="006524FE"/>
    <w:rsid w:val="00652F62"/>
    <w:rsid w:val="006534EF"/>
    <w:rsid w:val="006535DC"/>
    <w:rsid w:val="00653608"/>
    <w:rsid w:val="00653E88"/>
    <w:rsid w:val="00654356"/>
    <w:rsid w:val="0065451A"/>
    <w:rsid w:val="00654DB8"/>
    <w:rsid w:val="00654EDA"/>
    <w:rsid w:val="00655131"/>
    <w:rsid w:val="00655A1A"/>
    <w:rsid w:val="00655CC4"/>
    <w:rsid w:val="00655DBF"/>
    <w:rsid w:val="00655FA5"/>
    <w:rsid w:val="00656152"/>
    <w:rsid w:val="006561EC"/>
    <w:rsid w:val="00656418"/>
    <w:rsid w:val="0065667C"/>
    <w:rsid w:val="00656A8F"/>
    <w:rsid w:val="00656E3C"/>
    <w:rsid w:val="00656FD6"/>
    <w:rsid w:val="006571D8"/>
    <w:rsid w:val="00657A0F"/>
    <w:rsid w:val="00657AB0"/>
    <w:rsid w:val="006600E6"/>
    <w:rsid w:val="006603BA"/>
    <w:rsid w:val="006603E5"/>
    <w:rsid w:val="00660F09"/>
    <w:rsid w:val="006613B6"/>
    <w:rsid w:val="00661945"/>
    <w:rsid w:val="00661C2E"/>
    <w:rsid w:val="00661D7A"/>
    <w:rsid w:val="006620FC"/>
    <w:rsid w:val="00662130"/>
    <w:rsid w:val="006627B9"/>
    <w:rsid w:val="00662A59"/>
    <w:rsid w:val="00662B59"/>
    <w:rsid w:val="00662F5D"/>
    <w:rsid w:val="00663038"/>
    <w:rsid w:val="006633FE"/>
    <w:rsid w:val="00663412"/>
    <w:rsid w:val="006634E0"/>
    <w:rsid w:val="006635C9"/>
    <w:rsid w:val="00663C45"/>
    <w:rsid w:val="0066432C"/>
    <w:rsid w:val="006644B5"/>
    <w:rsid w:val="0066470D"/>
    <w:rsid w:val="006651D0"/>
    <w:rsid w:val="006653C7"/>
    <w:rsid w:val="00665428"/>
    <w:rsid w:val="00665E9C"/>
    <w:rsid w:val="00666334"/>
    <w:rsid w:val="006664C9"/>
    <w:rsid w:val="00666A36"/>
    <w:rsid w:val="0067039E"/>
    <w:rsid w:val="0067096B"/>
    <w:rsid w:val="00670AD6"/>
    <w:rsid w:val="00670D01"/>
    <w:rsid w:val="00671773"/>
    <w:rsid w:val="00672093"/>
    <w:rsid w:val="00672D1B"/>
    <w:rsid w:val="006732CC"/>
    <w:rsid w:val="0067355D"/>
    <w:rsid w:val="00673E10"/>
    <w:rsid w:val="00673FC1"/>
    <w:rsid w:val="00674A63"/>
    <w:rsid w:val="00674C60"/>
    <w:rsid w:val="00675200"/>
    <w:rsid w:val="00675254"/>
    <w:rsid w:val="00675A9A"/>
    <w:rsid w:val="00675B36"/>
    <w:rsid w:val="00675F0B"/>
    <w:rsid w:val="0067672B"/>
    <w:rsid w:val="006767DC"/>
    <w:rsid w:val="00676D24"/>
    <w:rsid w:val="006770F9"/>
    <w:rsid w:val="0067771F"/>
    <w:rsid w:val="006777CF"/>
    <w:rsid w:val="006806FD"/>
    <w:rsid w:val="0068080E"/>
    <w:rsid w:val="006810B9"/>
    <w:rsid w:val="00681812"/>
    <w:rsid w:val="006823AC"/>
    <w:rsid w:val="006827BF"/>
    <w:rsid w:val="00682803"/>
    <w:rsid w:val="00682B29"/>
    <w:rsid w:val="0068319F"/>
    <w:rsid w:val="006831B8"/>
    <w:rsid w:val="00683CC1"/>
    <w:rsid w:val="00683F2C"/>
    <w:rsid w:val="00684503"/>
    <w:rsid w:val="0068497A"/>
    <w:rsid w:val="00684CD4"/>
    <w:rsid w:val="00686564"/>
    <w:rsid w:val="00686702"/>
    <w:rsid w:val="006872A7"/>
    <w:rsid w:val="006872AC"/>
    <w:rsid w:val="006878B1"/>
    <w:rsid w:val="00687E4C"/>
    <w:rsid w:val="00690007"/>
    <w:rsid w:val="00690A31"/>
    <w:rsid w:val="00691205"/>
    <w:rsid w:val="00692E01"/>
    <w:rsid w:val="00692E78"/>
    <w:rsid w:val="006932A5"/>
    <w:rsid w:val="0069331D"/>
    <w:rsid w:val="006937F3"/>
    <w:rsid w:val="006940C8"/>
    <w:rsid w:val="006940F3"/>
    <w:rsid w:val="0069465B"/>
    <w:rsid w:val="006948C1"/>
    <w:rsid w:val="00695C43"/>
    <w:rsid w:val="006962E6"/>
    <w:rsid w:val="0069650A"/>
    <w:rsid w:val="00696786"/>
    <w:rsid w:val="00696897"/>
    <w:rsid w:val="00696ADD"/>
    <w:rsid w:val="00696B18"/>
    <w:rsid w:val="006971C3"/>
    <w:rsid w:val="006971D7"/>
    <w:rsid w:val="006973C5"/>
    <w:rsid w:val="0069792C"/>
    <w:rsid w:val="006A0AE4"/>
    <w:rsid w:val="006A18F8"/>
    <w:rsid w:val="006A19F4"/>
    <w:rsid w:val="006A1BAA"/>
    <w:rsid w:val="006A1F95"/>
    <w:rsid w:val="006A277A"/>
    <w:rsid w:val="006A29D2"/>
    <w:rsid w:val="006A3089"/>
    <w:rsid w:val="006A31B9"/>
    <w:rsid w:val="006A4479"/>
    <w:rsid w:val="006A46C6"/>
    <w:rsid w:val="006A4A85"/>
    <w:rsid w:val="006A4AD0"/>
    <w:rsid w:val="006A4BF8"/>
    <w:rsid w:val="006A526A"/>
    <w:rsid w:val="006A53A9"/>
    <w:rsid w:val="006A63AE"/>
    <w:rsid w:val="006A66C9"/>
    <w:rsid w:val="006A6B5C"/>
    <w:rsid w:val="006A6C81"/>
    <w:rsid w:val="006A6E1C"/>
    <w:rsid w:val="006A7593"/>
    <w:rsid w:val="006A782E"/>
    <w:rsid w:val="006A7926"/>
    <w:rsid w:val="006A7DB3"/>
    <w:rsid w:val="006A7F4D"/>
    <w:rsid w:val="006B0727"/>
    <w:rsid w:val="006B093B"/>
    <w:rsid w:val="006B0DB4"/>
    <w:rsid w:val="006B10B0"/>
    <w:rsid w:val="006B18A3"/>
    <w:rsid w:val="006B1AEC"/>
    <w:rsid w:val="006B287F"/>
    <w:rsid w:val="006B2A4F"/>
    <w:rsid w:val="006B2DEB"/>
    <w:rsid w:val="006B2EED"/>
    <w:rsid w:val="006B3047"/>
    <w:rsid w:val="006B33AA"/>
    <w:rsid w:val="006B43ED"/>
    <w:rsid w:val="006B4511"/>
    <w:rsid w:val="006B5342"/>
    <w:rsid w:val="006B5CC3"/>
    <w:rsid w:val="006B62E6"/>
    <w:rsid w:val="006B63C6"/>
    <w:rsid w:val="006B6AA9"/>
    <w:rsid w:val="006B6D17"/>
    <w:rsid w:val="006B6D42"/>
    <w:rsid w:val="006B7810"/>
    <w:rsid w:val="006B787D"/>
    <w:rsid w:val="006B7F13"/>
    <w:rsid w:val="006C0E16"/>
    <w:rsid w:val="006C0F13"/>
    <w:rsid w:val="006C0FD5"/>
    <w:rsid w:val="006C135E"/>
    <w:rsid w:val="006C14F9"/>
    <w:rsid w:val="006C1A8D"/>
    <w:rsid w:val="006C226D"/>
    <w:rsid w:val="006C2820"/>
    <w:rsid w:val="006C2F91"/>
    <w:rsid w:val="006C381E"/>
    <w:rsid w:val="006C41DA"/>
    <w:rsid w:val="006C47AC"/>
    <w:rsid w:val="006C4BC9"/>
    <w:rsid w:val="006C4E20"/>
    <w:rsid w:val="006C5421"/>
    <w:rsid w:val="006C54E3"/>
    <w:rsid w:val="006C5916"/>
    <w:rsid w:val="006C5C3F"/>
    <w:rsid w:val="006C6040"/>
    <w:rsid w:val="006C669C"/>
    <w:rsid w:val="006C68BE"/>
    <w:rsid w:val="006D0BB2"/>
    <w:rsid w:val="006D0E72"/>
    <w:rsid w:val="006D18AC"/>
    <w:rsid w:val="006D190A"/>
    <w:rsid w:val="006D1D1D"/>
    <w:rsid w:val="006D22DC"/>
    <w:rsid w:val="006D2346"/>
    <w:rsid w:val="006D2B45"/>
    <w:rsid w:val="006D2E9A"/>
    <w:rsid w:val="006D325A"/>
    <w:rsid w:val="006D328C"/>
    <w:rsid w:val="006D3467"/>
    <w:rsid w:val="006D356F"/>
    <w:rsid w:val="006D38DF"/>
    <w:rsid w:val="006D4072"/>
    <w:rsid w:val="006D4264"/>
    <w:rsid w:val="006D4512"/>
    <w:rsid w:val="006D47C2"/>
    <w:rsid w:val="006D6671"/>
    <w:rsid w:val="006D667A"/>
    <w:rsid w:val="006D6E8C"/>
    <w:rsid w:val="006D702E"/>
    <w:rsid w:val="006D74B0"/>
    <w:rsid w:val="006D7D2F"/>
    <w:rsid w:val="006E1C44"/>
    <w:rsid w:val="006E1C79"/>
    <w:rsid w:val="006E3179"/>
    <w:rsid w:val="006E4038"/>
    <w:rsid w:val="006E42AE"/>
    <w:rsid w:val="006E4AEB"/>
    <w:rsid w:val="006E4D10"/>
    <w:rsid w:val="006E4EEE"/>
    <w:rsid w:val="006E564C"/>
    <w:rsid w:val="006E5E26"/>
    <w:rsid w:val="006E6E12"/>
    <w:rsid w:val="006E74DD"/>
    <w:rsid w:val="006E7690"/>
    <w:rsid w:val="006E791A"/>
    <w:rsid w:val="006E793B"/>
    <w:rsid w:val="006F06A2"/>
    <w:rsid w:val="006F0BAB"/>
    <w:rsid w:val="006F0F3B"/>
    <w:rsid w:val="006F11FC"/>
    <w:rsid w:val="006F195E"/>
    <w:rsid w:val="006F1BB1"/>
    <w:rsid w:val="006F250D"/>
    <w:rsid w:val="006F2B17"/>
    <w:rsid w:val="006F2D95"/>
    <w:rsid w:val="006F3552"/>
    <w:rsid w:val="006F3819"/>
    <w:rsid w:val="006F45EE"/>
    <w:rsid w:val="006F4768"/>
    <w:rsid w:val="006F4DC9"/>
    <w:rsid w:val="006F512D"/>
    <w:rsid w:val="006F52E0"/>
    <w:rsid w:val="006F5507"/>
    <w:rsid w:val="006F5E84"/>
    <w:rsid w:val="006F607A"/>
    <w:rsid w:val="006F70B4"/>
    <w:rsid w:val="006F7218"/>
    <w:rsid w:val="006F76EC"/>
    <w:rsid w:val="006F7B17"/>
    <w:rsid w:val="006F7DED"/>
    <w:rsid w:val="00700A17"/>
    <w:rsid w:val="00700EC2"/>
    <w:rsid w:val="00701046"/>
    <w:rsid w:val="00701374"/>
    <w:rsid w:val="007021EF"/>
    <w:rsid w:val="007024A0"/>
    <w:rsid w:val="007028D9"/>
    <w:rsid w:val="00702969"/>
    <w:rsid w:val="007035A3"/>
    <w:rsid w:val="007038D1"/>
    <w:rsid w:val="007039D4"/>
    <w:rsid w:val="0070465F"/>
    <w:rsid w:val="00704689"/>
    <w:rsid w:val="00704BAB"/>
    <w:rsid w:val="00704DFC"/>
    <w:rsid w:val="007056CB"/>
    <w:rsid w:val="00705B4A"/>
    <w:rsid w:val="00705F0A"/>
    <w:rsid w:val="00706A6D"/>
    <w:rsid w:val="007072AD"/>
    <w:rsid w:val="00707AB8"/>
    <w:rsid w:val="0071041E"/>
    <w:rsid w:val="0071076D"/>
    <w:rsid w:val="00710781"/>
    <w:rsid w:val="00711245"/>
    <w:rsid w:val="0071129F"/>
    <w:rsid w:val="00711756"/>
    <w:rsid w:val="007117FC"/>
    <w:rsid w:val="00711B1D"/>
    <w:rsid w:val="00712F40"/>
    <w:rsid w:val="00713704"/>
    <w:rsid w:val="00713D8A"/>
    <w:rsid w:val="00714173"/>
    <w:rsid w:val="00714FE9"/>
    <w:rsid w:val="00715310"/>
    <w:rsid w:val="007153B3"/>
    <w:rsid w:val="007154DB"/>
    <w:rsid w:val="00715C72"/>
    <w:rsid w:val="0071611F"/>
    <w:rsid w:val="007171B4"/>
    <w:rsid w:val="007203BC"/>
    <w:rsid w:val="00720626"/>
    <w:rsid w:val="0072098B"/>
    <w:rsid w:val="00721247"/>
    <w:rsid w:val="0072183E"/>
    <w:rsid w:val="00721A79"/>
    <w:rsid w:val="00721E57"/>
    <w:rsid w:val="0072212A"/>
    <w:rsid w:val="0072233F"/>
    <w:rsid w:val="00722BAD"/>
    <w:rsid w:val="00723041"/>
    <w:rsid w:val="007233DF"/>
    <w:rsid w:val="0072410B"/>
    <w:rsid w:val="00724648"/>
    <w:rsid w:val="00725104"/>
    <w:rsid w:val="0072533B"/>
    <w:rsid w:val="00725D38"/>
    <w:rsid w:val="00726A4E"/>
    <w:rsid w:val="0072720D"/>
    <w:rsid w:val="00727BAD"/>
    <w:rsid w:val="007304FA"/>
    <w:rsid w:val="00730521"/>
    <w:rsid w:val="00731124"/>
    <w:rsid w:val="00731794"/>
    <w:rsid w:val="00732469"/>
    <w:rsid w:val="007327A7"/>
    <w:rsid w:val="00732F0B"/>
    <w:rsid w:val="00733593"/>
    <w:rsid w:val="007341BB"/>
    <w:rsid w:val="007341F6"/>
    <w:rsid w:val="00734292"/>
    <w:rsid w:val="0073437E"/>
    <w:rsid w:val="00734E89"/>
    <w:rsid w:val="00735383"/>
    <w:rsid w:val="00735D7C"/>
    <w:rsid w:val="007364C3"/>
    <w:rsid w:val="00736F07"/>
    <w:rsid w:val="007373D8"/>
    <w:rsid w:val="0073789D"/>
    <w:rsid w:val="00737AD8"/>
    <w:rsid w:val="00737CB5"/>
    <w:rsid w:val="00737CDB"/>
    <w:rsid w:val="00737DE8"/>
    <w:rsid w:val="0074006B"/>
    <w:rsid w:val="00740784"/>
    <w:rsid w:val="0074082F"/>
    <w:rsid w:val="00740AC1"/>
    <w:rsid w:val="00740B9B"/>
    <w:rsid w:val="00740DDD"/>
    <w:rsid w:val="00740F8F"/>
    <w:rsid w:val="0074107C"/>
    <w:rsid w:val="007415FD"/>
    <w:rsid w:val="00742243"/>
    <w:rsid w:val="007423F0"/>
    <w:rsid w:val="00743F7F"/>
    <w:rsid w:val="00744380"/>
    <w:rsid w:val="007448B2"/>
    <w:rsid w:val="007449B6"/>
    <w:rsid w:val="0074561B"/>
    <w:rsid w:val="007463DC"/>
    <w:rsid w:val="0074658E"/>
    <w:rsid w:val="00746A2F"/>
    <w:rsid w:val="00746B70"/>
    <w:rsid w:val="0075079E"/>
    <w:rsid w:val="00750A36"/>
    <w:rsid w:val="00750BA2"/>
    <w:rsid w:val="00751C7D"/>
    <w:rsid w:val="00751D4F"/>
    <w:rsid w:val="00751DBC"/>
    <w:rsid w:val="00751FC7"/>
    <w:rsid w:val="00752135"/>
    <w:rsid w:val="007525CF"/>
    <w:rsid w:val="0075267B"/>
    <w:rsid w:val="007532AC"/>
    <w:rsid w:val="007534A8"/>
    <w:rsid w:val="00753567"/>
    <w:rsid w:val="0075406C"/>
    <w:rsid w:val="00754186"/>
    <w:rsid w:val="00754367"/>
    <w:rsid w:val="0075473A"/>
    <w:rsid w:val="00754926"/>
    <w:rsid w:val="007549C7"/>
    <w:rsid w:val="00754BD1"/>
    <w:rsid w:val="00754E8C"/>
    <w:rsid w:val="0075542F"/>
    <w:rsid w:val="00755CA6"/>
    <w:rsid w:val="00755EF2"/>
    <w:rsid w:val="00755F19"/>
    <w:rsid w:val="00755F34"/>
    <w:rsid w:val="00755F59"/>
    <w:rsid w:val="00756247"/>
    <w:rsid w:val="0075644B"/>
    <w:rsid w:val="0075648B"/>
    <w:rsid w:val="0075660E"/>
    <w:rsid w:val="0075714A"/>
    <w:rsid w:val="00757D88"/>
    <w:rsid w:val="0076012D"/>
    <w:rsid w:val="00760421"/>
    <w:rsid w:val="00760D0B"/>
    <w:rsid w:val="00760E08"/>
    <w:rsid w:val="007614A2"/>
    <w:rsid w:val="00761BC0"/>
    <w:rsid w:val="0076224D"/>
    <w:rsid w:val="00762D33"/>
    <w:rsid w:val="00762D79"/>
    <w:rsid w:val="007637B0"/>
    <w:rsid w:val="00763DB3"/>
    <w:rsid w:val="00763EE5"/>
    <w:rsid w:val="00763EF1"/>
    <w:rsid w:val="00763F3A"/>
    <w:rsid w:val="00765205"/>
    <w:rsid w:val="00765559"/>
    <w:rsid w:val="0076594B"/>
    <w:rsid w:val="00765AA3"/>
    <w:rsid w:val="00765DE0"/>
    <w:rsid w:val="00766476"/>
    <w:rsid w:val="00767A71"/>
    <w:rsid w:val="00767B67"/>
    <w:rsid w:val="00767C36"/>
    <w:rsid w:val="00770846"/>
    <w:rsid w:val="00770C22"/>
    <w:rsid w:val="0077108B"/>
    <w:rsid w:val="0077133E"/>
    <w:rsid w:val="0077150C"/>
    <w:rsid w:val="00771FA4"/>
    <w:rsid w:val="0077227E"/>
    <w:rsid w:val="007723A0"/>
    <w:rsid w:val="00773C93"/>
    <w:rsid w:val="00773CE7"/>
    <w:rsid w:val="00774E49"/>
    <w:rsid w:val="007750DB"/>
    <w:rsid w:val="007752BB"/>
    <w:rsid w:val="00775E75"/>
    <w:rsid w:val="007762DB"/>
    <w:rsid w:val="00777226"/>
    <w:rsid w:val="007779CA"/>
    <w:rsid w:val="007779E4"/>
    <w:rsid w:val="00781270"/>
    <w:rsid w:val="00781A7B"/>
    <w:rsid w:val="00781A8B"/>
    <w:rsid w:val="007827FB"/>
    <w:rsid w:val="00782D24"/>
    <w:rsid w:val="00783134"/>
    <w:rsid w:val="007840D6"/>
    <w:rsid w:val="007849A6"/>
    <w:rsid w:val="00784B04"/>
    <w:rsid w:val="007850DF"/>
    <w:rsid w:val="0078590A"/>
    <w:rsid w:val="00785D86"/>
    <w:rsid w:val="00786118"/>
    <w:rsid w:val="00786518"/>
    <w:rsid w:val="00786B0F"/>
    <w:rsid w:val="00786E9E"/>
    <w:rsid w:val="00787110"/>
    <w:rsid w:val="007875F4"/>
    <w:rsid w:val="007878B3"/>
    <w:rsid w:val="00787F15"/>
    <w:rsid w:val="00790834"/>
    <w:rsid w:val="007908B8"/>
    <w:rsid w:val="00790984"/>
    <w:rsid w:val="007911D6"/>
    <w:rsid w:val="0079130C"/>
    <w:rsid w:val="007913AE"/>
    <w:rsid w:val="00791661"/>
    <w:rsid w:val="00791F58"/>
    <w:rsid w:val="007929FA"/>
    <w:rsid w:val="00792FDD"/>
    <w:rsid w:val="00793700"/>
    <w:rsid w:val="00793D18"/>
    <w:rsid w:val="007941D1"/>
    <w:rsid w:val="007943FE"/>
    <w:rsid w:val="0079476C"/>
    <w:rsid w:val="007947DF"/>
    <w:rsid w:val="00795748"/>
    <w:rsid w:val="00795B4F"/>
    <w:rsid w:val="00795DCB"/>
    <w:rsid w:val="007963D8"/>
    <w:rsid w:val="00796633"/>
    <w:rsid w:val="007979F7"/>
    <w:rsid w:val="00797DC9"/>
    <w:rsid w:val="007A05A6"/>
    <w:rsid w:val="007A06CE"/>
    <w:rsid w:val="007A07DD"/>
    <w:rsid w:val="007A0C06"/>
    <w:rsid w:val="007A15BC"/>
    <w:rsid w:val="007A1702"/>
    <w:rsid w:val="007A19DF"/>
    <w:rsid w:val="007A266C"/>
    <w:rsid w:val="007A43DF"/>
    <w:rsid w:val="007A4467"/>
    <w:rsid w:val="007A47E3"/>
    <w:rsid w:val="007A4D67"/>
    <w:rsid w:val="007A58A1"/>
    <w:rsid w:val="007A599C"/>
    <w:rsid w:val="007A6190"/>
    <w:rsid w:val="007A6354"/>
    <w:rsid w:val="007A64A6"/>
    <w:rsid w:val="007A666B"/>
    <w:rsid w:val="007A6F8A"/>
    <w:rsid w:val="007A7142"/>
    <w:rsid w:val="007A77BC"/>
    <w:rsid w:val="007A7CEC"/>
    <w:rsid w:val="007B00F6"/>
    <w:rsid w:val="007B067F"/>
    <w:rsid w:val="007B0900"/>
    <w:rsid w:val="007B0C85"/>
    <w:rsid w:val="007B2797"/>
    <w:rsid w:val="007B2953"/>
    <w:rsid w:val="007B2D4F"/>
    <w:rsid w:val="007B2DC9"/>
    <w:rsid w:val="007B3A54"/>
    <w:rsid w:val="007B3AC0"/>
    <w:rsid w:val="007B414B"/>
    <w:rsid w:val="007B41AB"/>
    <w:rsid w:val="007B5D2A"/>
    <w:rsid w:val="007B6A4E"/>
    <w:rsid w:val="007B6ABA"/>
    <w:rsid w:val="007B6D6F"/>
    <w:rsid w:val="007B7373"/>
    <w:rsid w:val="007B753E"/>
    <w:rsid w:val="007C1159"/>
    <w:rsid w:val="007C16DC"/>
    <w:rsid w:val="007C2E9F"/>
    <w:rsid w:val="007C2EF6"/>
    <w:rsid w:val="007C31AB"/>
    <w:rsid w:val="007C31E0"/>
    <w:rsid w:val="007C3D4E"/>
    <w:rsid w:val="007C3E88"/>
    <w:rsid w:val="007C3F83"/>
    <w:rsid w:val="007C475B"/>
    <w:rsid w:val="007C4F53"/>
    <w:rsid w:val="007C50C7"/>
    <w:rsid w:val="007C5463"/>
    <w:rsid w:val="007C59C9"/>
    <w:rsid w:val="007C5E26"/>
    <w:rsid w:val="007C5E81"/>
    <w:rsid w:val="007C6284"/>
    <w:rsid w:val="007C63BA"/>
    <w:rsid w:val="007C63CF"/>
    <w:rsid w:val="007C6552"/>
    <w:rsid w:val="007C6DB0"/>
    <w:rsid w:val="007C7C3F"/>
    <w:rsid w:val="007D163E"/>
    <w:rsid w:val="007D165B"/>
    <w:rsid w:val="007D2ABF"/>
    <w:rsid w:val="007D2F0F"/>
    <w:rsid w:val="007D32D5"/>
    <w:rsid w:val="007D3E57"/>
    <w:rsid w:val="007D41EC"/>
    <w:rsid w:val="007D4C04"/>
    <w:rsid w:val="007D52C9"/>
    <w:rsid w:val="007D63DD"/>
    <w:rsid w:val="007D6567"/>
    <w:rsid w:val="007D6BE3"/>
    <w:rsid w:val="007D6C1B"/>
    <w:rsid w:val="007D6CC2"/>
    <w:rsid w:val="007D6FA9"/>
    <w:rsid w:val="007D77D9"/>
    <w:rsid w:val="007D77E2"/>
    <w:rsid w:val="007E0459"/>
    <w:rsid w:val="007E08E2"/>
    <w:rsid w:val="007E23A6"/>
    <w:rsid w:val="007E2CF2"/>
    <w:rsid w:val="007E31D2"/>
    <w:rsid w:val="007E32C9"/>
    <w:rsid w:val="007E366D"/>
    <w:rsid w:val="007E3E06"/>
    <w:rsid w:val="007E400E"/>
    <w:rsid w:val="007E4C7B"/>
    <w:rsid w:val="007E5786"/>
    <w:rsid w:val="007E5948"/>
    <w:rsid w:val="007E5D1B"/>
    <w:rsid w:val="007E6177"/>
    <w:rsid w:val="007E6640"/>
    <w:rsid w:val="007E6658"/>
    <w:rsid w:val="007E671B"/>
    <w:rsid w:val="007E6BDA"/>
    <w:rsid w:val="007E728A"/>
    <w:rsid w:val="007E7413"/>
    <w:rsid w:val="007E7671"/>
    <w:rsid w:val="007E771B"/>
    <w:rsid w:val="007E7C04"/>
    <w:rsid w:val="007F0380"/>
    <w:rsid w:val="007F05D5"/>
    <w:rsid w:val="007F1046"/>
    <w:rsid w:val="007F15AD"/>
    <w:rsid w:val="007F17FE"/>
    <w:rsid w:val="007F1B2D"/>
    <w:rsid w:val="007F1BDB"/>
    <w:rsid w:val="007F1C39"/>
    <w:rsid w:val="007F20BC"/>
    <w:rsid w:val="007F21D8"/>
    <w:rsid w:val="007F240D"/>
    <w:rsid w:val="007F29A2"/>
    <w:rsid w:val="007F348E"/>
    <w:rsid w:val="007F3D8E"/>
    <w:rsid w:val="007F426C"/>
    <w:rsid w:val="007F432D"/>
    <w:rsid w:val="007F4348"/>
    <w:rsid w:val="007F488F"/>
    <w:rsid w:val="007F4AC3"/>
    <w:rsid w:val="007F505C"/>
    <w:rsid w:val="007F5181"/>
    <w:rsid w:val="007F53CF"/>
    <w:rsid w:val="007F57FD"/>
    <w:rsid w:val="007F5A49"/>
    <w:rsid w:val="007F5D9D"/>
    <w:rsid w:val="007F6CF9"/>
    <w:rsid w:val="007F6E0B"/>
    <w:rsid w:val="007F731D"/>
    <w:rsid w:val="007F7A62"/>
    <w:rsid w:val="007F7CE2"/>
    <w:rsid w:val="00800614"/>
    <w:rsid w:val="008006E4"/>
    <w:rsid w:val="008008EA"/>
    <w:rsid w:val="00800A5D"/>
    <w:rsid w:val="00800A97"/>
    <w:rsid w:val="00800B7A"/>
    <w:rsid w:val="00801349"/>
    <w:rsid w:val="00801528"/>
    <w:rsid w:val="00801C6D"/>
    <w:rsid w:val="00802225"/>
    <w:rsid w:val="00802236"/>
    <w:rsid w:val="008023EE"/>
    <w:rsid w:val="0080252B"/>
    <w:rsid w:val="00802759"/>
    <w:rsid w:val="00802AAE"/>
    <w:rsid w:val="00803353"/>
    <w:rsid w:val="0080354A"/>
    <w:rsid w:val="008035FC"/>
    <w:rsid w:val="00803C71"/>
    <w:rsid w:val="00803C88"/>
    <w:rsid w:val="00804069"/>
    <w:rsid w:val="00804083"/>
    <w:rsid w:val="008043E5"/>
    <w:rsid w:val="00804FDF"/>
    <w:rsid w:val="008054B1"/>
    <w:rsid w:val="00805721"/>
    <w:rsid w:val="008057CC"/>
    <w:rsid w:val="00805AFD"/>
    <w:rsid w:val="00806144"/>
    <w:rsid w:val="00806265"/>
    <w:rsid w:val="00806284"/>
    <w:rsid w:val="00806832"/>
    <w:rsid w:val="00806B2A"/>
    <w:rsid w:val="00806DD0"/>
    <w:rsid w:val="00806EB7"/>
    <w:rsid w:val="00807559"/>
    <w:rsid w:val="00807BD6"/>
    <w:rsid w:val="00810B03"/>
    <w:rsid w:val="00810B51"/>
    <w:rsid w:val="00810DF8"/>
    <w:rsid w:val="00811F81"/>
    <w:rsid w:val="00812816"/>
    <w:rsid w:val="008129DB"/>
    <w:rsid w:val="00812DEC"/>
    <w:rsid w:val="00813188"/>
    <w:rsid w:val="00813863"/>
    <w:rsid w:val="00813ACC"/>
    <w:rsid w:val="00814084"/>
    <w:rsid w:val="008142BD"/>
    <w:rsid w:val="00814438"/>
    <w:rsid w:val="00814517"/>
    <w:rsid w:val="00815587"/>
    <w:rsid w:val="00815E37"/>
    <w:rsid w:val="00815FC3"/>
    <w:rsid w:val="008160B9"/>
    <w:rsid w:val="008169D3"/>
    <w:rsid w:val="00816E5B"/>
    <w:rsid w:val="00817041"/>
    <w:rsid w:val="008170B1"/>
    <w:rsid w:val="008171E7"/>
    <w:rsid w:val="008172C7"/>
    <w:rsid w:val="00817357"/>
    <w:rsid w:val="00817613"/>
    <w:rsid w:val="00817E23"/>
    <w:rsid w:val="00820533"/>
    <w:rsid w:val="00820693"/>
    <w:rsid w:val="00820AE7"/>
    <w:rsid w:val="00820D48"/>
    <w:rsid w:val="00821469"/>
    <w:rsid w:val="00821626"/>
    <w:rsid w:val="008218A4"/>
    <w:rsid w:val="00821C4C"/>
    <w:rsid w:val="00822572"/>
    <w:rsid w:val="00822635"/>
    <w:rsid w:val="00822AA5"/>
    <w:rsid w:val="00823CFD"/>
    <w:rsid w:val="00824E3F"/>
    <w:rsid w:val="008252B0"/>
    <w:rsid w:val="008253D9"/>
    <w:rsid w:val="00826BAD"/>
    <w:rsid w:val="0082706B"/>
    <w:rsid w:val="00827074"/>
    <w:rsid w:val="00827284"/>
    <w:rsid w:val="00827318"/>
    <w:rsid w:val="00827454"/>
    <w:rsid w:val="00827854"/>
    <w:rsid w:val="00827905"/>
    <w:rsid w:val="00827953"/>
    <w:rsid w:val="00827C45"/>
    <w:rsid w:val="00830C11"/>
    <w:rsid w:val="00831718"/>
    <w:rsid w:val="00831E6B"/>
    <w:rsid w:val="00831EA2"/>
    <w:rsid w:val="0083262E"/>
    <w:rsid w:val="00832BCB"/>
    <w:rsid w:val="00832FA9"/>
    <w:rsid w:val="00833079"/>
    <w:rsid w:val="008338E0"/>
    <w:rsid w:val="008347B5"/>
    <w:rsid w:val="008349DA"/>
    <w:rsid w:val="00835F68"/>
    <w:rsid w:val="00836BC0"/>
    <w:rsid w:val="008373D9"/>
    <w:rsid w:val="00837BD4"/>
    <w:rsid w:val="00837EFC"/>
    <w:rsid w:val="008402F7"/>
    <w:rsid w:val="0084031E"/>
    <w:rsid w:val="008403D7"/>
    <w:rsid w:val="008406FA"/>
    <w:rsid w:val="00840977"/>
    <w:rsid w:val="00843294"/>
    <w:rsid w:val="00843BD2"/>
    <w:rsid w:val="00843F48"/>
    <w:rsid w:val="00843FCB"/>
    <w:rsid w:val="00844094"/>
    <w:rsid w:val="008440F7"/>
    <w:rsid w:val="00844D9F"/>
    <w:rsid w:val="00844FBC"/>
    <w:rsid w:val="00845B6C"/>
    <w:rsid w:val="0084631A"/>
    <w:rsid w:val="0084632F"/>
    <w:rsid w:val="008464BA"/>
    <w:rsid w:val="00846B35"/>
    <w:rsid w:val="008476F1"/>
    <w:rsid w:val="00847911"/>
    <w:rsid w:val="008500FD"/>
    <w:rsid w:val="008502B4"/>
    <w:rsid w:val="00850666"/>
    <w:rsid w:val="00850970"/>
    <w:rsid w:val="00850C96"/>
    <w:rsid w:val="00850E64"/>
    <w:rsid w:val="008520EB"/>
    <w:rsid w:val="00852759"/>
    <w:rsid w:val="00853CCE"/>
    <w:rsid w:val="00853ECF"/>
    <w:rsid w:val="00853F7A"/>
    <w:rsid w:val="00854114"/>
    <w:rsid w:val="00855192"/>
    <w:rsid w:val="0085567A"/>
    <w:rsid w:val="008559E9"/>
    <w:rsid w:val="00856066"/>
    <w:rsid w:val="00856099"/>
    <w:rsid w:val="0085666A"/>
    <w:rsid w:val="00856BD3"/>
    <w:rsid w:val="008575CD"/>
    <w:rsid w:val="008577FF"/>
    <w:rsid w:val="00857877"/>
    <w:rsid w:val="00860096"/>
    <w:rsid w:val="00860222"/>
    <w:rsid w:val="00860AB1"/>
    <w:rsid w:val="008618D0"/>
    <w:rsid w:val="008625B1"/>
    <w:rsid w:val="00862978"/>
    <w:rsid w:val="00862F3A"/>
    <w:rsid w:val="00863368"/>
    <w:rsid w:val="00864B0A"/>
    <w:rsid w:val="00864C15"/>
    <w:rsid w:val="008650CA"/>
    <w:rsid w:val="00865DA7"/>
    <w:rsid w:val="008661C7"/>
    <w:rsid w:val="00866297"/>
    <w:rsid w:val="00866620"/>
    <w:rsid w:val="008666EB"/>
    <w:rsid w:val="008667E1"/>
    <w:rsid w:val="008669C9"/>
    <w:rsid w:val="00866F04"/>
    <w:rsid w:val="00866F18"/>
    <w:rsid w:val="00866FA8"/>
    <w:rsid w:val="00867454"/>
    <w:rsid w:val="008675F0"/>
    <w:rsid w:val="00870BF8"/>
    <w:rsid w:val="00870CDB"/>
    <w:rsid w:val="0087160A"/>
    <w:rsid w:val="0087293B"/>
    <w:rsid w:val="008729F0"/>
    <w:rsid w:val="00873699"/>
    <w:rsid w:val="00873C04"/>
    <w:rsid w:val="008744FF"/>
    <w:rsid w:val="008749C5"/>
    <w:rsid w:val="00874A61"/>
    <w:rsid w:val="00874B8C"/>
    <w:rsid w:val="00875A5B"/>
    <w:rsid w:val="00877204"/>
    <w:rsid w:val="00877451"/>
    <w:rsid w:val="008775FB"/>
    <w:rsid w:val="008776D1"/>
    <w:rsid w:val="0087776F"/>
    <w:rsid w:val="008778C8"/>
    <w:rsid w:val="008805A7"/>
    <w:rsid w:val="0088085C"/>
    <w:rsid w:val="00880B01"/>
    <w:rsid w:val="00880EB7"/>
    <w:rsid w:val="00880F64"/>
    <w:rsid w:val="0088277C"/>
    <w:rsid w:val="008828A5"/>
    <w:rsid w:val="00883C95"/>
    <w:rsid w:val="00885ECB"/>
    <w:rsid w:val="0088655F"/>
    <w:rsid w:val="008871B1"/>
    <w:rsid w:val="00887523"/>
    <w:rsid w:val="0088778E"/>
    <w:rsid w:val="00887FF7"/>
    <w:rsid w:val="008906A4"/>
    <w:rsid w:val="008907CE"/>
    <w:rsid w:val="008909AC"/>
    <w:rsid w:val="00890C98"/>
    <w:rsid w:val="0089105B"/>
    <w:rsid w:val="008912D9"/>
    <w:rsid w:val="0089130E"/>
    <w:rsid w:val="008913D5"/>
    <w:rsid w:val="00891A04"/>
    <w:rsid w:val="00891CC1"/>
    <w:rsid w:val="0089203B"/>
    <w:rsid w:val="008931CC"/>
    <w:rsid w:val="00893F86"/>
    <w:rsid w:val="0089431D"/>
    <w:rsid w:val="008945EF"/>
    <w:rsid w:val="00894667"/>
    <w:rsid w:val="00894710"/>
    <w:rsid w:val="00894AA3"/>
    <w:rsid w:val="00894F43"/>
    <w:rsid w:val="00895714"/>
    <w:rsid w:val="00895B33"/>
    <w:rsid w:val="008962AA"/>
    <w:rsid w:val="00896AC8"/>
    <w:rsid w:val="00897281"/>
    <w:rsid w:val="00897E0A"/>
    <w:rsid w:val="008A0074"/>
    <w:rsid w:val="008A02D9"/>
    <w:rsid w:val="008A09B9"/>
    <w:rsid w:val="008A175E"/>
    <w:rsid w:val="008A1B6F"/>
    <w:rsid w:val="008A1BDD"/>
    <w:rsid w:val="008A1F6A"/>
    <w:rsid w:val="008A20E5"/>
    <w:rsid w:val="008A282D"/>
    <w:rsid w:val="008A2B08"/>
    <w:rsid w:val="008A371E"/>
    <w:rsid w:val="008A38D6"/>
    <w:rsid w:val="008A41B6"/>
    <w:rsid w:val="008A47E9"/>
    <w:rsid w:val="008A5BF1"/>
    <w:rsid w:val="008A5C76"/>
    <w:rsid w:val="008A5D7A"/>
    <w:rsid w:val="008A5F38"/>
    <w:rsid w:val="008A6F9C"/>
    <w:rsid w:val="008A74D0"/>
    <w:rsid w:val="008A7548"/>
    <w:rsid w:val="008A76C4"/>
    <w:rsid w:val="008A7E2B"/>
    <w:rsid w:val="008B028F"/>
    <w:rsid w:val="008B0C89"/>
    <w:rsid w:val="008B0F87"/>
    <w:rsid w:val="008B10BD"/>
    <w:rsid w:val="008B169B"/>
    <w:rsid w:val="008B1906"/>
    <w:rsid w:val="008B191D"/>
    <w:rsid w:val="008B1AE7"/>
    <w:rsid w:val="008B1B9E"/>
    <w:rsid w:val="008B207A"/>
    <w:rsid w:val="008B213C"/>
    <w:rsid w:val="008B223D"/>
    <w:rsid w:val="008B2386"/>
    <w:rsid w:val="008B2E41"/>
    <w:rsid w:val="008B3152"/>
    <w:rsid w:val="008B3168"/>
    <w:rsid w:val="008B333B"/>
    <w:rsid w:val="008B3BA0"/>
    <w:rsid w:val="008B404B"/>
    <w:rsid w:val="008B435E"/>
    <w:rsid w:val="008B46A8"/>
    <w:rsid w:val="008B4848"/>
    <w:rsid w:val="008B48B4"/>
    <w:rsid w:val="008B4BAB"/>
    <w:rsid w:val="008B55D7"/>
    <w:rsid w:val="008B56DB"/>
    <w:rsid w:val="008B5D42"/>
    <w:rsid w:val="008B5DDE"/>
    <w:rsid w:val="008B6062"/>
    <w:rsid w:val="008B6FCF"/>
    <w:rsid w:val="008B7156"/>
    <w:rsid w:val="008B73D5"/>
    <w:rsid w:val="008B7582"/>
    <w:rsid w:val="008B7A61"/>
    <w:rsid w:val="008C041E"/>
    <w:rsid w:val="008C0681"/>
    <w:rsid w:val="008C0962"/>
    <w:rsid w:val="008C09AB"/>
    <w:rsid w:val="008C0D41"/>
    <w:rsid w:val="008C0F10"/>
    <w:rsid w:val="008C133B"/>
    <w:rsid w:val="008C13D7"/>
    <w:rsid w:val="008C14D3"/>
    <w:rsid w:val="008C2508"/>
    <w:rsid w:val="008C251D"/>
    <w:rsid w:val="008C385A"/>
    <w:rsid w:val="008C3877"/>
    <w:rsid w:val="008C3DEC"/>
    <w:rsid w:val="008C407F"/>
    <w:rsid w:val="008C4C75"/>
    <w:rsid w:val="008C53F5"/>
    <w:rsid w:val="008C5EF9"/>
    <w:rsid w:val="008C6062"/>
    <w:rsid w:val="008C624E"/>
    <w:rsid w:val="008C65E7"/>
    <w:rsid w:val="008C6619"/>
    <w:rsid w:val="008C6B8D"/>
    <w:rsid w:val="008C726C"/>
    <w:rsid w:val="008C7893"/>
    <w:rsid w:val="008C7AA4"/>
    <w:rsid w:val="008C7BE9"/>
    <w:rsid w:val="008D0773"/>
    <w:rsid w:val="008D079B"/>
    <w:rsid w:val="008D0D49"/>
    <w:rsid w:val="008D1917"/>
    <w:rsid w:val="008D1CC0"/>
    <w:rsid w:val="008D2CD6"/>
    <w:rsid w:val="008D2D00"/>
    <w:rsid w:val="008D2D89"/>
    <w:rsid w:val="008D392C"/>
    <w:rsid w:val="008D405D"/>
    <w:rsid w:val="008D4347"/>
    <w:rsid w:val="008D4639"/>
    <w:rsid w:val="008D50A6"/>
    <w:rsid w:val="008D51F8"/>
    <w:rsid w:val="008D541E"/>
    <w:rsid w:val="008D5444"/>
    <w:rsid w:val="008D56B0"/>
    <w:rsid w:val="008D6CDA"/>
    <w:rsid w:val="008D706C"/>
    <w:rsid w:val="008D71B5"/>
    <w:rsid w:val="008D7B3A"/>
    <w:rsid w:val="008E11DC"/>
    <w:rsid w:val="008E12AC"/>
    <w:rsid w:val="008E12D6"/>
    <w:rsid w:val="008E263D"/>
    <w:rsid w:val="008E2E24"/>
    <w:rsid w:val="008E35A2"/>
    <w:rsid w:val="008E3AFB"/>
    <w:rsid w:val="008E40A4"/>
    <w:rsid w:val="008E40A9"/>
    <w:rsid w:val="008E4657"/>
    <w:rsid w:val="008E4F76"/>
    <w:rsid w:val="008E53AD"/>
    <w:rsid w:val="008E59D3"/>
    <w:rsid w:val="008F03FE"/>
    <w:rsid w:val="008F0536"/>
    <w:rsid w:val="008F06AA"/>
    <w:rsid w:val="008F0BA6"/>
    <w:rsid w:val="008F1011"/>
    <w:rsid w:val="008F1315"/>
    <w:rsid w:val="008F1633"/>
    <w:rsid w:val="008F166B"/>
    <w:rsid w:val="008F20E6"/>
    <w:rsid w:val="008F262A"/>
    <w:rsid w:val="008F2DBF"/>
    <w:rsid w:val="008F3A75"/>
    <w:rsid w:val="008F446D"/>
    <w:rsid w:val="008F4B5C"/>
    <w:rsid w:val="008F508E"/>
    <w:rsid w:val="008F52B6"/>
    <w:rsid w:val="008F5FA6"/>
    <w:rsid w:val="008F63DE"/>
    <w:rsid w:val="008F68F4"/>
    <w:rsid w:val="008F7436"/>
    <w:rsid w:val="008F7993"/>
    <w:rsid w:val="008F7CE9"/>
    <w:rsid w:val="008F7CFA"/>
    <w:rsid w:val="008F7D81"/>
    <w:rsid w:val="00900146"/>
    <w:rsid w:val="00900184"/>
    <w:rsid w:val="00900934"/>
    <w:rsid w:val="00900B8D"/>
    <w:rsid w:val="00901919"/>
    <w:rsid w:val="009019FF"/>
    <w:rsid w:val="00901E65"/>
    <w:rsid w:val="00901F24"/>
    <w:rsid w:val="00902478"/>
    <w:rsid w:val="00902984"/>
    <w:rsid w:val="009036C4"/>
    <w:rsid w:val="00903C0C"/>
    <w:rsid w:val="00904005"/>
    <w:rsid w:val="0090424F"/>
    <w:rsid w:val="00904666"/>
    <w:rsid w:val="00904A34"/>
    <w:rsid w:val="00904B1C"/>
    <w:rsid w:val="00904E20"/>
    <w:rsid w:val="00905511"/>
    <w:rsid w:val="009056D5"/>
    <w:rsid w:val="00906634"/>
    <w:rsid w:val="0090698F"/>
    <w:rsid w:val="00906E10"/>
    <w:rsid w:val="00906E73"/>
    <w:rsid w:val="009072CD"/>
    <w:rsid w:val="00907453"/>
    <w:rsid w:val="00907F9E"/>
    <w:rsid w:val="009109ED"/>
    <w:rsid w:val="00910BF9"/>
    <w:rsid w:val="00910C31"/>
    <w:rsid w:val="00910C70"/>
    <w:rsid w:val="00910DF2"/>
    <w:rsid w:val="00910FDE"/>
    <w:rsid w:val="009110DB"/>
    <w:rsid w:val="00911537"/>
    <w:rsid w:val="00912006"/>
    <w:rsid w:val="0091215D"/>
    <w:rsid w:val="0091262A"/>
    <w:rsid w:val="0091299A"/>
    <w:rsid w:val="00912F06"/>
    <w:rsid w:val="00912FAA"/>
    <w:rsid w:val="00913594"/>
    <w:rsid w:val="00913A90"/>
    <w:rsid w:val="00913ACD"/>
    <w:rsid w:val="00913FDB"/>
    <w:rsid w:val="009141BF"/>
    <w:rsid w:val="00914222"/>
    <w:rsid w:val="00915317"/>
    <w:rsid w:val="009156CC"/>
    <w:rsid w:val="00915922"/>
    <w:rsid w:val="009160B2"/>
    <w:rsid w:val="00916102"/>
    <w:rsid w:val="009163DE"/>
    <w:rsid w:val="00916AED"/>
    <w:rsid w:val="009204FF"/>
    <w:rsid w:val="00920E28"/>
    <w:rsid w:val="009213D9"/>
    <w:rsid w:val="00921F09"/>
    <w:rsid w:val="0092241D"/>
    <w:rsid w:val="00922A6D"/>
    <w:rsid w:val="00923CC8"/>
    <w:rsid w:val="00923F05"/>
    <w:rsid w:val="009240E3"/>
    <w:rsid w:val="009247F7"/>
    <w:rsid w:val="00925255"/>
    <w:rsid w:val="00925B00"/>
    <w:rsid w:val="00926243"/>
    <w:rsid w:val="0092665C"/>
    <w:rsid w:val="009268AD"/>
    <w:rsid w:val="0092692A"/>
    <w:rsid w:val="009273D8"/>
    <w:rsid w:val="00927924"/>
    <w:rsid w:val="00927C27"/>
    <w:rsid w:val="00927C70"/>
    <w:rsid w:val="00927DDC"/>
    <w:rsid w:val="00930749"/>
    <w:rsid w:val="00930AA5"/>
    <w:rsid w:val="00930BF3"/>
    <w:rsid w:val="009314F0"/>
    <w:rsid w:val="009318E5"/>
    <w:rsid w:val="00931A9B"/>
    <w:rsid w:val="00931BB3"/>
    <w:rsid w:val="00932144"/>
    <w:rsid w:val="00932B30"/>
    <w:rsid w:val="00933044"/>
    <w:rsid w:val="00933562"/>
    <w:rsid w:val="0093360C"/>
    <w:rsid w:val="00933DF6"/>
    <w:rsid w:val="009340F6"/>
    <w:rsid w:val="00934CA9"/>
    <w:rsid w:val="00934CBC"/>
    <w:rsid w:val="00934E0D"/>
    <w:rsid w:val="0093517C"/>
    <w:rsid w:val="00935332"/>
    <w:rsid w:val="00936043"/>
    <w:rsid w:val="009361C6"/>
    <w:rsid w:val="009362DF"/>
    <w:rsid w:val="00936324"/>
    <w:rsid w:val="0093661D"/>
    <w:rsid w:val="00936783"/>
    <w:rsid w:val="00937052"/>
    <w:rsid w:val="00937451"/>
    <w:rsid w:val="009376D7"/>
    <w:rsid w:val="00937A17"/>
    <w:rsid w:val="00937E0D"/>
    <w:rsid w:val="00937F61"/>
    <w:rsid w:val="0094054A"/>
    <w:rsid w:val="0094080F"/>
    <w:rsid w:val="00940870"/>
    <w:rsid w:val="0094116C"/>
    <w:rsid w:val="00941D54"/>
    <w:rsid w:val="00941E43"/>
    <w:rsid w:val="00941F7E"/>
    <w:rsid w:val="00941FD2"/>
    <w:rsid w:val="009429A5"/>
    <w:rsid w:val="009431C8"/>
    <w:rsid w:val="00943202"/>
    <w:rsid w:val="00943961"/>
    <w:rsid w:val="00944482"/>
    <w:rsid w:val="00944607"/>
    <w:rsid w:val="00944DE6"/>
    <w:rsid w:val="00945025"/>
    <w:rsid w:val="0094535A"/>
    <w:rsid w:val="0094553C"/>
    <w:rsid w:val="009462FA"/>
    <w:rsid w:val="00946C70"/>
    <w:rsid w:val="00946E91"/>
    <w:rsid w:val="00946EA2"/>
    <w:rsid w:val="00947AA2"/>
    <w:rsid w:val="00950220"/>
    <w:rsid w:val="00951030"/>
    <w:rsid w:val="009512D3"/>
    <w:rsid w:val="0095178E"/>
    <w:rsid w:val="009517CE"/>
    <w:rsid w:val="00951FD1"/>
    <w:rsid w:val="0095239D"/>
    <w:rsid w:val="0095306F"/>
    <w:rsid w:val="009531EA"/>
    <w:rsid w:val="009532D1"/>
    <w:rsid w:val="00953F24"/>
    <w:rsid w:val="0095423E"/>
    <w:rsid w:val="009544C3"/>
    <w:rsid w:val="00954A25"/>
    <w:rsid w:val="00954A7A"/>
    <w:rsid w:val="00955416"/>
    <w:rsid w:val="009560FE"/>
    <w:rsid w:val="009563B0"/>
    <w:rsid w:val="009563D2"/>
    <w:rsid w:val="00956890"/>
    <w:rsid w:val="00956D52"/>
    <w:rsid w:val="009572B7"/>
    <w:rsid w:val="00957898"/>
    <w:rsid w:val="009579E2"/>
    <w:rsid w:val="00960278"/>
    <w:rsid w:val="00960B68"/>
    <w:rsid w:val="00961CF8"/>
    <w:rsid w:val="009620AC"/>
    <w:rsid w:val="00962B64"/>
    <w:rsid w:val="00963587"/>
    <w:rsid w:val="00963B25"/>
    <w:rsid w:val="00964334"/>
    <w:rsid w:val="00964477"/>
    <w:rsid w:val="009649F3"/>
    <w:rsid w:val="00964C26"/>
    <w:rsid w:val="0096631C"/>
    <w:rsid w:val="00966613"/>
    <w:rsid w:val="00966ADB"/>
    <w:rsid w:val="00966F67"/>
    <w:rsid w:val="009672A3"/>
    <w:rsid w:val="00967387"/>
    <w:rsid w:val="009679FD"/>
    <w:rsid w:val="00967E5C"/>
    <w:rsid w:val="00967F8A"/>
    <w:rsid w:val="00970302"/>
    <w:rsid w:val="0097070C"/>
    <w:rsid w:val="009711C6"/>
    <w:rsid w:val="00972258"/>
    <w:rsid w:val="0097259D"/>
    <w:rsid w:val="009725D0"/>
    <w:rsid w:val="00972B4A"/>
    <w:rsid w:val="009730BC"/>
    <w:rsid w:val="009738E0"/>
    <w:rsid w:val="0097394C"/>
    <w:rsid w:val="00973FE1"/>
    <w:rsid w:val="009743C9"/>
    <w:rsid w:val="00975B0B"/>
    <w:rsid w:val="009760F1"/>
    <w:rsid w:val="009762B3"/>
    <w:rsid w:val="009762F5"/>
    <w:rsid w:val="009766DA"/>
    <w:rsid w:val="00976812"/>
    <w:rsid w:val="009775FE"/>
    <w:rsid w:val="00977B90"/>
    <w:rsid w:val="00977E3F"/>
    <w:rsid w:val="00980465"/>
    <w:rsid w:val="00980CA4"/>
    <w:rsid w:val="00980DC1"/>
    <w:rsid w:val="009819A6"/>
    <w:rsid w:val="00981F70"/>
    <w:rsid w:val="00982124"/>
    <w:rsid w:val="0098287C"/>
    <w:rsid w:val="009832D4"/>
    <w:rsid w:val="00983786"/>
    <w:rsid w:val="00984D83"/>
    <w:rsid w:val="009854A9"/>
    <w:rsid w:val="00985950"/>
    <w:rsid w:val="00985E2F"/>
    <w:rsid w:val="00985F8B"/>
    <w:rsid w:val="0098613D"/>
    <w:rsid w:val="009864FA"/>
    <w:rsid w:val="00986602"/>
    <w:rsid w:val="009866B1"/>
    <w:rsid w:val="009869A6"/>
    <w:rsid w:val="00987133"/>
    <w:rsid w:val="009873DB"/>
    <w:rsid w:val="009878BE"/>
    <w:rsid w:val="00990218"/>
    <w:rsid w:val="00990747"/>
    <w:rsid w:val="00990969"/>
    <w:rsid w:val="00990D10"/>
    <w:rsid w:val="00990D4E"/>
    <w:rsid w:val="00991082"/>
    <w:rsid w:val="009911EB"/>
    <w:rsid w:val="00991F05"/>
    <w:rsid w:val="009924D9"/>
    <w:rsid w:val="00992682"/>
    <w:rsid w:val="00992D9F"/>
    <w:rsid w:val="00992F20"/>
    <w:rsid w:val="009931C6"/>
    <w:rsid w:val="0099389D"/>
    <w:rsid w:val="009939B4"/>
    <w:rsid w:val="0099409F"/>
    <w:rsid w:val="00994F4C"/>
    <w:rsid w:val="00995007"/>
    <w:rsid w:val="009951CA"/>
    <w:rsid w:val="0099521A"/>
    <w:rsid w:val="00995F65"/>
    <w:rsid w:val="00996045"/>
    <w:rsid w:val="00996884"/>
    <w:rsid w:val="00996CB2"/>
    <w:rsid w:val="00997302"/>
    <w:rsid w:val="00997B8F"/>
    <w:rsid w:val="00997FE6"/>
    <w:rsid w:val="009A0175"/>
    <w:rsid w:val="009A04E5"/>
    <w:rsid w:val="009A12D0"/>
    <w:rsid w:val="009A166A"/>
    <w:rsid w:val="009A1697"/>
    <w:rsid w:val="009A262B"/>
    <w:rsid w:val="009A26A9"/>
    <w:rsid w:val="009A2B34"/>
    <w:rsid w:val="009A2CDF"/>
    <w:rsid w:val="009A2DB2"/>
    <w:rsid w:val="009A3213"/>
    <w:rsid w:val="009A3C79"/>
    <w:rsid w:val="009A3F3E"/>
    <w:rsid w:val="009A49D1"/>
    <w:rsid w:val="009A4DB1"/>
    <w:rsid w:val="009A4DE2"/>
    <w:rsid w:val="009A4EFD"/>
    <w:rsid w:val="009A5083"/>
    <w:rsid w:val="009A5264"/>
    <w:rsid w:val="009A5D7F"/>
    <w:rsid w:val="009A6918"/>
    <w:rsid w:val="009A7AAB"/>
    <w:rsid w:val="009A7B79"/>
    <w:rsid w:val="009A7E50"/>
    <w:rsid w:val="009B00F2"/>
    <w:rsid w:val="009B0453"/>
    <w:rsid w:val="009B0550"/>
    <w:rsid w:val="009B1D8A"/>
    <w:rsid w:val="009B2754"/>
    <w:rsid w:val="009B2EE6"/>
    <w:rsid w:val="009B324B"/>
    <w:rsid w:val="009B356A"/>
    <w:rsid w:val="009B3948"/>
    <w:rsid w:val="009B3B23"/>
    <w:rsid w:val="009B3FB3"/>
    <w:rsid w:val="009B4FB5"/>
    <w:rsid w:val="009B5C86"/>
    <w:rsid w:val="009B6057"/>
    <w:rsid w:val="009B6B2F"/>
    <w:rsid w:val="009B6C7A"/>
    <w:rsid w:val="009B6DFA"/>
    <w:rsid w:val="009B75FB"/>
    <w:rsid w:val="009B7FD0"/>
    <w:rsid w:val="009C04CC"/>
    <w:rsid w:val="009C09C4"/>
    <w:rsid w:val="009C0A4D"/>
    <w:rsid w:val="009C0CE6"/>
    <w:rsid w:val="009C1429"/>
    <w:rsid w:val="009C165E"/>
    <w:rsid w:val="009C1AE7"/>
    <w:rsid w:val="009C20BA"/>
    <w:rsid w:val="009C2F2B"/>
    <w:rsid w:val="009C34F0"/>
    <w:rsid w:val="009C35EB"/>
    <w:rsid w:val="009C3D8E"/>
    <w:rsid w:val="009C41C7"/>
    <w:rsid w:val="009C432D"/>
    <w:rsid w:val="009C4CC0"/>
    <w:rsid w:val="009C4E44"/>
    <w:rsid w:val="009C4FBB"/>
    <w:rsid w:val="009C5737"/>
    <w:rsid w:val="009C60B6"/>
    <w:rsid w:val="009C651F"/>
    <w:rsid w:val="009C6765"/>
    <w:rsid w:val="009C6C41"/>
    <w:rsid w:val="009D092A"/>
    <w:rsid w:val="009D0C01"/>
    <w:rsid w:val="009D0FD2"/>
    <w:rsid w:val="009D27EF"/>
    <w:rsid w:val="009D2A39"/>
    <w:rsid w:val="009D4451"/>
    <w:rsid w:val="009D44CE"/>
    <w:rsid w:val="009D4FA4"/>
    <w:rsid w:val="009D523B"/>
    <w:rsid w:val="009D562B"/>
    <w:rsid w:val="009D562E"/>
    <w:rsid w:val="009D6F60"/>
    <w:rsid w:val="009D7ADC"/>
    <w:rsid w:val="009D7D43"/>
    <w:rsid w:val="009D7F0F"/>
    <w:rsid w:val="009E0659"/>
    <w:rsid w:val="009E1048"/>
    <w:rsid w:val="009E1F40"/>
    <w:rsid w:val="009E1FD8"/>
    <w:rsid w:val="009E257F"/>
    <w:rsid w:val="009E2835"/>
    <w:rsid w:val="009E34B9"/>
    <w:rsid w:val="009E3AEF"/>
    <w:rsid w:val="009E3CC8"/>
    <w:rsid w:val="009E3E8B"/>
    <w:rsid w:val="009E472F"/>
    <w:rsid w:val="009E4B61"/>
    <w:rsid w:val="009E4F05"/>
    <w:rsid w:val="009E6449"/>
    <w:rsid w:val="009E6874"/>
    <w:rsid w:val="009F08F4"/>
    <w:rsid w:val="009F12BD"/>
    <w:rsid w:val="009F141A"/>
    <w:rsid w:val="009F223E"/>
    <w:rsid w:val="009F23B9"/>
    <w:rsid w:val="009F3D31"/>
    <w:rsid w:val="009F3EC3"/>
    <w:rsid w:val="009F46E5"/>
    <w:rsid w:val="009F4B05"/>
    <w:rsid w:val="009F4B1E"/>
    <w:rsid w:val="009F4C53"/>
    <w:rsid w:val="009F4D7A"/>
    <w:rsid w:val="009F4FDD"/>
    <w:rsid w:val="009F5304"/>
    <w:rsid w:val="009F5781"/>
    <w:rsid w:val="009F61AB"/>
    <w:rsid w:val="009F7D62"/>
    <w:rsid w:val="009F7EA8"/>
    <w:rsid w:val="00A0000D"/>
    <w:rsid w:val="00A005BB"/>
    <w:rsid w:val="00A00A6A"/>
    <w:rsid w:val="00A01BEC"/>
    <w:rsid w:val="00A02116"/>
    <w:rsid w:val="00A0222C"/>
    <w:rsid w:val="00A02277"/>
    <w:rsid w:val="00A02973"/>
    <w:rsid w:val="00A02CD2"/>
    <w:rsid w:val="00A032E5"/>
    <w:rsid w:val="00A0470A"/>
    <w:rsid w:val="00A04755"/>
    <w:rsid w:val="00A04F20"/>
    <w:rsid w:val="00A05DE6"/>
    <w:rsid w:val="00A06033"/>
    <w:rsid w:val="00A06134"/>
    <w:rsid w:val="00A06346"/>
    <w:rsid w:val="00A0669F"/>
    <w:rsid w:val="00A06919"/>
    <w:rsid w:val="00A06A43"/>
    <w:rsid w:val="00A06CC7"/>
    <w:rsid w:val="00A1066D"/>
    <w:rsid w:val="00A1089D"/>
    <w:rsid w:val="00A10FD2"/>
    <w:rsid w:val="00A11980"/>
    <w:rsid w:val="00A122AB"/>
    <w:rsid w:val="00A125B4"/>
    <w:rsid w:val="00A12AC3"/>
    <w:rsid w:val="00A131D3"/>
    <w:rsid w:val="00A139BD"/>
    <w:rsid w:val="00A13A02"/>
    <w:rsid w:val="00A140CE"/>
    <w:rsid w:val="00A14207"/>
    <w:rsid w:val="00A14748"/>
    <w:rsid w:val="00A14B60"/>
    <w:rsid w:val="00A14CF0"/>
    <w:rsid w:val="00A14E10"/>
    <w:rsid w:val="00A1577E"/>
    <w:rsid w:val="00A15DAE"/>
    <w:rsid w:val="00A15DBA"/>
    <w:rsid w:val="00A16B25"/>
    <w:rsid w:val="00A16D1F"/>
    <w:rsid w:val="00A17B89"/>
    <w:rsid w:val="00A17E81"/>
    <w:rsid w:val="00A20B2C"/>
    <w:rsid w:val="00A20C67"/>
    <w:rsid w:val="00A20D68"/>
    <w:rsid w:val="00A21342"/>
    <w:rsid w:val="00A21857"/>
    <w:rsid w:val="00A21E49"/>
    <w:rsid w:val="00A22324"/>
    <w:rsid w:val="00A22F36"/>
    <w:rsid w:val="00A231AE"/>
    <w:rsid w:val="00A23632"/>
    <w:rsid w:val="00A23642"/>
    <w:rsid w:val="00A24623"/>
    <w:rsid w:val="00A25318"/>
    <w:rsid w:val="00A26516"/>
    <w:rsid w:val="00A26AEE"/>
    <w:rsid w:val="00A26E18"/>
    <w:rsid w:val="00A270CB"/>
    <w:rsid w:val="00A27600"/>
    <w:rsid w:val="00A27B9C"/>
    <w:rsid w:val="00A27F7D"/>
    <w:rsid w:val="00A3021F"/>
    <w:rsid w:val="00A30236"/>
    <w:rsid w:val="00A30A05"/>
    <w:rsid w:val="00A30BAE"/>
    <w:rsid w:val="00A31142"/>
    <w:rsid w:val="00A31317"/>
    <w:rsid w:val="00A31389"/>
    <w:rsid w:val="00A314E9"/>
    <w:rsid w:val="00A31BF5"/>
    <w:rsid w:val="00A32727"/>
    <w:rsid w:val="00A33D96"/>
    <w:rsid w:val="00A34185"/>
    <w:rsid w:val="00A341BB"/>
    <w:rsid w:val="00A34C4B"/>
    <w:rsid w:val="00A34D00"/>
    <w:rsid w:val="00A35B61"/>
    <w:rsid w:val="00A36529"/>
    <w:rsid w:val="00A36E3C"/>
    <w:rsid w:val="00A36E4A"/>
    <w:rsid w:val="00A3722D"/>
    <w:rsid w:val="00A37585"/>
    <w:rsid w:val="00A376F4"/>
    <w:rsid w:val="00A4066E"/>
    <w:rsid w:val="00A40847"/>
    <w:rsid w:val="00A40982"/>
    <w:rsid w:val="00A40AD5"/>
    <w:rsid w:val="00A40ED7"/>
    <w:rsid w:val="00A4186F"/>
    <w:rsid w:val="00A41BE9"/>
    <w:rsid w:val="00A41EC8"/>
    <w:rsid w:val="00A41F6D"/>
    <w:rsid w:val="00A42AF7"/>
    <w:rsid w:val="00A42C28"/>
    <w:rsid w:val="00A42EAC"/>
    <w:rsid w:val="00A43217"/>
    <w:rsid w:val="00A43EE2"/>
    <w:rsid w:val="00A44009"/>
    <w:rsid w:val="00A44761"/>
    <w:rsid w:val="00A448DF"/>
    <w:rsid w:val="00A44A7D"/>
    <w:rsid w:val="00A4578E"/>
    <w:rsid w:val="00A45DE8"/>
    <w:rsid w:val="00A46266"/>
    <w:rsid w:val="00A471ED"/>
    <w:rsid w:val="00A47276"/>
    <w:rsid w:val="00A47636"/>
    <w:rsid w:val="00A47994"/>
    <w:rsid w:val="00A47F9F"/>
    <w:rsid w:val="00A5094B"/>
    <w:rsid w:val="00A50CA3"/>
    <w:rsid w:val="00A513C3"/>
    <w:rsid w:val="00A516E6"/>
    <w:rsid w:val="00A5194F"/>
    <w:rsid w:val="00A51965"/>
    <w:rsid w:val="00A51E67"/>
    <w:rsid w:val="00A52CF2"/>
    <w:rsid w:val="00A52E8A"/>
    <w:rsid w:val="00A531CA"/>
    <w:rsid w:val="00A5326F"/>
    <w:rsid w:val="00A53672"/>
    <w:rsid w:val="00A538A8"/>
    <w:rsid w:val="00A542DE"/>
    <w:rsid w:val="00A54886"/>
    <w:rsid w:val="00A54AF8"/>
    <w:rsid w:val="00A54C11"/>
    <w:rsid w:val="00A5521C"/>
    <w:rsid w:val="00A5521F"/>
    <w:rsid w:val="00A555BD"/>
    <w:rsid w:val="00A555F0"/>
    <w:rsid w:val="00A5590E"/>
    <w:rsid w:val="00A55E20"/>
    <w:rsid w:val="00A5646B"/>
    <w:rsid w:val="00A56933"/>
    <w:rsid w:val="00A56F0F"/>
    <w:rsid w:val="00A5753D"/>
    <w:rsid w:val="00A57685"/>
    <w:rsid w:val="00A579A2"/>
    <w:rsid w:val="00A57CD2"/>
    <w:rsid w:val="00A57D8C"/>
    <w:rsid w:val="00A57E42"/>
    <w:rsid w:val="00A57F72"/>
    <w:rsid w:val="00A60552"/>
    <w:rsid w:val="00A608AC"/>
    <w:rsid w:val="00A60AB6"/>
    <w:rsid w:val="00A60B33"/>
    <w:rsid w:val="00A60B42"/>
    <w:rsid w:val="00A615F3"/>
    <w:rsid w:val="00A61B37"/>
    <w:rsid w:val="00A61BFE"/>
    <w:rsid w:val="00A62D1A"/>
    <w:rsid w:val="00A6356A"/>
    <w:rsid w:val="00A6389C"/>
    <w:rsid w:val="00A64218"/>
    <w:rsid w:val="00A647E2"/>
    <w:rsid w:val="00A64CF5"/>
    <w:rsid w:val="00A65D0F"/>
    <w:rsid w:val="00A66F54"/>
    <w:rsid w:val="00A675B0"/>
    <w:rsid w:val="00A67BCB"/>
    <w:rsid w:val="00A709AE"/>
    <w:rsid w:val="00A70C8D"/>
    <w:rsid w:val="00A71D65"/>
    <w:rsid w:val="00A72515"/>
    <w:rsid w:val="00A72556"/>
    <w:rsid w:val="00A72E07"/>
    <w:rsid w:val="00A73825"/>
    <w:rsid w:val="00A73C1A"/>
    <w:rsid w:val="00A73C40"/>
    <w:rsid w:val="00A73E95"/>
    <w:rsid w:val="00A7453F"/>
    <w:rsid w:val="00A74562"/>
    <w:rsid w:val="00A747CA"/>
    <w:rsid w:val="00A74A37"/>
    <w:rsid w:val="00A74CE6"/>
    <w:rsid w:val="00A74E77"/>
    <w:rsid w:val="00A74F48"/>
    <w:rsid w:val="00A75466"/>
    <w:rsid w:val="00A75EA0"/>
    <w:rsid w:val="00A75F4F"/>
    <w:rsid w:val="00A767D4"/>
    <w:rsid w:val="00A770AB"/>
    <w:rsid w:val="00A771EA"/>
    <w:rsid w:val="00A77339"/>
    <w:rsid w:val="00A777E2"/>
    <w:rsid w:val="00A7791E"/>
    <w:rsid w:val="00A803A3"/>
    <w:rsid w:val="00A8076A"/>
    <w:rsid w:val="00A80A3B"/>
    <w:rsid w:val="00A80B0A"/>
    <w:rsid w:val="00A81CE1"/>
    <w:rsid w:val="00A8200E"/>
    <w:rsid w:val="00A8212C"/>
    <w:rsid w:val="00A828E8"/>
    <w:rsid w:val="00A829DB"/>
    <w:rsid w:val="00A82D49"/>
    <w:rsid w:val="00A82D6E"/>
    <w:rsid w:val="00A8363B"/>
    <w:rsid w:val="00A8395B"/>
    <w:rsid w:val="00A83A83"/>
    <w:rsid w:val="00A8424C"/>
    <w:rsid w:val="00A843AF"/>
    <w:rsid w:val="00A845AE"/>
    <w:rsid w:val="00A8525A"/>
    <w:rsid w:val="00A85397"/>
    <w:rsid w:val="00A8593B"/>
    <w:rsid w:val="00A8597C"/>
    <w:rsid w:val="00A861CF"/>
    <w:rsid w:val="00A8639C"/>
    <w:rsid w:val="00A868B6"/>
    <w:rsid w:val="00A86A32"/>
    <w:rsid w:val="00A86AC8"/>
    <w:rsid w:val="00A86B66"/>
    <w:rsid w:val="00A86DD5"/>
    <w:rsid w:val="00A90A39"/>
    <w:rsid w:val="00A9195B"/>
    <w:rsid w:val="00A92883"/>
    <w:rsid w:val="00A931F7"/>
    <w:rsid w:val="00A93BB8"/>
    <w:rsid w:val="00A9414B"/>
    <w:rsid w:val="00A941BB"/>
    <w:rsid w:val="00A966CF"/>
    <w:rsid w:val="00A96E01"/>
    <w:rsid w:val="00AA057D"/>
    <w:rsid w:val="00AA09EA"/>
    <w:rsid w:val="00AA0B72"/>
    <w:rsid w:val="00AA0D99"/>
    <w:rsid w:val="00AA0F84"/>
    <w:rsid w:val="00AA1070"/>
    <w:rsid w:val="00AA1296"/>
    <w:rsid w:val="00AA1A8A"/>
    <w:rsid w:val="00AA1BAC"/>
    <w:rsid w:val="00AA2246"/>
    <w:rsid w:val="00AA2875"/>
    <w:rsid w:val="00AA2CA6"/>
    <w:rsid w:val="00AA331E"/>
    <w:rsid w:val="00AA35D0"/>
    <w:rsid w:val="00AA3F21"/>
    <w:rsid w:val="00AA44AC"/>
    <w:rsid w:val="00AA4BE3"/>
    <w:rsid w:val="00AA5727"/>
    <w:rsid w:val="00AA65EF"/>
    <w:rsid w:val="00AA6797"/>
    <w:rsid w:val="00AA78AB"/>
    <w:rsid w:val="00AB0153"/>
    <w:rsid w:val="00AB021C"/>
    <w:rsid w:val="00AB1821"/>
    <w:rsid w:val="00AB22B5"/>
    <w:rsid w:val="00AB25CB"/>
    <w:rsid w:val="00AB2817"/>
    <w:rsid w:val="00AB40B0"/>
    <w:rsid w:val="00AB4A27"/>
    <w:rsid w:val="00AB53D0"/>
    <w:rsid w:val="00AB54C5"/>
    <w:rsid w:val="00AB54F5"/>
    <w:rsid w:val="00AB57A0"/>
    <w:rsid w:val="00AB5B33"/>
    <w:rsid w:val="00AB5B56"/>
    <w:rsid w:val="00AB5C27"/>
    <w:rsid w:val="00AB6965"/>
    <w:rsid w:val="00AB6C5A"/>
    <w:rsid w:val="00AB6F2C"/>
    <w:rsid w:val="00AB72CD"/>
    <w:rsid w:val="00AB780F"/>
    <w:rsid w:val="00AB7BD9"/>
    <w:rsid w:val="00AC0176"/>
    <w:rsid w:val="00AC0385"/>
    <w:rsid w:val="00AC0C1D"/>
    <w:rsid w:val="00AC0C49"/>
    <w:rsid w:val="00AC0F9D"/>
    <w:rsid w:val="00AC208D"/>
    <w:rsid w:val="00AC2783"/>
    <w:rsid w:val="00AC2AF8"/>
    <w:rsid w:val="00AC2B8C"/>
    <w:rsid w:val="00AC2D1F"/>
    <w:rsid w:val="00AC30B7"/>
    <w:rsid w:val="00AC361C"/>
    <w:rsid w:val="00AC3A2E"/>
    <w:rsid w:val="00AC4083"/>
    <w:rsid w:val="00AC4895"/>
    <w:rsid w:val="00AC53BE"/>
    <w:rsid w:val="00AC5B3F"/>
    <w:rsid w:val="00AC60ED"/>
    <w:rsid w:val="00AC6286"/>
    <w:rsid w:val="00AC67EE"/>
    <w:rsid w:val="00AC705E"/>
    <w:rsid w:val="00AC7340"/>
    <w:rsid w:val="00AC76DC"/>
    <w:rsid w:val="00AC7D09"/>
    <w:rsid w:val="00AD024A"/>
    <w:rsid w:val="00AD039C"/>
    <w:rsid w:val="00AD0768"/>
    <w:rsid w:val="00AD1187"/>
    <w:rsid w:val="00AD171D"/>
    <w:rsid w:val="00AD188B"/>
    <w:rsid w:val="00AD2323"/>
    <w:rsid w:val="00AD32F1"/>
    <w:rsid w:val="00AD3323"/>
    <w:rsid w:val="00AD3B55"/>
    <w:rsid w:val="00AD456F"/>
    <w:rsid w:val="00AD4F12"/>
    <w:rsid w:val="00AD5BF2"/>
    <w:rsid w:val="00AD6329"/>
    <w:rsid w:val="00AD69A7"/>
    <w:rsid w:val="00AD69C6"/>
    <w:rsid w:val="00AD6B93"/>
    <w:rsid w:val="00AD6EA3"/>
    <w:rsid w:val="00AE0314"/>
    <w:rsid w:val="00AE08D0"/>
    <w:rsid w:val="00AE0D4A"/>
    <w:rsid w:val="00AE1A16"/>
    <w:rsid w:val="00AE1BC0"/>
    <w:rsid w:val="00AE1F78"/>
    <w:rsid w:val="00AE23D3"/>
    <w:rsid w:val="00AE2539"/>
    <w:rsid w:val="00AE2E95"/>
    <w:rsid w:val="00AE31AC"/>
    <w:rsid w:val="00AE3532"/>
    <w:rsid w:val="00AE3FB7"/>
    <w:rsid w:val="00AE44D0"/>
    <w:rsid w:val="00AE4810"/>
    <w:rsid w:val="00AE4D31"/>
    <w:rsid w:val="00AE536A"/>
    <w:rsid w:val="00AE5A4A"/>
    <w:rsid w:val="00AE5CB2"/>
    <w:rsid w:val="00AE6193"/>
    <w:rsid w:val="00AE6294"/>
    <w:rsid w:val="00AE6855"/>
    <w:rsid w:val="00AE6961"/>
    <w:rsid w:val="00AE6C73"/>
    <w:rsid w:val="00AE72D6"/>
    <w:rsid w:val="00AE786B"/>
    <w:rsid w:val="00AE796A"/>
    <w:rsid w:val="00AE7AE6"/>
    <w:rsid w:val="00AE7D0F"/>
    <w:rsid w:val="00AE7F77"/>
    <w:rsid w:val="00AF023C"/>
    <w:rsid w:val="00AF0278"/>
    <w:rsid w:val="00AF039C"/>
    <w:rsid w:val="00AF0656"/>
    <w:rsid w:val="00AF0B7B"/>
    <w:rsid w:val="00AF0B97"/>
    <w:rsid w:val="00AF155C"/>
    <w:rsid w:val="00AF21C3"/>
    <w:rsid w:val="00AF2251"/>
    <w:rsid w:val="00AF24DC"/>
    <w:rsid w:val="00AF25A2"/>
    <w:rsid w:val="00AF292F"/>
    <w:rsid w:val="00AF2DDB"/>
    <w:rsid w:val="00AF3059"/>
    <w:rsid w:val="00AF32EE"/>
    <w:rsid w:val="00AF3DF7"/>
    <w:rsid w:val="00AF3DFF"/>
    <w:rsid w:val="00AF4D14"/>
    <w:rsid w:val="00AF4F20"/>
    <w:rsid w:val="00AF4FE8"/>
    <w:rsid w:val="00AF51AE"/>
    <w:rsid w:val="00AF6EEF"/>
    <w:rsid w:val="00AF7135"/>
    <w:rsid w:val="00AF7425"/>
    <w:rsid w:val="00AF787C"/>
    <w:rsid w:val="00AF7F55"/>
    <w:rsid w:val="00B02285"/>
    <w:rsid w:val="00B02920"/>
    <w:rsid w:val="00B039F2"/>
    <w:rsid w:val="00B03FC8"/>
    <w:rsid w:val="00B048A9"/>
    <w:rsid w:val="00B04A40"/>
    <w:rsid w:val="00B050A3"/>
    <w:rsid w:val="00B05305"/>
    <w:rsid w:val="00B05C40"/>
    <w:rsid w:val="00B06452"/>
    <w:rsid w:val="00B06DD5"/>
    <w:rsid w:val="00B07575"/>
    <w:rsid w:val="00B07899"/>
    <w:rsid w:val="00B07FF3"/>
    <w:rsid w:val="00B105FF"/>
    <w:rsid w:val="00B10A9B"/>
    <w:rsid w:val="00B110C6"/>
    <w:rsid w:val="00B111D4"/>
    <w:rsid w:val="00B118D9"/>
    <w:rsid w:val="00B11A3B"/>
    <w:rsid w:val="00B11B95"/>
    <w:rsid w:val="00B11C03"/>
    <w:rsid w:val="00B11EC8"/>
    <w:rsid w:val="00B121CC"/>
    <w:rsid w:val="00B12A41"/>
    <w:rsid w:val="00B130D9"/>
    <w:rsid w:val="00B138E6"/>
    <w:rsid w:val="00B13D95"/>
    <w:rsid w:val="00B13DF7"/>
    <w:rsid w:val="00B14522"/>
    <w:rsid w:val="00B1452F"/>
    <w:rsid w:val="00B15718"/>
    <w:rsid w:val="00B16561"/>
    <w:rsid w:val="00B16866"/>
    <w:rsid w:val="00B16B47"/>
    <w:rsid w:val="00B16DDD"/>
    <w:rsid w:val="00B17467"/>
    <w:rsid w:val="00B177C7"/>
    <w:rsid w:val="00B17836"/>
    <w:rsid w:val="00B2053E"/>
    <w:rsid w:val="00B20C22"/>
    <w:rsid w:val="00B20CC9"/>
    <w:rsid w:val="00B20FA3"/>
    <w:rsid w:val="00B2156F"/>
    <w:rsid w:val="00B215E8"/>
    <w:rsid w:val="00B21817"/>
    <w:rsid w:val="00B21E3B"/>
    <w:rsid w:val="00B21F1C"/>
    <w:rsid w:val="00B2203E"/>
    <w:rsid w:val="00B231C0"/>
    <w:rsid w:val="00B239AF"/>
    <w:rsid w:val="00B23DD5"/>
    <w:rsid w:val="00B24460"/>
    <w:rsid w:val="00B24751"/>
    <w:rsid w:val="00B26097"/>
    <w:rsid w:val="00B26BDE"/>
    <w:rsid w:val="00B272B8"/>
    <w:rsid w:val="00B27BD4"/>
    <w:rsid w:val="00B27C78"/>
    <w:rsid w:val="00B30088"/>
    <w:rsid w:val="00B30479"/>
    <w:rsid w:val="00B30488"/>
    <w:rsid w:val="00B30ECF"/>
    <w:rsid w:val="00B30F30"/>
    <w:rsid w:val="00B31784"/>
    <w:rsid w:val="00B317FC"/>
    <w:rsid w:val="00B31A6F"/>
    <w:rsid w:val="00B331A4"/>
    <w:rsid w:val="00B331E2"/>
    <w:rsid w:val="00B33C14"/>
    <w:rsid w:val="00B34054"/>
    <w:rsid w:val="00B347FF"/>
    <w:rsid w:val="00B34F76"/>
    <w:rsid w:val="00B34FE2"/>
    <w:rsid w:val="00B354D9"/>
    <w:rsid w:val="00B35FEC"/>
    <w:rsid w:val="00B3600E"/>
    <w:rsid w:val="00B3614A"/>
    <w:rsid w:val="00B36311"/>
    <w:rsid w:val="00B3635E"/>
    <w:rsid w:val="00B37923"/>
    <w:rsid w:val="00B37B90"/>
    <w:rsid w:val="00B4035A"/>
    <w:rsid w:val="00B404C8"/>
    <w:rsid w:val="00B40A45"/>
    <w:rsid w:val="00B4187C"/>
    <w:rsid w:val="00B42166"/>
    <w:rsid w:val="00B42556"/>
    <w:rsid w:val="00B427F4"/>
    <w:rsid w:val="00B43470"/>
    <w:rsid w:val="00B438A9"/>
    <w:rsid w:val="00B43BC5"/>
    <w:rsid w:val="00B44040"/>
    <w:rsid w:val="00B445AF"/>
    <w:rsid w:val="00B44AA4"/>
    <w:rsid w:val="00B4503F"/>
    <w:rsid w:val="00B45109"/>
    <w:rsid w:val="00B4541F"/>
    <w:rsid w:val="00B457FC"/>
    <w:rsid w:val="00B458C7"/>
    <w:rsid w:val="00B4649E"/>
    <w:rsid w:val="00B46AC0"/>
    <w:rsid w:val="00B46D2F"/>
    <w:rsid w:val="00B46D81"/>
    <w:rsid w:val="00B472B2"/>
    <w:rsid w:val="00B473D7"/>
    <w:rsid w:val="00B47582"/>
    <w:rsid w:val="00B505EE"/>
    <w:rsid w:val="00B508F6"/>
    <w:rsid w:val="00B51CAA"/>
    <w:rsid w:val="00B51E53"/>
    <w:rsid w:val="00B5200C"/>
    <w:rsid w:val="00B52938"/>
    <w:rsid w:val="00B535F5"/>
    <w:rsid w:val="00B5370E"/>
    <w:rsid w:val="00B53A60"/>
    <w:rsid w:val="00B53DAB"/>
    <w:rsid w:val="00B54338"/>
    <w:rsid w:val="00B544F8"/>
    <w:rsid w:val="00B545F5"/>
    <w:rsid w:val="00B5472A"/>
    <w:rsid w:val="00B5497A"/>
    <w:rsid w:val="00B54AA2"/>
    <w:rsid w:val="00B54C57"/>
    <w:rsid w:val="00B55285"/>
    <w:rsid w:val="00B558EE"/>
    <w:rsid w:val="00B55AE9"/>
    <w:rsid w:val="00B5711C"/>
    <w:rsid w:val="00B5769D"/>
    <w:rsid w:val="00B57E7E"/>
    <w:rsid w:val="00B612B9"/>
    <w:rsid w:val="00B6135B"/>
    <w:rsid w:val="00B61C51"/>
    <w:rsid w:val="00B626B7"/>
    <w:rsid w:val="00B62DE3"/>
    <w:rsid w:val="00B6330B"/>
    <w:rsid w:val="00B6344E"/>
    <w:rsid w:val="00B63656"/>
    <w:rsid w:val="00B642C8"/>
    <w:rsid w:val="00B64C3B"/>
    <w:rsid w:val="00B662DA"/>
    <w:rsid w:val="00B669D4"/>
    <w:rsid w:val="00B66BB9"/>
    <w:rsid w:val="00B675FD"/>
    <w:rsid w:val="00B70C9A"/>
    <w:rsid w:val="00B70DFE"/>
    <w:rsid w:val="00B70F49"/>
    <w:rsid w:val="00B7149E"/>
    <w:rsid w:val="00B714DC"/>
    <w:rsid w:val="00B71A00"/>
    <w:rsid w:val="00B71D17"/>
    <w:rsid w:val="00B71F6E"/>
    <w:rsid w:val="00B72093"/>
    <w:rsid w:val="00B72214"/>
    <w:rsid w:val="00B729B9"/>
    <w:rsid w:val="00B73104"/>
    <w:rsid w:val="00B73C50"/>
    <w:rsid w:val="00B74160"/>
    <w:rsid w:val="00B74332"/>
    <w:rsid w:val="00B74D34"/>
    <w:rsid w:val="00B75BBD"/>
    <w:rsid w:val="00B75D50"/>
    <w:rsid w:val="00B761B5"/>
    <w:rsid w:val="00B764DE"/>
    <w:rsid w:val="00B76603"/>
    <w:rsid w:val="00B76FCB"/>
    <w:rsid w:val="00B77E1E"/>
    <w:rsid w:val="00B80C9F"/>
    <w:rsid w:val="00B818D7"/>
    <w:rsid w:val="00B819A2"/>
    <w:rsid w:val="00B81DB6"/>
    <w:rsid w:val="00B81F3E"/>
    <w:rsid w:val="00B821EE"/>
    <w:rsid w:val="00B837A0"/>
    <w:rsid w:val="00B8393E"/>
    <w:rsid w:val="00B83AED"/>
    <w:rsid w:val="00B84A3E"/>
    <w:rsid w:val="00B84A54"/>
    <w:rsid w:val="00B84C6E"/>
    <w:rsid w:val="00B84C71"/>
    <w:rsid w:val="00B84ED4"/>
    <w:rsid w:val="00B85179"/>
    <w:rsid w:val="00B8568B"/>
    <w:rsid w:val="00B85724"/>
    <w:rsid w:val="00B859AD"/>
    <w:rsid w:val="00B86C2A"/>
    <w:rsid w:val="00B86F99"/>
    <w:rsid w:val="00B87CFE"/>
    <w:rsid w:val="00B87DE7"/>
    <w:rsid w:val="00B907A0"/>
    <w:rsid w:val="00B90D0D"/>
    <w:rsid w:val="00B90EF4"/>
    <w:rsid w:val="00B91988"/>
    <w:rsid w:val="00B91BD4"/>
    <w:rsid w:val="00B91EC1"/>
    <w:rsid w:val="00B92003"/>
    <w:rsid w:val="00B92B97"/>
    <w:rsid w:val="00B9303F"/>
    <w:rsid w:val="00B93F88"/>
    <w:rsid w:val="00B945F0"/>
    <w:rsid w:val="00B94C15"/>
    <w:rsid w:val="00B950D6"/>
    <w:rsid w:val="00B9578F"/>
    <w:rsid w:val="00B958CA"/>
    <w:rsid w:val="00B95B48"/>
    <w:rsid w:val="00B96324"/>
    <w:rsid w:val="00B9678F"/>
    <w:rsid w:val="00B96FB6"/>
    <w:rsid w:val="00B9711C"/>
    <w:rsid w:val="00B97525"/>
    <w:rsid w:val="00B97A63"/>
    <w:rsid w:val="00B97AA7"/>
    <w:rsid w:val="00B97AF9"/>
    <w:rsid w:val="00BA01BE"/>
    <w:rsid w:val="00BA045A"/>
    <w:rsid w:val="00BA0730"/>
    <w:rsid w:val="00BA0764"/>
    <w:rsid w:val="00BA10C3"/>
    <w:rsid w:val="00BA10CB"/>
    <w:rsid w:val="00BA1BB0"/>
    <w:rsid w:val="00BA1C4A"/>
    <w:rsid w:val="00BA1C4F"/>
    <w:rsid w:val="00BA24E4"/>
    <w:rsid w:val="00BA290B"/>
    <w:rsid w:val="00BA2951"/>
    <w:rsid w:val="00BA2A74"/>
    <w:rsid w:val="00BA2D2F"/>
    <w:rsid w:val="00BA3097"/>
    <w:rsid w:val="00BA3130"/>
    <w:rsid w:val="00BA341E"/>
    <w:rsid w:val="00BA3864"/>
    <w:rsid w:val="00BA38B2"/>
    <w:rsid w:val="00BA4B6B"/>
    <w:rsid w:val="00BA526C"/>
    <w:rsid w:val="00BA5937"/>
    <w:rsid w:val="00BA5BE1"/>
    <w:rsid w:val="00BA66BC"/>
    <w:rsid w:val="00BA7405"/>
    <w:rsid w:val="00BA7CDA"/>
    <w:rsid w:val="00BB0879"/>
    <w:rsid w:val="00BB13B0"/>
    <w:rsid w:val="00BB1EF0"/>
    <w:rsid w:val="00BB1FA7"/>
    <w:rsid w:val="00BB20F5"/>
    <w:rsid w:val="00BB29F4"/>
    <w:rsid w:val="00BB2B6D"/>
    <w:rsid w:val="00BB2D3E"/>
    <w:rsid w:val="00BB2F64"/>
    <w:rsid w:val="00BB2FBA"/>
    <w:rsid w:val="00BB305A"/>
    <w:rsid w:val="00BB30BE"/>
    <w:rsid w:val="00BB3DC0"/>
    <w:rsid w:val="00BB4072"/>
    <w:rsid w:val="00BB44CA"/>
    <w:rsid w:val="00BB48D5"/>
    <w:rsid w:val="00BB4E47"/>
    <w:rsid w:val="00BB553F"/>
    <w:rsid w:val="00BB5DF3"/>
    <w:rsid w:val="00BB6038"/>
    <w:rsid w:val="00BB6545"/>
    <w:rsid w:val="00BB7474"/>
    <w:rsid w:val="00BB74CB"/>
    <w:rsid w:val="00BC0BFD"/>
    <w:rsid w:val="00BC16BF"/>
    <w:rsid w:val="00BC1ADF"/>
    <w:rsid w:val="00BC2197"/>
    <w:rsid w:val="00BC2677"/>
    <w:rsid w:val="00BC26F3"/>
    <w:rsid w:val="00BC288C"/>
    <w:rsid w:val="00BC4015"/>
    <w:rsid w:val="00BC4271"/>
    <w:rsid w:val="00BC467F"/>
    <w:rsid w:val="00BC476B"/>
    <w:rsid w:val="00BC4B8A"/>
    <w:rsid w:val="00BC58FA"/>
    <w:rsid w:val="00BC6BBD"/>
    <w:rsid w:val="00BC7129"/>
    <w:rsid w:val="00BC7871"/>
    <w:rsid w:val="00BC791D"/>
    <w:rsid w:val="00BC7C5E"/>
    <w:rsid w:val="00BC7F95"/>
    <w:rsid w:val="00BC7FF4"/>
    <w:rsid w:val="00BD03D1"/>
    <w:rsid w:val="00BD0E12"/>
    <w:rsid w:val="00BD11C7"/>
    <w:rsid w:val="00BD14CA"/>
    <w:rsid w:val="00BD15A2"/>
    <w:rsid w:val="00BD1649"/>
    <w:rsid w:val="00BD1C7A"/>
    <w:rsid w:val="00BD23B2"/>
    <w:rsid w:val="00BD29B1"/>
    <w:rsid w:val="00BD48D9"/>
    <w:rsid w:val="00BD4968"/>
    <w:rsid w:val="00BD54CE"/>
    <w:rsid w:val="00BD55AD"/>
    <w:rsid w:val="00BD585B"/>
    <w:rsid w:val="00BD5E09"/>
    <w:rsid w:val="00BD635E"/>
    <w:rsid w:val="00BD6FD3"/>
    <w:rsid w:val="00BD7612"/>
    <w:rsid w:val="00BD7C71"/>
    <w:rsid w:val="00BE053C"/>
    <w:rsid w:val="00BE10EF"/>
    <w:rsid w:val="00BE1353"/>
    <w:rsid w:val="00BE175E"/>
    <w:rsid w:val="00BE273D"/>
    <w:rsid w:val="00BE29E8"/>
    <w:rsid w:val="00BE2CAA"/>
    <w:rsid w:val="00BE3B38"/>
    <w:rsid w:val="00BE3D49"/>
    <w:rsid w:val="00BE4484"/>
    <w:rsid w:val="00BE4811"/>
    <w:rsid w:val="00BE56A5"/>
    <w:rsid w:val="00BE6556"/>
    <w:rsid w:val="00BE66B0"/>
    <w:rsid w:val="00BE6795"/>
    <w:rsid w:val="00BE6908"/>
    <w:rsid w:val="00BE6CFC"/>
    <w:rsid w:val="00BE7107"/>
    <w:rsid w:val="00BE74F4"/>
    <w:rsid w:val="00BE7985"/>
    <w:rsid w:val="00BE79D2"/>
    <w:rsid w:val="00BE7DAF"/>
    <w:rsid w:val="00BF13A4"/>
    <w:rsid w:val="00BF15B9"/>
    <w:rsid w:val="00BF1817"/>
    <w:rsid w:val="00BF19B5"/>
    <w:rsid w:val="00BF1C5B"/>
    <w:rsid w:val="00BF1E8B"/>
    <w:rsid w:val="00BF1EE0"/>
    <w:rsid w:val="00BF2028"/>
    <w:rsid w:val="00BF3196"/>
    <w:rsid w:val="00BF31B6"/>
    <w:rsid w:val="00BF3300"/>
    <w:rsid w:val="00BF33FE"/>
    <w:rsid w:val="00BF3886"/>
    <w:rsid w:val="00BF3934"/>
    <w:rsid w:val="00BF3C65"/>
    <w:rsid w:val="00BF3D93"/>
    <w:rsid w:val="00BF4422"/>
    <w:rsid w:val="00BF4A8A"/>
    <w:rsid w:val="00BF4C87"/>
    <w:rsid w:val="00BF528A"/>
    <w:rsid w:val="00BF585B"/>
    <w:rsid w:val="00BF64C9"/>
    <w:rsid w:val="00BF68D9"/>
    <w:rsid w:val="00BF6FCD"/>
    <w:rsid w:val="00BF719E"/>
    <w:rsid w:val="00C0007E"/>
    <w:rsid w:val="00C000E4"/>
    <w:rsid w:val="00C00279"/>
    <w:rsid w:val="00C00CCD"/>
    <w:rsid w:val="00C0163A"/>
    <w:rsid w:val="00C01974"/>
    <w:rsid w:val="00C01A44"/>
    <w:rsid w:val="00C02448"/>
    <w:rsid w:val="00C034BC"/>
    <w:rsid w:val="00C03909"/>
    <w:rsid w:val="00C03975"/>
    <w:rsid w:val="00C04C57"/>
    <w:rsid w:val="00C05075"/>
    <w:rsid w:val="00C053B4"/>
    <w:rsid w:val="00C0589A"/>
    <w:rsid w:val="00C058DC"/>
    <w:rsid w:val="00C05C82"/>
    <w:rsid w:val="00C05F05"/>
    <w:rsid w:val="00C060FF"/>
    <w:rsid w:val="00C0646D"/>
    <w:rsid w:val="00C0668B"/>
    <w:rsid w:val="00C06A55"/>
    <w:rsid w:val="00C06BCE"/>
    <w:rsid w:val="00C06E6B"/>
    <w:rsid w:val="00C07CBD"/>
    <w:rsid w:val="00C10015"/>
    <w:rsid w:val="00C10150"/>
    <w:rsid w:val="00C102EC"/>
    <w:rsid w:val="00C1084F"/>
    <w:rsid w:val="00C10FD0"/>
    <w:rsid w:val="00C1201C"/>
    <w:rsid w:val="00C12823"/>
    <w:rsid w:val="00C12926"/>
    <w:rsid w:val="00C12CD8"/>
    <w:rsid w:val="00C132FF"/>
    <w:rsid w:val="00C13E78"/>
    <w:rsid w:val="00C14320"/>
    <w:rsid w:val="00C152BD"/>
    <w:rsid w:val="00C15593"/>
    <w:rsid w:val="00C159B2"/>
    <w:rsid w:val="00C16E6F"/>
    <w:rsid w:val="00C170B6"/>
    <w:rsid w:val="00C17136"/>
    <w:rsid w:val="00C17185"/>
    <w:rsid w:val="00C175C0"/>
    <w:rsid w:val="00C1767A"/>
    <w:rsid w:val="00C178E9"/>
    <w:rsid w:val="00C17F68"/>
    <w:rsid w:val="00C2073F"/>
    <w:rsid w:val="00C208E9"/>
    <w:rsid w:val="00C20D15"/>
    <w:rsid w:val="00C20EA9"/>
    <w:rsid w:val="00C20EFE"/>
    <w:rsid w:val="00C2114D"/>
    <w:rsid w:val="00C21270"/>
    <w:rsid w:val="00C21368"/>
    <w:rsid w:val="00C21E2E"/>
    <w:rsid w:val="00C2298A"/>
    <w:rsid w:val="00C22F50"/>
    <w:rsid w:val="00C2343F"/>
    <w:rsid w:val="00C237C4"/>
    <w:rsid w:val="00C2382C"/>
    <w:rsid w:val="00C23AA7"/>
    <w:rsid w:val="00C23BEA"/>
    <w:rsid w:val="00C240AB"/>
    <w:rsid w:val="00C252AB"/>
    <w:rsid w:val="00C253D0"/>
    <w:rsid w:val="00C257E7"/>
    <w:rsid w:val="00C258CF"/>
    <w:rsid w:val="00C2610A"/>
    <w:rsid w:val="00C274DB"/>
    <w:rsid w:val="00C27748"/>
    <w:rsid w:val="00C3122F"/>
    <w:rsid w:val="00C312BD"/>
    <w:rsid w:val="00C318AD"/>
    <w:rsid w:val="00C31B24"/>
    <w:rsid w:val="00C327BD"/>
    <w:rsid w:val="00C3351A"/>
    <w:rsid w:val="00C33734"/>
    <w:rsid w:val="00C33AEF"/>
    <w:rsid w:val="00C33C2D"/>
    <w:rsid w:val="00C34111"/>
    <w:rsid w:val="00C342D0"/>
    <w:rsid w:val="00C34F07"/>
    <w:rsid w:val="00C35ED0"/>
    <w:rsid w:val="00C361DB"/>
    <w:rsid w:val="00C3657D"/>
    <w:rsid w:val="00C36876"/>
    <w:rsid w:val="00C36B1B"/>
    <w:rsid w:val="00C37243"/>
    <w:rsid w:val="00C37352"/>
    <w:rsid w:val="00C3763C"/>
    <w:rsid w:val="00C37BF7"/>
    <w:rsid w:val="00C37E8E"/>
    <w:rsid w:val="00C404CA"/>
    <w:rsid w:val="00C411DB"/>
    <w:rsid w:val="00C4145F"/>
    <w:rsid w:val="00C43A65"/>
    <w:rsid w:val="00C441A4"/>
    <w:rsid w:val="00C44EFA"/>
    <w:rsid w:val="00C451DC"/>
    <w:rsid w:val="00C454D6"/>
    <w:rsid w:val="00C4591B"/>
    <w:rsid w:val="00C46491"/>
    <w:rsid w:val="00C465F7"/>
    <w:rsid w:val="00C468D5"/>
    <w:rsid w:val="00C46C19"/>
    <w:rsid w:val="00C46EE5"/>
    <w:rsid w:val="00C46F42"/>
    <w:rsid w:val="00C47008"/>
    <w:rsid w:val="00C477D0"/>
    <w:rsid w:val="00C479D1"/>
    <w:rsid w:val="00C479F3"/>
    <w:rsid w:val="00C502E2"/>
    <w:rsid w:val="00C50AB0"/>
    <w:rsid w:val="00C517CD"/>
    <w:rsid w:val="00C51D60"/>
    <w:rsid w:val="00C52E6A"/>
    <w:rsid w:val="00C52FC2"/>
    <w:rsid w:val="00C53389"/>
    <w:rsid w:val="00C53A14"/>
    <w:rsid w:val="00C53D63"/>
    <w:rsid w:val="00C53E67"/>
    <w:rsid w:val="00C55606"/>
    <w:rsid w:val="00C556E5"/>
    <w:rsid w:val="00C56191"/>
    <w:rsid w:val="00C5654D"/>
    <w:rsid w:val="00C567D1"/>
    <w:rsid w:val="00C5728C"/>
    <w:rsid w:val="00C57A5B"/>
    <w:rsid w:val="00C6025D"/>
    <w:rsid w:val="00C603B3"/>
    <w:rsid w:val="00C60E0D"/>
    <w:rsid w:val="00C60E89"/>
    <w:rsid w:val="00C61482"/>
    <w:rsid w:val="00C625E2"/>
    <w:rsid w:val="00C62A5B"/>
    <w:rsid w:val="00C62C08"/>
    <w:rsid w:val="00C62F54"/>
    <w:rsid w:val="00C643C4"/>
    <w:rsid w:val="00C648E3"/>
    <w:rsid w:val="00C64973"/>
    <w:rsid w:val="00C64ABB"/>
    <w:rsid w:val="00C65371"/>
    <w:rsid w:val="00C663F3"/>
    <w:rsid w:val="00C665E8"/>
    <w:rsid w:val="00C66879"/>
    <w:rsid w:val="00C66F3B"/>
    <w:rsid w:val="00C6751E"/>
    <w:rsid w:val="00C67881"/>
    <w:rsid w:val="00C70719"/>
    <w:rsid w:val="00C71259"/>
    <w:rsid w:val="00C7253E"/>
    <w:rsid w:val="00C725F7"/>
    <w:rsid w:val="00C72B23"/>
    <w:rsid w:val="00C72E61"/>
    <w:rsid w:val="00C7319A"/>
    <w:rsid w:val="00C735AE"/>
    <w:rsid w:val="00C73BF7"/>
    <w:rsid w:val="00C73FAD"/>
    <w:rsid w:val="00C74333"/>
    <w:rsid w:val="00C74A5E"/>
    <w:rsid w:val="00C74D33"/>
    <w:rsid w:val="00C7558E"/>
    <w:rsid w:val="00C76612"/>
    <w:rsid w:val="00C76E7C"/>
    <w:rsid w:val="00C76F6B"/>
    <w:rsid w:val="00C774AD"/>
    <w:rsid w:val="00C775CF"/>
    <w:rsid w:val="00C77978"/>
    <w:rsid w:val="00C77D5A"/>
    <w:rsid w:val="00C802E4"/>
    <w:rsid w:val="00C80732"/>
    <w:rsid w:val="00C8097F"/>
    <w:rsid w:val="00C80E49"/>
    <w:rsid w:val="00C816CC"/>
    <w:rsid w:val="00C82D43"/>
    <w:rsid w:val="00C83010"/>
    <w:rsid w:val="00C83328"/>
    <w:rsid w:val="00C83661"/>
    <w:rsid w:val="00C8379B"/>
    <w:rsid w:val="00C84460"/>
    <w:rsid w:val="00C84D8F"/>
    <w:rsid w:val="00C85D71"/>
    <w:rsid w:val="00C85FD8"/>
    <w:rsid w:val="00C86959"/>
    <w:rsid w:val="00C872B1"/>
    <w:rsid w:val="00C873C8"/>
    <w:rsid w:val="00C87634"/>
    <w:rsid w:val="00C87836"/>
    <w:rsid w:val="00C87B84"/>
    <w:rsid w:val="00C90084"/>
    <w:rsid w:val="00C900B4"/>
    <w:rsid w:val="00C90424"/>
    <w:rsid w:val="00C906E5"/>
    <w:rsid w:val="00C919B6"/>
    <w:rsid w:val="00C91A7A"/>
    <w:rsid w:val="00C91CDB"/>
    <w:rsid w:val="00C92043"/>
    <w:rsid w:val="00C9223B"/>
    <w:rsid w:val="00C9271C"/>
    <w:rsid w:val="00C92A75"/>
    <w:rsid w:val="00C93278"/>
    <w:rsid w:val="00C9334D"/>
    <w:rsid w:val="00C94240"/>
    <w:rsid w:val="00C94275"/>
    <w:rsid w:val="00C943D2"/>
    <w:rsid w:val="00C958A5"/>
    <w:rsid w:val="00C95981"/>
    <w:rsid w:val="00C959FE"/>
    <w:rsid w:val="00C95E99"/>
    <w:rsid w:val="00C962B4"/>
    <w:rsid w:val="00C96749"/>
    <w:rsid w:val="00C9697B"/>
    <w:rsid w:val="00C96E6D"/>
    <w:rsid w:val="00C96E75"/>
    <w:rsid w:val="00C973B8"/>
    <w:rsid w:val="00C97CC5"/>
    <w:rsid w:val="00CA0171"/>
    <w:rsid w:val="00CA06B1"/>
    <w:rsid w:val="00CA070E"/>
    <w:rsid w:val="00CA075E"/>
    <w:rsid w:val="00CA07E3"/>
    <w:rsid w:val="00CA091B"/>
    <w:rsid w:val="00CA0B3E"/>
    <w:rsid w:val="00CA11D1"/>
    <w:rsid w:val="00CA1506"/>
    <w:rsid w:val="00CA2704"/>
    <w:rsid w:val="00CA405C"/>
    <w:rsid w:val="00CA531B"/>
    <w:rsid w:val="00CA5345"/>
    <w:rsid w:val="00CA5894"/>
    <w:rsid w:val="00CA64DA"/>
    <w:rsid w:val="00CA6CD9"/>
    <w:rsid w:val="00CA7614"/>
    <w:rsid w:val="00CA7BD0"/>
    <w:rsid w:val="00CB0184"/>
    <w:rsid w:val="00CB10DA"/>
    <w:rsid w:val="00CB17AB"/>
    <w:rsid w:val="00CB2339"/>
    <w:rsid w:val="00CB2423"/>
    <w:rsid w:val="00CB2DF9"/>
    <w:rsid w:val="00CB30EC"/>
    <w:rsid w:val="00CB33A2"/>
    <w:rsid w:val="00CB34D2"/>
    <w:rsid w:val="00CB3EF7"/>
    <w:rsid w:val="00CB422E"/>
    <w:rsid w:val="00CB45F1"/>
    <w:rsid w:val="00CB488C"/>
    <w:rsid w:val="00CB4958"/>
    <w:rsid w:val="00CB4BC1"/>
    <w:rsid w:val="00CB5553"/>
    <w:rsid w:val="00CB5681"/>
    <w:rsid w:val="00CB572B"/>
    <w:rsid w:val="00CB6232"/>
    <w:rsid w:val="00CB6755"/>
    <w:rsid w:val="00CB6D1A"/>
    <w:rsid w:val="00CB6E1D"/>
    <w:rsid w:val="00CB6FC2"/>
    <w:rsid w:val="00CB740B"/>
    <w:rsid w:val="00CB7437"/>
    <w:rsid w:val="00CB7482"/>
    <w:rsid w:val="00CB75B3"/>
    <w:rsid w:val="00CB7F32"/>
    <w:rsid w:val="00CC0329"/>
    <w:rsid w:val="00CC048F"/>
    <w:rsid w:val="00CC0ED4"/>
    <w:rsid w:val="00CC1BC8"/>
    <w:rsid w:val="00CC1E79"/>
    <w:rsid w:val="00CC1F8D"/>
    <w:rsid w:val="00CC22A6"/>
    <w:rsid w:val="00CC2466"/>
    <w:rsid w:val="00CC2AE8"/>
    <w:rsid w:val="00CC2FB7"/>
    <w:rsid w:val="00CC3C99"/>
    <w:rsid w:val="00CC560F"/>
    <w:rsid w:val="00CC5A09"/>
    <w:rsid w:val="00CC5BC0"/>
    <w:rsid w:val="00CC5F49"/>
    <w:rsid w:val="00CC7403"/>
    <w:rsid w:val="00CD0032"/>
    <w:rsid w:val="00CD0085"/>
    <w:rsid w:val="00CD0B44"/>
    <w:rsid w:val="00CD0CD4"/>
    <w:rsid w:val="00CD0FF4"/>
    <w:rsid w:val="00CD1107"/>
    <w:rsid w:val="00CD1410"/>
    <w:rsid w:val="00CD1759"/>
    <w:rsid w:val="00CD1C6A"/>
    <w:rsid w:val="00CD28FA"/>
    <w:rsid w:val="00CD2A41"/>
    <w:rsid w:val="00CD2E16"/>
    <w:rsid w:val="00CD335C"/>
    <w:rsid w:val="00CD3BC4"/>
    <w:rsid w:val="00CD3E98"/>
    <w:rsid w:val="00CD427A"/>
    <w:rsid w:val="00CD4538"/>
    <w:rsid w:val="00CD5072"/>
    <w:rsid w:val="00CD51D3"/>
    <w:rsid w:val="00CD56F1"/>
    <w:rsid w:val="00CD5B83"/>
    <w:rsid w:val="00CD5BE1"/>
    <w:rsid w:val="00CD5C41"/>
    <w:rsid w:val="00CD620E"/>
    <w:rsid w:val="00CD62C7"/>
    <w:rsid w:val="00CD62EC"/>
    <w:rsid w:val="00CD68B8"/>
    <w:rsid w:val="00CD6B65"/>
    <w:rsid w:val="00CD6EBC"/>
    <w:rsid w:val="00CD7BA5"/>
    <w:rsid w:val="00CD7E4D"/>
    <w:rsid w:val="00CD7F3E"/>
    <w:rsid w:val="00CE0B24"/>
    <w:rsid w:val="00CE1116"/>
    <w:rsid w:val="00CE130F"/>
    <w:rsid w:val="00CE173D"/>
    <w:rsid w:val="00CE17E3"/>
    <w:rsid w:val="00CE1A1E"/>
    <w:rsid w:val="00CE1C11"/>
    <w:rsid w:val="00CE3175"/>
    <w:rsid w:val="00CE3C50"/>
    <w:rsid w:val="00CE525D"/>
    <w:rsid w:val="00CE6425"/>
    <w:rsid w:val="00CE674D"/>
    <w:rsid w:val="00CE6EC1"/>
    <w:rsid w:val="00CE7DE3"/>
    <w:rsid w:val="00CE7EAD"/>
    <w:rsid w:val="00CF0C62"/>
    <w:rsid w:val="00CF120D"/>
    <w:rsid w:val="00CF1CBC"/>
    <w:rsid w:val="00CF200B"/>
    <w:rsid w:val="00CF2644"/>
    <w:rsid w:val="00CF2838"/>
    <w:rsid w:val="00CF2B41"/>
    <w:rsid w:val="00CF2B75"/>
    <w:rsid w:val="00CF327B"/>
    <w:rsid w:val="00CF3523"/>
    <w:rsid w:val="00CF3B79"/>
    <w:rsid w:val="00CF459E"/>
    <w:rsid w:val="00CF4BD0"/>
    <w:rsid w:val="00CF5519"/>
    <w:rsid w:val="00CF556F"/>
    <w:rsid w:val="00CF5D6E"/>
    <w:rsid w:val="00CF601E"/>
    <w:rsid w:val="00CF640E"/>
    <w:rsid w:val="00CF651D"/>
    <w:rsid w:val="00CF672C"/>
    <w:rsid w:val="00CF72C8"/>
    <w:rsid w:val="00CF7EEA"/>
    <w:rsid w:val="00D00AEB"/>
    <w:rsid w:val="00D011F5"/>
    <w:rsid w:val="00D01384"/>
    <w:rsid w:val="00D0140C"/>
    <w:rsid w:val="00D01E3F"/>
    <w:rsid w:val="00D022C4"/>
    <w:rsid w:val="00D0246F"/>
    <w:rsid w:val="00D0267E"/>
    <w:rsid w:val="00D03524"/>
    <w:rsid w:val="00D0488B"/>
    <w:rsid w:val="00D05128"/>
    <w:rsid w:val="00D05385"/>
    <w:rsid w:val="00D054F7"/>
    <w:rsid w:val="00D05DC1"/>
    <w:rsid w:val="00D06448"/>
    <w:rsid w:val="00D0650D"/>
    <w:rsid w:val="00D06726"/>
    <w:rsid w:val="00D06C05"/>
    <w:rsid w:val="00D07167"/>
    <w:rsid w:val="00D0783A"/>
    <w:rsid w:val="00D1025D"/>
    <w:rsid w:val="00D10519"/>
    <w:rsid w:val="00D11920"/>
    <w:rsid w:val="00D11D28"/>
    <w:rsid w:val="00D122FF"/>
    <w:rsid w:val="00D12545"/>
    <w:rsid w:val="00D1298B"/>
    <w:rsid w:val="00D12E5F"/>
    <w:rsid w:val="00D13B80"/>
    <w:rsid w:val="00D13FB6"/>
    <w:rsid w:val="00D14C20"/>
    <w:rsid w:val="00D151F3"/>
    <w:rsid w:val="00D152D9"/>
    <w:rsid w:val="00D15909"/>
    <w:rsid w:val="00D16387"/>
    <w:rsid w:val="00D163A6"/>
    <w:rsid w:val="00D16CBB"/>
    <w:rsid w:val="00D16F95"/>
    <w:rsid w:val="00D17128"/>
    <w:rsid w:val="00D1725A"/>
    <w:rsid w:val="00D1752F"/>
    <w:rsid w:val="00D17EA3"/>
    <w:rsid w:val="00D17F3D"/>
    <w:rsid w:val="00D201B7"/>
    <w:rsid w:val="00D202C4"/>
    <w:rsid w:val="00D203AF"/>
    <w:rsid w:val="00D20928"/>
    <w:rsid w:val="00D213E4"/>
    <w:rsid w:val="00D21A19"/>
    <w:rsid w:val="00D22303"/>
    <w:rsid w:val="00D22A2A"/>
    <w:rsid w:val="00D22A55"/>
    <w:rsid w:val="00D22AC3"/>
    <w:rsid w:val="00D235A6"/>
    <w:rsid w:val="00D23902"/>
    <w:rsid w:val="00D2456F"/>
    <w:rsid w:val="00D24806"/>
    <w:rsid w:val="00D25068"/>
    <w:rsid w:val="00D252D9"/>
    <w:rsid w:val="00D2576C"/>
    <w:rsid w:val="00D261BF"/>
    <w:rsid w:val="00D261F0"/>
    <w:rsid w:val="00D27642"/>
    <w:rsid w:val="00D30672"/>
    <w:rsid w:val="00D311BA"/>
    <w:rsid w:val="00D3161C"/>
    <w:rsid w:val="00D3188D"/>
    <w:rsid w:val="00D3190A"/>
    <w:rsid w:val="00D31AF1"/>
    <w:rsid w:val="00D31F33"/>
    <w:rsid w:val="00D32092"/>
    <w:rsid w:val="00D32814"/>
    <w:rsid w:val="00D328A8"/>
    <w:rsid w:val="00D328AD"/>
    <w:rsid w:val="00D33056"/>
    <w:rsid w:val="00D33258"/>
    <w:rsid w:val="00D3376C"/>
    <w:rsid w:val="00D33D2C"/>
    <w:rsid w:val="00D33D49"/>
    <w:rsid w:val="00D3507D"/>
    <w:rsid w:val="00D358EE"/>
    <w:rsid w:val="00D35D56"/>
    <w:rsid w:val="00D3617D"/>
    <w:rsid w:val="00D36483"/>
    <w:rsid w:val="00D36AA2"/>
    <w:rsid w:val="00D36BF4"/>
    <w:rsid w:val="00D4038A"/>
    <w:rsid w:val="00D41354"/>
    <w:rsid w:val="00D41AFA"/>
    <w:rsid w:val="00D41FA9"/>
    <w:rsid w:val="00D42095"/>
    <w:rsid w:val="00D42531"/>
    <w:rsid w:val="00D42614"/>
    <w:rsid w:val="00D429FD"/>
    <w:rsid w:val="00D42A17"/>
    <w:rsid w:val="00D42AEC"/>
    <w:rsid w:val="00D42C6A"/>
    <w:rsid w:val="00D42DD2"/>
    <w:rsid w:val="00D43628"/>
    <w:rsid w:val="00D44068"/>
    <w:rsid w:val="00D452ED"/>
    <w:rsid w:val="00D453EB"/>
    <w:rsid w:val="00D458E9"/>
    <w:rsid w:val="00D468D8"/>
    <w:rsid w:val="00D46D2E"/>
    <w:rsid w:val="00D47958"/>
    <w:rsid w:val="00D47DDE"/>
    <w:rsid w:val="00D47FEB"/>
    <w:rsid w:val="00D501CA"/>
    <w:rsid w:val="00D50561"/>
    <w:rsid w:val="00D50DD6"/>
    <w:rsid w:val="00D5112E"/>
    <w:rsid w:val="00D51949"/>
    <w:rsid w:val="00D5216F"/>
    <w:rsid w:val="00D52EFB"/>
    <w:rsid w:val="00D53199"/>
    <w:rsid w:val="00D53BC9"/>
    <w:rsid w:val="00D53F88"/>
    <w:rsid w:val="00D54287"/>
    <w:rsid w:val="00D54401"/>
    <w:rsid w:val="00D54789"/>
    <w:rsid w:val="00D54D9F"/>
    <w:rsid w:val="00D550C6"/>
    <w:rsid w:val="00D55126"/>
    <w:rsid w:val="00D55290"/>
    <w:rsid w:val="00D55402"/>
    <w:rsid w:val="00D56318"/>
    <w:rsid w:val="00D566EF"/>
    <w:rsid w:val="00D5776F"/>
    <w:rsid w:val="00D57AB3"/>
    <w:rsid w:val="00D57DE2"/>
    <w:rsid w:val="00D57FC1"/>
    <w:rsid w:val="00D601C3"/>
    <w:rsid w:val="00D6087B"/>
    <w:rsid w:val="00D61130"/>
    <w:rsid w:val="00D616EE"/>
    <w:rsid w:val="00D61818"/>
    <w:rsid w:val="00D62627"/>
    <w:rsid w:val="00D62676"/>
    <w:rsid w:val="00D62D5F"/>
    <w:rsid w:val="00D64277"/>
    <w:rsid w:val="00D64CCD"/>
    <w:rsid w:val="00D64E00"/>
    <w:rsid w:val="00D6583D"/>
    <w:rsid w:val="00D66451"/>
    <w:rsid w:val="00D6662C"/>
    <w:rsid w:val="00D6664E"/>
    <w:rsid w:val="00D66B6D"/>
    <w:rsid w:val="00D66EE5"/>
    <w:rsid w:val="00D67040"/>
    <w:rsid w:val="00D673D6"/>
    <w:rsid w:val="00D67D5F"/>
    <w:rsid w:val="00D70575"/>
    <w:rsid w:val="00D711A6"/>
    <w:rsid w:val="00D717B5"/>
    <w:rsid w:val="00D71E2F"/>
    <w:rsid w:val="00D72411"/>
    <w:rsid w:val="00D73227"/>
    <w:rsid w:val="00D73798"/>
    <w:rsid w:val="00D73D78"/>
    <w:rsid w:val="00D7405D"/>
    <w:rsid w:val="00D74255"/>
    <w:rsid w:val="00D74288"/>
    <w:rsid w:val="00D74372"/>
    <w:rsid w:val="00D7477B"/>
    <w:rsid w:val="00D74FFD"/>
    <w:rsid w:val="00D7519E"/>
    <w:rsid w:val="00D7529C"/>
    <w:rsid w:val="00D758A6"/>
    <w:rsid w:val="00D75CC6"/>
    <w:rsid w:val="00D76065"/>
    <w:rsid w:val="00D76729"/>
    <w:rsid w:val="00D76760"/>
    <w:rsid w:val="00D7754E"/>
    <w:rsid w:val="00D77A58"/>
    <w:rsid w:val="00D77B28"/>
    <w:rsid w:val="00D80498"/>
    <w:rsid w:val="00D80C5F"/>
    <w:rsid w:val="00D81DE6"/>
    <w:rsid w:val="00D81EF9"/>
    <w:rsid w:val="00D82C36"/>
    <w:rsid w:val="00D83863"/>
    <w:rsid w:val="00D8386C"/>
    <w:rsid w:val="00D838DD"/>
    <w:rsid w:val="00D83D4A"/>
    <w:rsid w:val="00D83EE4"/>
    <w:rsid w:val="00D83F11"/>
    <w:rsid w:val="00D851E8"/>
    <w:rsid w:val="00D855EE"/>
    <w:rsid w:val="00D86A0C"/>
    <w:rsid w:val="00D86A8C"/>
    <w:rsid w:val="00D86C16"/>
    <w:rsid w:val="00D878B8"/>
    <w:rsid w:val="00D90027"/>
    <w:rsid w:val="00D902FD"/>
    <w:rsid w:val="00D90B89"/>
    <w:rsid w:val="00D90DE7"/>
    <w:rsid w:val="00D90F30"/>
    <w:rsid w:val="00D91050"/>
    <w:rsid w:val="00D91F86"/>
    <w:rsid w:val="00D92A19"/>
    <w:rsid w:val="00D92BE8"/>
    <w:rsid w:val="00D92E88"/>
    <w:rsid w:val="00D92EF5"/>
    <w:rsid w:val="00D93776"/>
    <w:rsid w:val="00D93F64"/>
    <w:rsid w:val="00D9485D"/>
    <w:rsid w:val="00D94A0C"/>
    <w:rsid w:val="00D9537F"/>
    <w:rsid w:val="00D954C7"/>
    <w:rsid w:val="00D95833"/>
    <w:rsid w:val="00D95BB8"/>
    <w:rsid w:val="00D95EF7"/>
    <w:rsid w:val="00D95FB9"/>
    <w:rsid w:val="00D9602F"/>
    <w:rsid w:val="00D97AF2"/>
    <w:rsid w:val="00D97DD9"/>
    <w:rsid w:val="00DA059A"/>
    <w:rsid w:val="00DA09B6"/>
    <w:rsid w:val="00DA0B30"/>
    <w:rsid w:val="00DA1048"/>
    <w:rsid w:val="00DA16C6"/>
    <w:rsid w:val="00DA17A8"/>
    <w:rsid w:val="00DA1D7C"/>
    <w:rsid w:val="00DA1D94"/>
    <w:rsid w:val="00DA2009"/>
    <w:rsid w:val="00DA20EF"/>
    <w:rsid w:val="00DA20F7"/>
    <w:rsid w:val="00DA2209"/>
    <w:rsid w:val="00DA2C2A"/>
    <w:rsid w:val="00DA2C54"/>
    <w:rsid w:val="00DA2D81"/>
    <w:rsid w:val="00DA301B"/>
    <w:rsid w:val="00DA3451"/>
    <w:rsid w:val="00DA358F"/>
    <w:rsid w:val="00DA3721"/>
    <w:rsid w:val="00DA3DE0"/>
    <w:rsid w:val="00DA445F"/>
    <w:rsid w:val="00DA4B60"/>
    <w:rsid w:val="00DA5115"/>
    <w:rsid w:val="00DA513A"/>
    <w:rsid w:val="00DA52F5"/>
    <w:rsid w:val="00DA5CFD"/>
    <w:rsid w:val="00DA6A2C"/>
    <w:rsid w:val="00DA6AC5"/>
    <w:rsid w:val="00DA6D29"/>
    <w:rsid w:val="00DA6DF6"/>
    <w:rsid w:val="00DA7008"/>
    <w:rsid w:val="00DA70D1"/>
    <w:rsid w:val="00DA7623"/>
    <w:rsid w:val="00DA7FB2"/>
    <w:rsid w:val="00DB00F3"/>
    <w:rsid w:val="00DB0755"/>
    <w:rsid w:val="00DB22A8"/>
    <w:rsid w:val="00DB3047"/>
    <w:rsid w:val="00DB3295"/>
    <w:rsid w:val="00DB337A"/>
    <w:rsid w:val="00DB34D5"/>
    <w:rsid w:val="00DB352A"/>
    <w:rsid w:val="00DB37D7"/>
    <w:rsid w:val="00DB40D4"/>
    <w:rsid w:val="00DB4B99"/>
    <w:rsid w:val="00DB4FFC"/>
    <w:rsid w:val="00DB5815"/>
    <w:rsid w:val="00DB5C51"/>
    <w:rsid w:val="00DB652A"/>
    <w:rsid w:val="00DB6748"/>
    <w:rsid w:val="00DB73F5"/>
    <w:rsid w:val="00DB7448"/>
    <w:rsid w:val="00DB7773"/>
    <w:rsid w:val="00DB77B5"/>
    <w:rsid w:val="00DB7C76"/>
    <w:rsid w:val="00DC07E0"/>
    <w:rsid w:val="00DC1A21"/>
    <w:rsid w:val="00DC1DBE"/>
    <w:rsid w:val="00DC205A"/>
    <w:rsid w:val="00DC235A"/>
    <w:rsid w:val="00DC23FE"/>
    <w:rsid w:val="00DC28F8"/>
    <w:rsid w:val="00DC2ADA"/>
    <w:rsid w:val="00DC2D0E"/>
    <w:rsid w:val="00DC30B4"/>
    <w:rsid w:val="00DC41C2"/>
    <w:rsid w:val="00DC43B1"/>
    <w:rsid w:val="00DC4414"/>
    <w:rsid w:val="00DC44A7"/>
    <w:rsid w:val="00DC4598"/>
    <w:rsid w:val="00DC48DD"/>
    <w:rsid w:val="00DC4E8F"/>
    <w:rsid w:val="00DC540F"/>
    <w:rsid w:val="00DC5F99"/>
    <w:rsid w:val="00DC60B0"/>
    <w:rsid w:val="00DC65AE"/>
    <w:rsid w:val="00DC65F8"/>
    <w:rsid w:val="00DC66E4"/>
    <w:rsid w:val="00DC6857"/>
    <w:rsid w:val="00DC6F1D"/>
    <w:rsid w:val="00DC794B"/>
    <w:rsid w:val="00DD01D1"/>
    <w:rsid w:val="00DD0925"/>
    <w:rsid w:val="00DD1A8B"/>
    <w:rsid w:val="00DD1B7C"/>
    <w:rsid w:val="00DD20B2"/>
    <w:rsid w:val="00DD29D1"/>
    <w:rsid w:val="00DD39B5"/>
    <w:rsid w:val="00DD4118"/>
    <w:rsid w:val="00DD4A2C"/>
    <w:rsid w:val="00DD54B7"/>
    <w:rsid w:val="00DD5C50"/>
    <w:rsid w:val="00DD64AD"/>
    <w:rsid w:val="00DD677A"/>
    <w:rsid w:val="00DD6ABC"/>
    <w:rsid w:val="00DD6BF4"/>
    <w:rsid w:val="00DD72F3"/>
    <w:rsid w:val="00DD761D"/>
    <w:rsid w:val="00DD76F7"/>
    <w:rsid w:val="00DD77E3"/>
    <w:rsid w:val="00DD7A9B"/>
    <w:rsid w:val="00DD7D5A"/>
    <w:rsid w:val="00DE032B"/>
    <w:rsid w:val="00DE0B55"/>
    <w:rsid w:val="00DE0F26"/>
    <w:rsid w:val="00DE1950"/>
    <w:rsid w:val="00DE1F12"/>
    <w:rsid w:val="00DE21FF"/>
    <w:rsid w:val="00DE2326"/>
    <w:rsid w:val="00DE254F"/>
    <w:rsid w:val="00DE3004"/>
    <w:rsid w:val="00DE333A"/>
    <w:rsid w:val="00DE39B5"/>
    <w:rsid w:val="00DE4DCC"/>
    <w:rsid w:val="00DE4F09"/>
    <w:rsid w:val="00DE51CD"/>
    <w:rsid w:val="00DE5EAE"/>
    <w:rsid w:val="00DE670C"/>
    <w:rsid w:val="00DE68DC"/>
    <w:rsid w:val="00DE7B76"/>
    <w:rsid w:val="00DF00F2"/>
    <w:rsid w:val="00DF09C7"/>
    <w:rsid w:val="00DF09F6"/>
    <w:rsid w:val="00DF1806"/>
    <w:rsid w:val="00DF19A2"/>
    <w:rsid w:val="00DF19D7"/>
    <w:rsid w:val="00DF1F53"/>
    <w:rsid w:val="00DF2692"/>
    <w:rsid w:val="00DF28BC"/>
    <w:rsid w:val="00DF2997"/>
    <w:rsid w:val="00DF35D4"/>
    <w:rsid w:val="00DF38CC"/>
    <w:rsid w:val="00DF4DF7"/>
    <w:rsid w:val="00DF54C0"/>
    <w:rsid w:val="00DF613B"/>
    <w:rsid w:val="00DF6E78"/>
    <w:rsid w:val="00DF75E7"/>
    <w:rsid w:val="00DF7968"/>
    <w:rsid w:val="00DF7AFE"/>
    <w:rsid w:val="00DF7B77"/>
    <w:rsid w:val="00E00953"/>
    <w:rsid w:val="00E01A7E"/>
    <w:rsid w:val="00E01D70"/>
    <w:rsid w:val="00E02B11"/>
    <w:rsid w:val="00E0315D"/>
    <w:rsid w:val="00E03401"/>
    <w:rsid w:val="00E03431"/>
    <w:rsid w:val="00E0373C"/>
    <w:rsid w:val="00E04371"/>
    <w:rsid w:val="00E043C6"/>
    <w:rsid w:val="00E0445E"/>
    <w:rsid w:val="00E046DE"/>
    <w:rsid w:val="00E0476E"/>
    <w:rsid w:val="00E049D9"/>
    <w:rsid w:val="00E04BDA"/>
    <w:rsid w:val="00E05597"/>
    <w:rsid w:val="00E05606"/>
    <w:rsid w:val="00E05830"/>
    <w:rsid w:val="00E05D13"/>
    <w:rsid w:val="00E05DC6"/>
    <w:rsid w:val="00E06383"/>
    <w:rsid w:val="00E06BB7"/>
    <w:rsid w:val="00E07162"/>
    <w:rsid w:val="00E0738C"/>
    <w:rsid w:val="00E076D4"/>
    <w:rsid w:val="00E07DED"/>
    <w:rsid w:val="00E108DD"/>
    <w:rsid w:val="00E109C8"/>
    <w:rsid w:val="00E1117C"/>
    <w:rsid w:val="00E1134D"/>
    <w:rsid w:val="00E11885"/>
    <w:rsid w:val="00E11BC2"/>
    <w:rsid w:val="00E11CF3"/>
    <w:rsid w:val="00E12C6D"/>
    <w:rsid w:val="00E12FBC"/>
    <w:rsid w:val="00E13C49"/>
    <w:rsid w:val="00E141B6"/>
    <w:rsid w:val="00E14480"/>
    <w:rsid w:val="00E146AC"/>
    <w:rsid w:val="00E148BA"/>
    <w:rsid w:val="00E15B2D"/>
    <w:rsid w:val="00E15BFB"/>
    <w:rsid w:val="00E16046"/>
    <w:rsid w:val="00E1668B"/>
    <w:rsid w:val="00E16975"/>
    <w:rsid w:val="00E16BC5"/>
    <w:rsid w:val="00E174FB"/>
    <w:rsid w:val="00E204FC"/>
    <w:rsid w:val="00E20AFE"/>
    <w:rsid w:val="00E20B21"/>
    <w:rsid w:val="00E21516"/>
    <w:rsid w:val="00E22951"/>
    <w:rsid w:val="00E23B0E"/>
    <w:rsid w:val="00E24139"/>
    <w:rsid w:val="00E24297"/>
    <w:rsid w:val="00E244DF"/>
    <w:rsid w:val="00E246A5"/>
    <w:rsid w:val="00E24A20"/>
    <w:rsid w:val="00E24B4A"/>
    <w:rsid w:val="00E24BC1"/>
    <w:rsid w:val="00E26389"/>
    <w:rsid w:val="00E26512"/>
    <w:rsid w:val="00E26767"/>
    <w:rsid w:val="00E2742F"/>
    <w:rsid w:val="00E2759E"/>
    <w:rsid w:val="00E27FAE"/>
    <w:rsid w:val="00E30064"/>
    <w:rsid w:val="00E30140"/>
    <w:rsid w:val="00E30234"/>
    <w:rsid w:val="00E3024E"/>
    <w:rsid w:val="00E3041A"/>
    <w:rsid w:val="00E3045C"/>
    <w:rsid w:val="00E3078D"/>
    <w:rsid w:val="00E31645"/>
    <w:rsid w:val="00E32162"/>
    <w:rsid w:val="00E321CF"/>
    <w:rsid w:val="00E33755"/>
    <w:rsid w:val="00E33E3C"/>
    <w:rsid w:val="00E3468E"/>
    <w:rsid w:val="00E348C2"/>
    <w:rsid w:val="00E35538"/>
    <w:rsid w:val="00E356B7"/>
    <w:rsid w:val="00E356EC"/>
    <w:rsid w:val="00E35893"/>
    <w:rsid w:val="00E35ABA"/>
    <w:rsid w:val="00E35D69"/>
    <w:rsid w:val="00E36457"/>
    <w:rsid w:val="00E369D5"/>
    <w:rsid w:val="00E37821"/>
    <w:rsid w:val="00E37A16"/>
    <w:rsid w:val="00E37DD0"/>
    <w:rsid w:val="00E406EB"/>
    <w:rsid w:val="00E40920"/>
    <w:rsid w:val="00E4095E"/>
    <w:rsid w:val="00E40E13"/>
    <w:rsid w:val="00E41769"/>
    <w:rsid w:val="00E41CDF"/>
    <w:rsid w:val="00E41E5E"/>
    <w:rsid w:val="00E41F3A"/>
    <w:rsid w:val="00E4205C"/>
    <w:rsid w:val="00E4219A"/>
    <w:rsid w:val="00E422B7"/>
    <w:rsid w:val="00E426FC"/>
    <w:rsid w:val="00E42995"/>
    <w:rsid w:val="00E4299A"/>
    <w:rsid w:val="00E42D53"/>
    <w:rsid w:val="00E432FE"/>
    <w:rsid w:val="00E43CB5"/>
    <w:rsid w:val="00E43E43"/>
    <w:rsid w:val="00E43E83"/>
    <w:rsid w:val="00E44226"/>
    <w:rsid w:val="00E44C8F"/>
    <w:rsid w:val="00E452C1"/>
    <w:rsid w:val="00E453FE"/>
    <w:rsid w:val="00E4551A"/>
    <w:rsid w:val="00E4551C"/>
    <w:rsid w:val="00E45675"/>
    <w:rsid w:val="00E45747"/>
    <w:rsid w:val="00E4721F"/>
    <w:rsid w:val="00E47D34"/>
    <w:rsid w:val="00E501E1"/>
    <w:rsid w:val="00E50B0E"/>
    <w:rsid w:val="00E51FF4"/>
    <w:rsid w:val="00E528E7"/>
    <w:rsid w:val="00E528FE"/>
    <w:rsid w:val="00E5444A"/>
    <w:rsid w:val="00E546F4"/>
    <w:rsid w:val="00E54905"/>
    <w:rsid w:val="00E54A4D"/>
    <w:rsid w:val="00E54BC8"/>
    <w:rsid w:val="00E5509A"/>
    <w:rsid w:val="00E5572D"/>
    <w:rsid w:val="00E55C29"/>
    <w:rsid w:val="00E55DC1"/>
    <w:rsid w:val="00E560E1"/>
    <w:rsid w:val="00E56336"/>
    <w:rsid w:val="00E56641"/>
    <w:rsid w:val="00E574A8"/>
    <w:rsid w:val="00E579E8"/>
    <w:rsid w:val="00E579F5"/>
    <w:rsid w:val="00E57F31"/>
    <w:rsid w:val="00E60644"/>
    <w:rsid w:val="00E613EF"/>
    <w:rsid w:val="00E61619"/>
    <w:rsid w:val="00E6165C"/>
    <w:rsid w:val="00E61C84"/>
    <w:rsid w:val="00E62079"/>
    <w:rsid w:val="00E62127"/>
    <w:rsid w:val="00E62220"/>
    <w:rsid w:val="00E622E6"/>
    <w:rsid w:val="00E625E4"/>
    <w:rsid w:val="00E62724"/>
    <w:rsid w:val="00E62C14"/>
    <w:rsid w:val="00E62DBC"/>
    <w:rsid w:val="00E630F5"/>
    <w:rsid w:val="00E63626"/>
    <w:rsid w:val="00E638DF"/>
    <w:rsid w:val="00E63B17"/>
    <w:rsid w:val="00E63CC5"/>
    <w:rsid w:val="00E6452D"/>
    <w:rsid w:val="00E64643"/>
    <w:rsid w:val="00E649CC"/>
    <w:rsid w:val="00E64CE9"/>
    <w:rsid w:val="00E65CE5"/>
    <w:rsid w:val="00E66B1E"/>
    <w:rsid w:val="00E6780E"/>
    <w:rsid w:val="00E67943"/>
    <w:rsid w:val="00E67E23"/>
    <w:rsid w:val="00E67F53"/>
    <w:rsid w:val="00E70894"/>
    <w:rsid w:val="00E70A4F"/>
    <w:rsid w:val="00E70A6A"/>
    <w:rsid w:val="00E7182D"/>
    <w:rsid w:val="00E718AD"/>
    <w:rsid w:val="00E71A61"/>
    <w:rsid w:val="00E71E90"/>
    <w:rsid w:val="00E72285"/>
    <w:rsid w:val="00E7251F"/>
    <w:rsid w:val="00E7288E"/>
    <w:rsid w:val="00E72E9D"/>
    <w:rsid w:val="00E7366C"/>
    <w:rsid w:val="00E737AE"/>
    <w:rsid w:val="00E73BFB"/>
    <w:rsid w:val="00E741E5"/>
    <w:rsid w:val="00E74373"/>
    <w:rsid w:val="00E74BC1"/>
    <w:rsid w:val="00E74CC3"/>
    <w:rsid w:val="00E74CFD"/>
    <w:rsid w:val="00E74FE9"/>
    <w:rsid w:val="00E75388"/>
    <w:rsid w:val="00E7562B"/>
    <w:rsid w:val="00E75DE1"/>
    <w:rsid w:val="00E76CE3"/>
    <w:rsid w:val="00E77AB0"/>
    <w:rsid w:val="00E77C67"/>
    <w:rsid w:val="00E801D7"/>
    <w:rsid w:val="00E80463"/>
    <w:rsid w:val="00E8067D"/>
    <w:rsid w:val="00E807F8"/>
    <w:rsid w:val="00E809D9"/>
    <w:rsid w:val="00E811C5"/>
    <w:rsid w:val="00E8182D"/>
    <w:rsid w:val="00E8217C"/>
    <w:rsid w:val="00E8233C"/>
    <w:rsid w:val="00E833F3"/>
    <w:rsid w:val="00E83E84"/>
    <w:rsid w:val="00E846A3"/>
    <w:rsid w:val="00E861E8"/>
    <w:rsid w:val="00E8633E"/>
    <w:rsid w:val="00E8652D"/>
    <w:rsid w:val="00E86A47"/>
    <w:rsid w:val="00E86C9D"/>
    <w:rsid w:val="00E87B99"/>
    <w:rsid w:val="00E90259"/>
    <w:rsid w:val="00E90DDD"/>
    <w:rsid w:val="00E91099"/>
    <w:rsid w:val="00E913FC"/>
    <w:rsid w:val="00E91BA9"/>
    <w:rsid w:val="00E91DDC"/>
    <w:rsid w:val="00E91F6D"/>
    <w:rsid w:val="00E91F6E"/>
    <w:rsid w:val="00E91F72"/>
    <w:rsid w:val="00E92203"/>
    <w:rsid w:val="00E92543"/>
    <w:rsid w:val="00E927C8"/>
    <w:rsid w:val="00E934E2"/>
    <w:rsid w:val="00E93557"/>
    <w:rsid w:val="00E93B8B"/>
    <w:rsid w:val="00E93E96"/>
    <w:rsid w:val="00E94161"/>
    <w:rsid w:val="00E94696"/>
    <w:rsid w:val="00E95F10"/>
    <w:rsid w:val="00E96297"/>
    <w:rsid w:val="00E96398"/>
    <w:rsid w:val="00E96DD3"/>
    <w:rsid w:val="00E972FC"/>
    <w:rsid w:val="00E973DA"/>
    <w:rsid w:val="00E97CAF"/>
    <w:rsid w:val="00E97DB4"/>
    <w:rsid w:val="00EA09C2"/>
    <w:rsid w:val="00EA0AEC"/>
    <w:rsid w:val="00EA0CDE"/>
    <w:rsid w:val="00EA1124"/>
    <w:rsid w:val="00EA12A6"/>
    <w:rsid w:val="00EA17F3"/>
    <w:rsid w:val="00EA2446"/>
    <w:rsid w:val="00EA24D8"/>
    <w:rsid w:val="00EA255C"/>
    <w:rsid w:val="00EA266B"/>
    <w:rsid w:val="00EA2C12"/>
    <w:rsid w:val="00EA2D26"/>
    <w:rsid w:val="00EA38BF"/>
    <w:rsid w:val="00EA3A83"/>
    <w:rsid w:val="00EA3E98"/>
    <w:rsid w:val="00EA3F74"/>
    <w:rsid w:val="00EA4515"/>
    <w:rsid w:val="00EA47BF"/>
    <w:rsid w:val="00EA4C5F"/>
    <w:rsid w:val="00EA4F20"/>
    <w:rsid w:val="00EA54AA"/>
    <w:rsid w:val="00EA583B"/>
    <w:rsid w:val="00EA5BF5"/>
    <w:rsid w:val="00EA611D"/>
    <w:rsid w:val="00EA6BA8"/>
    <w:rsid w:val="00EA6BAA"/>
    <w:rsid w:val="00EA71B9"/>
    <w:rsid w:val="00EA72BD"/>
    <w:rsid w:val="00EA7495"/>
    <w:rsid w:val="00EB0384"/>
    <w:rsid w:val="00EB05A5"/>
    <w:rsid w:val="00EB1231"/>
    <w:rsid w:val="00EB18F3"/>
    <w:rsid w:val="00EB2239"/>
    <w:rsid w:val="00EB2F20"/>
    <w:rsid w:val="00EB38CE"/>
    <w:rsid w:val="00EB3B36"/>
    <w:rsid w:val="00EB447E"/>
    <w:rsid w:val="00EB485B"/>
    <w:rsid w:val="00EB51F9"/>
    <w:rsid w:val="00EB5240"/>
    <w:rsid w:val="00EB53AD"/>
    <w:rsid w:val="00EB573B"/>
    <w:rsid w:val="00EB58AD"/>
    <w:rsid w:val="00EB62B0"/>
    <w:rsid w:val="00EB649A"/>
    <w:rsid w:val="00EB6D07"/>
    <w:rsid w:val="00EB7146"/>
    <w:rsid w:val="00EB7308"/>
    <w:rsid w:val="00EB789B"/>
    <w:rsid w:val="00EB7A28"/>
    <w:rsid w:val="00EB7DFC"/>
    <w:rsid w:val="00EC0055"/>
    <w:rsid w:val="00EC069F"/>
    <w:rsid w:val="00EC07B7"/>
    <w:rsid w:val="00EC07BA"/>
    <w:rsid w:val="00EC1222"/>
    <w:rsid w:val="00EC1D13"/>
    <w:rsid w:val="00EC2258"/>
    <w:rsid w:val="00EC2BE2"/>
    <w:rsid w:val="00EC2DBA"/>
    <w:rsid w:val="00EC3EC9"/>
    <w:rsid w:val="00EC479C"/>
    <w:rsid w:val="00EC495E"/>
    <w:rsid w:val="00EC5F21"/>
    <w:rsid w:val="00EC6EF6"/>
    <w:rsid w:val="00EC723D"/>
    <w:rsid w:val="00ED009B"/>
    <w:rsid w:val="00ED0175"/>
    <w:rsid w:val="00ED0261"/>
    <w:rsid w:val="00ED04ED"/>
    <w:rsid w:val="00ED05A5"/>
    <w:rsid w:val="00ED11C7"/>
    <w:rsid w:val="00ED16C7"/>
    <w:rsid w:val="00ED236E"/>
    <w:rsid w:val="00ED30FA"/>
    <w:rsid w:val="00ED3AB4"/>
    <w:rsid w:val="00ED3E17"/>
    <w:rsid w:val="00ED3F41"/>
    <w:rsid w:val="00ED452A"/>
    <w:rsid w:val="00ED4BDC"/>
    <w:rsid w:val="00ED4F4B"/>
    <w:rsid w:val="00ED51E4"/>
    <w:rsid w:val="00ED5F1A"/>
    <w:rsid w:val="00ED66EB"/>
    <w:rsid w:val="00ED671E"/>
    <w:rsid w:val="00ED7AE0"/>
    <w:rsid w:val="00EE03FB"/>
    <w:rsid w:val="00EE05EC"/>
    <w:rsid w:val="00EE0699"/>
    <w:rsid w:val="00EE1417"/>
    <w:rsid w:val="00EE1DC2"/>
    <w:rsid w:val="00EE1F71"/>
    <w:rsid w:val="00EE20BE"/>
    <w:rsid w:val="00EE2A5C"/>
    <w:rsid w:val="00EE2DEA"/>
    <w:rsid w:val="00EE369C"/>
    <w:rsid w:val="00EE3A7A"/>
    <w:rsid w:val="00EE50B8"/>
    <w:rsid w:val="00EE59EF"/>
    <w:rsid w:val="00EE5BE2"/>
    <w:rsid w:val="00EE6195"/>
    <w:rsid w:val="00EE6639"/>
    <w:rsid w:val="00EE67BC"/>
    <w:rsid w:val="00EE6827"/>
    <w:rsid w:val="00EE6939"/>
    <w:rsid w:val="00EE6A73"/>
    <w:rsid w:val="00EE6E3D"/>
    <w:rsid w:val="00EE725B"/>
    <w:rsid w:val="00EE795A"/>
    <w:rsid w:val="00EF0803"/>
    <w:rsid w:val="00EF119F"/>
    <w:rsid w:val="00EF181B"/>
    <w:rsid w:val="00EF3115"/>
    <w:rsid w:val="00EF312D"/>
    <w:rsid w:val="00EF317B"/>
    <w:rsid w:val="00EF321B"/>
    <w:rsid w:val="00EF3733"/>
    <w:rsid w:val="00EF383D"/>
    <w:rsid w:val="00EF39E1"/>
    <w:rsid w:val="00EF3EEC"/>
    <w:rsid w:val="00EF4325"/>
    <w:rsid w:val="00EF44D8"/>
    <w:rsid w:val="00EF454C"/>
    <w:rsid w:val="00EF56BF"/>
    <w:rsid w:val="00EF5B6E"/>
    <w:rsid w:val="00EF5E60"/>
    <w:rsid w:val="00EF63A7"/>
    <w:rsid w:val="00EF7513"/>
    <w:rsid w:val="00EF7662"/>
    <w:rsid w:val="00EF7A66"/>
    <w:rsid w:val="00F00075"/>
    <w:rsid w:val="00F00167"/>
    <w:rsid w:val="00F007BA"/>
    <w:rsid w:val="00F00D6B"/>
    <w:rsid w:val="00F0186B"/>
    <w:rsid w:val="00F0232A"/>
    <w:rsid w:val="00F02397"/>
    <w:rsid w:val="00F02612"/>
    <w:rsid w:val="00F02660"/>
    <w:rsid w:val="00F029F4"/>
    <w:rsid w:val="00F03164"/>
    <w:rsid w:val="00F03C79"/>
    <w:rsid w:val="00F03CAD"/>
    <w:rsid w:val="00F04161"/>
    <w:rsid w:val="00F04971"/>
    <w:rsid w:val="00F04EF4"/>
    <w:rsid w:val="00F05364"/>
    <w:rsid w:val="00F05CE5"/>
    <w:rsid w:val="00F05F8A"/>
    <w:rsid w:val="00F07ADD"/>
    <w:rsid w:val="00F07FE9"/>
    <w:rsid w:val="00F10B03"/>
    <w:rsid w:val="00F1144E"/>
    <w:rsid w:val="00F116B5"/>
    <w:rsid w:val="00F126F5"/>
    <w:rsid w:val="00F128C2"/>
    <w:rsid w:val="00F12D2D"/>
    <w:rsid w:val="00F13291"/>
    <w:rsid w:val="00F136A9"/>
    <w:rsid w:val="00F1371D"/>
    <w:rsid w:val="00F13D2B"/>
    <w:rsid w:val="00F13DB1"/>
    <w:rsid w:val="00F13E70"/>
    <w:rsid w:val="00F14A93"/>
    <w:rsid w:val="00F1532F"/>
    <w:rsid w:val="00F156BF"/>
    <w:rsid w:val="00F15C5F"/>
    <w:rsid w:val="00F164AC"/>
    <w:rsid w:val="00F16836"/>
    <w:rsid w:val="00F17586"/>
    <w:rsid w:val="00F176D9"/>
    <w:rsid w:val="00F209EF"/>
    <w:rsid w:val="00F21081"/>
    <w:rsid w:val="00F2154A"/>
    <w:rsid w:val="00F21E71"/>
    <w:rsid w:val="00F22413"/>
    <w:rsid w:val="00F22CDD"/>
    <w:rsid w:val="00F23C70"/>
    <w:rsid w:val="00F23D71"/>
    <w:rsid w:val="00F2442C"/>
    <w:rsid w:val="00F24702"/>
    <w:rsid w:val="00F247E8"/>
    <w:rsid w:val="00F248F7"/>
    <w:rsid w:val="00F25220"/>
    <w:rsid w:val="00F25378"/>
    <w:rsid w:val="00F25665"/>
    <w:rsid w:val="00F256EA"/>
    <w:rsid w:val="00F259CC"/>
    <w:rsid w:val="00F265BC"/>
    <w:rsid w:val="00F26A27"/>
    <w:rsid w:val="00F26D95"/>
    <w:rsid w:val="00F26DAB"/>
    <w:rsid w:val="00F2759F"/>
    <w:rsid w:val="00F27741"/>
    <w:rsid w:val="00F30B70"/>
    <w:rsid w:val="00F31564"/>
    <w:rsid w:val="00F316C4"/>
    <w:rsid w:val="00F318AE"/>
    <w:rsid w:val="00F31CB5"/>
    <w:rsid w:val="00F3265D"/>
    <w:rsid w:val="00F32B4A"/>
    <w:rsid w:val="00F32FDD"/>
    <w:rsid w:val="00F3356F"/>
    <w:rsid w:val="00F339EE"/>
    <w:rsid w:val="00F341A8"/>
    <w:rsid w:val="00F34575"/>
    <w:rsid w:val="00F34BE2"/>
    <w:rsid w:val="00F34EC1"/>
    <w:rsid w:val="00F3531E"/>
    <w:rsid w:val="00F35498"/>
    <w:rsid w:val="00F3595E"/>
    <w:rsid w:val="00F35D57"/>
    <w:rsid w:val="00F3613F"/>
    <w:rsid w:val="00F36634"/>
    <w:rsid w:val="00F3664A"/>
    <w:rsid w:val="00F3719A"/>
    <w:rsid w:val="00F3754E"/>
    <w:rsid w:val="00F3781E"/>
    <w:rsid w:val="00F400C7"/>
    <w:rsid w:val="00F40732"/>
    <w:rsid w:val="00F407EC"/>
    <w:rsid w:val="00F41505"/>
    <w:rsid w:val="00F4236A"/>
    <w:rsid w:val="00F432E8"/>
    <w:rsid w:val="00F43B7B"/>
    <w:rsid w:val="00F43C1B"/>
    <w:rsid w:val="00F43C3B"/>
    <w:rsid w:val="00F44E8C"/>
    <w:rsid w:val="00F451CE"/>
    <w:rsid w:val="00F452F6"/>
    <w:rsid w:val="00F457F4"/>
    <w:rsid w:val="00F4586B"/>
    <w:rsid w:val="00F45A8A"/>
    <w:rsid w:val="00F460AC"/>
    <w:rsid w:val="00F46189"/>
    <w:rsid w:val="00F461F0"/>
    <w:rsid w:val="00F46BC8"/>
    <w:rsid w:val="00F46E80"/>
    <w:rsid w:val="00F47863"/>
    <w:rsid w:val="00F517C3"/>
    <w:rsid w:val="00F5202A"/>
    <w:rsid w:val="00F528A5"/>
    <w:rsid w:val="00F53089"/>
    <w:rsid w:val="00F53C5E"/>
    <w:rsid w:val="00F54798"/>
    <w:rsid w:val="00F54E68"/>
    <w:rsid w:val="00F5516F"/>
    <w:rsid w:val="00F5586D"/>
    <w:rsid w:val="00F55878"/>
    <w:rsid w:val="00F55988"/>
    <w:rsid w:val="00F55E28"/>
    <w:rsid w:val="00F5601E"/>
    <w:rsid w:val="00F560EE"/>
    <w:rsid w:val="00F5619C"/>
    <w:rsid w:val="00F56770"/>
    <w:rsid w:val="00F56CED"/>
    <w:rsid w:val="00F573C2"/>
    <w:rsid w:val="00F5773A"/>
    <w:rsid w:val="00F57FC8"/>
    <w:rsid w:val="00F60344"/>
    <w:rsid w:val="00F608CF"/>
    <w:rsid w:val="00F616A6"/>
    <w:rsid w:val="00F6262A"/>
    <w:rsid w:val="00F62A37"/>
    <w:rsid w:val="00F63738"/>
    <w:rsid w:val="00F639A4"/>
    <w:rsid w:val="00F63E0A"/>
    <w:rsid w:val="00F63E41"/>
    <w:rsid w:val="00F64DDC"/>
    <w:rsid w:val="00F652E7"/>
    <w:rsid w:val="00F65598"/>
    <w:rsid w:val="00F65C59"/>
    <w:rsid w:val="00F65D5B"/>
    <w:rsid w:val="00F66A29"/>
    <w:rsid w:val="00F67956"/>
    <w:rsid w:val="00F708B4"/>
    <w:rsid w:val="00F70DF1"/>
    <w:rsid w:val="00F710F0"/>
    <w:rsid w:val="00F71849"/>
    <w:rsid w:val="00F71982"/>
    <w:rsid w:val="00F71E22"/>
    <w:rsid w:val="00F72232"/>
    <w:rsid w:val="00F72678"/>
    <w:rsid w:val="00F72AE7"/>
    <w:rsid w:val="00F73130"/>
    <w:rsid w:val="00F73174"/>
    <w:rsid w:val="00F734E5"/>
    <w:rsid w:val="00F73CED"/>
    <w:rsid w:val="00F74559"/>
    <w:rsid w:val="00F75670"/>
    <w:rsid w:val="00F75F2B"/>
    <w:rsid w:val="00F763C9"/>
    <w:rsid w:val="00F769DE"/>
    <w:rsid w:val="00F76B49"/>
    <w:rsid w:val="00F771CA"/>
    <w:rsid w:val="00F77D5D"/>
    <w:rsid w:val="00F804E7"/>
    <w:rsid w:val="00F80513"/>
    <w:rsid w:val="00F8071C"/>
    <w:rsid w:val="00F80E7B"/>
    <w:rsid w:val="00F80F6B"/>
    <w:rsid w:val="00F812ED"/>
    <w:rsid w:val="00F81524"/>
    <w:rsid w:val="00F817E2"/>
    <w:rsid w:val="00F81B98"/>
    <w:rsid w:val="00F82AA4"/>
    <w:rsid w:val="00F82F06"/>
    <w:rsid w:val="00F82F4D"/>
    <w:rsid w:val="00F8364B"/>
    <w:rsid w:val="00F83D8A"/>
    <w:rsid w:val="00F853E3"/>
    <w:rsid w:val="00F857D1"/>
    <w:rsid w:val="00F85A79"/>
    <w:rsid w:val="00F85B1A"/>
    <w:rsid w:val="00F863CF"/>
    <w:rsid w:val="00F86B46"/>
    <w:rsid w:val="00F87662"/>
    <w:rsid w:val="00F87DF9"/>
    <w:rsid w:val="00F90559"/>
    <w:rsid w:val="00F913AE"/>
    <w:rsid w:val="00F91ADA"/>
    <w:rsid w:val="00F92350"/>
    <w:rsid w:val="00F928F4"/>
    <w:rsid w:val="00F937E4"/>
    <w:rsid w:val="00F9383C"/>
    <w:rsid w:val="00F93ADD"/>
    <w:rsid w:val="00F93B21"/>
    <w:rsid w:val="00F93E00"/>
    <w:rsid w:val="00F93EFD"/>
    <w:rsid w:val="00F943E7"/>
    <w:rsid w:val="00F944AB"/>
    <w:rsid w:val="00F94A9C"/>
    <w:rsid w:val="00F94C62"/>
    <w:rsid w:val="00F95A80"/>
    <w:rsid w:val="00F95F9E"/>
    <w:rsid w:val="00F961E5"/>
    <w:rsid w:val="00F97326"/>
    <w:rsid w:val="00F97685"/>
    <w:rsid w:val="00F97B6C"/>
    <w:rsid w:val="00F97C64"/>
    <w:rsid w:val="00F97C7D"/>
    <w:rsid w:val="00FA07E6"/>
    <w:rsid w:val="00FA0D40"/>
    <w:rsid w:val="00FA13DF"/>
    <w:rsid w:val="00FA1487"/>
    <w:rsid w:val="00FA187B"/>
    <w:rsid w:val="00FA1B29"/>
    <w:rsid w:val="00FA292B"/>
    <w:rsid w:val="00FA2B3B"/>
    <w:rsid w:val="00FA32D8"/>
    <w:rsid w:val="00FA4E93"/>
    <w:rsid w:val="00FA4F2B"/>
    <w:rsid w:val="00FA5910"/>
    <w:rsid w:val="00FA5B53"/>
    <w:rsid w:val="00FA61BD"/>
    <w:rsid w:val="00FA6A12"/>
    <w:rsid w:val="00FA6A41"/>
    <w:rsid w:val="00FA6C79"/>
    <w:rsid w:val="00FA6F6C"/>
    <w:rsid w:val="00FA73FB"/>
    <w:rsid w:val="00FB0586"/>
    <w:rsid w:val="00FB0718"/>
    <w:rsid w:val="00FB077A"/>
    <w:rsid w:val="00FB1150"/>
    <w:rsid w:val="00FB2A10"/>
    <w:rsid w:val="00FB38FB"/>
    <w:rsid w:val="00FB3BB3"/>
    <w:rsid w:val="00FB3F17"/>
    <w:rsid w:val="00FB4291"/>
    <w:rsid w:val="00FB455D"/>
    <w:rsid w:val="00FB47CA"/>
    <w:rsid w:val="00FB513C"/>
    <w:rsid w:val="00FB537B"/>
    <w:rsid w:val="00FB5C55"/>
    <w:rsid w:val="00FB653F"/>
    <w:rsid w:val="00FB6656"/>
    <w:rsid w:val="00FB695B"/>
    <w:rsid w:val="00FB719B"/>
    <w:rsid w:val="00FB73EE"/>
    <w:rsid w:val="00FB796E"/>
    <w:rsid w:val="00FB7F54"/>
    <w:rsid w:val="00FC083E"/>
    <w:rsid w:val="00FC0A75"/>
    <w:rsid w:val="00FC10E3"/>
    <w:rsid w:val="00FC12B2"/>
    <w:rsid w:val="00FC1C09"/>
    <w:rsid w:val="00FC2195"/>
    <w:rsid w:val="00FC24E7"/>
    <w:rsid w:val="00FC2995"/>
    <w:rsid w:val="00FC3B76"/>
    <w:rsid w:val="00FC4CCB"/>
    <w:rsid w:val="00FC514F"/>
    <w:rsid w:val="00FC52BD"/>
    <w:rsid w:val="00FC538B"/>
    <w:rsid w:val="00FC57DF"/>
    <w:rsid w:val="00FC5EB1"/>
    <w:rsid w:val="00FC5EB4"/>
    <w:rsid w:val="00FC6018"/>
    <w:rsid w:val="00FC61F2"/>
    <w:rsid w:val="00FC6F02"/>
    <w:rsid w:val="00FC6F15"/>
    <w:rsid w:val="00FC70E9"/>
    <w:rsid w:val="00FC7D4E"/>
    <w:rsid w:val="00FC7E94"/>
    <w:rsid w:val="00FD0667"/>
    <w:rsid w:val="00FD0714"/>
    <w:rsid w:val="00FD08EC"/>
    <w:rsid w:val="00FD0FB0"/>
    <w:rsid w:val="00FD139E"/>
    <w:rsid w:val="00FD13CA"/>
    <w:rsid w:val="00FD15AA"/>
    <w:rsid w:val="00FD179F"/>
    <w:rsid w:val="00FD1B15"/>
    <w:rsid w:val="00FD1CCF"/>
    <w:rsid w:val="00FD209E"/>
    <w:rsid w:val="00FD21B9"/>
    <w:rsid w:val="00FD238F"/>
    <w:rsid w:val="00FD295E"/>
    <w:rsid w:val="00FD2A20"/>
    <w:rsid w:val="00FD2CC6"/>
    <w:rsid w:val="00FD30BB"/>
    <w:rsid w:val="00FD4528"/>
    <w:rsid w:val="00FD4761"/>
    <w:rsid w:val="00FD4AF4"/>
    <w:rsid w:val="00FD5804"/>
    <w:rsid w:val="00FD5C75"/>
    <w:rsid w:val="00FD74A7"/>
    <w:rsid w:val="00FD75B0"/>
    <w:rsid w:val="00FD7BEA"/>
    <w:rsid w:val="00FE0665"/>
    <w:rsid w:val="00FE0BA7"/>
    <w:rsid w:val="00FE0D5B"/>
    <w:rsid w:val="00FE0E17"/>
    <w:rsid w:val="00FE1024"/>
    <w:rsid w:val="00FE151F"/>
    <w:rsid w:val="00FE195B"/>
    <w:rsid w:val="00FE1C73"/>
    <w:rsid w:val="00FE1C93"/>
    <w:rsid w:val="00FE1CFA"/>
    <w:rsid w:val="00FE2029"/>
    <w:rsid w:val="00FE216A"/>
    <w:rsid w:val="00FE315C"/>
    <w:rsid w:val="00FE533D"/>
    <w:rsid w:val="00FE575F"/>
    <w:rsid w:val="00FE59EF"/>
    <w:rsid w:val="00FE5ACC"/>
    <w:rsid w:val="00FE5D38"/>
    <w:rsid w:val="00FE654E"/>
    <w:rsid w:val="00FE679C"/>
    <w:rsid w:val="00FE6FF2"/>
    <w:rsid w:val="00FE7424"/>
    <w:rsid w:val="00FE7C12"/>
    <w:rsid w:val="00FE7F0D"/>
    <w:rsid w:val="00FF009F"/>
    <w:rsid w:val="00FF05D1"/>
    <w:rsid w:val="00FF0CB8"/>
    <w:rsid w:val="00FF0D78"/>
    <w:rsid w:val="00FF3213"/>
    <w:rsid w:val="00FF39AA"/>
    <w:rsid w:val="00FF3B99"/>
    <w:rsid w:val="00FF3CE4"/>
    <w:rsid w:val="00FF3E15"/>
    <w:rsid w:val="00FF4238"/>
    <w:rsid w:val="00FF42C6"/>
    <w:rsid w:val="00FF4BA2"/>
    <w:rsid w:val="00FF50EE"/>
    <w:rsid w:val="00FF5308"/>
    <w:rsid w:val="00FF5479"/>
    <w:rsid w:val="00FF6625"/>
    <w:rsid w:val="00FF6745"/>
    <w:rsid w:val="00FF6881"/>
    <w:rsid w:val="00FF69AB"/>
    <w:rsid w:val="00FF6BC8"/>
    <w:rsid w:val="00FF7584"/>
    <w:rsid w:val="00FF7AF4"/>
    <w:rsid w:val="00FF7E04"/>
    <w:rsid w:val="01506B46"/>
    <w:rsid w:val="0161479A"/>
    <w:rsid w:val="01823888"/>
    <w:rsid w:val="01C57532"/>
    <w:rsid w:val="01C87E9E"/>
    <w:rsid w:val="022B52DF"/>
    <w:rsid w:val="022D443F"/>
    <w:rsid w:val="02330905"/>
    <w:rsid w:val="02485BB1"/>
    <w:rsid w:val="026827BA"/>
    <w:rsid w:val="02746ACD"/>
    <w:rsid w:val="02B915D1"/>
    <w:rsid w:val="02C2315B"/>
    <w:rsid w:val="02CE3AA4"/>
    <w:rsid w:val="030C12DC"/>
    <w:rsid w:val="033E6E3B"/>
    <w:rsid w:val="034966AB"/>
    <w:rsid w:val="03767A0F"/>
    <w:rsid w:val="037B5C4C"/>
    <w:rsid w:val="039D354F"/>
    <w:rsid w:val="03A42FD5"/>
    <w:rsid w:val="03D57DF4"/>
    <w:rsid w:val="03DE7E16"/>
    <w:rsid w:val="03FC06E1"/>
    <w:rsid w:val="03FC1C1A"/>
    <w:rsid w:val="04273FA7"/>
    <w:rsid w:val="0434266D"/>
    <w:rsid w:val="048138E6"/>
    <w:rsid w:val="04881143"/>
    <w:rsid w:val="048B4741"/>
    <w:rsid w:val="04921AA7"/>
    <w:rsid w:val="04AD3ED6"/>
    <w:rsid w:val="04B06720"/>
    <w:rsid w:val="04DB4EA7"/>
    <w:rsid w:val="04E47BC8"/>
    <w:rsid w:val="050109CF"/>
    <w:rsid w:val="050300DD"/>
    <w:rsid w:val="050D2A7C"/>
    <w:rsid w:val="053C6C12"/>
    <w:rsid w:val="055439AC"/>
    <w:rsid w:val="0563473E"/>
    <w:rsid w:val="05D606E4"/>
    <w:rsid w:val="0613575A"/>
    <w:rsid w:val="061871D7"/>
    <w:rsid w:val="061C2620"/>
    <w:rsid w:val="06400A37"/>
    <w:rsid w:val="065B5504"/>
    <w:rsid w:val="06775309"/>
    <w:rsid w:val="071159EF"/>
    <w:rsid w:val="07286381"/>
    <w:rsid w:val="07473445"/>
    <w:rsid w:val="07D16886"/>
    <w:rsid w:val="07F00EB9"/>
    <w:rsid w:val="07F511C3"/>
    <w:rsid w:val="0802276B"/>
    <w:rsid w:val="080B4767"/>
    <w:rsid w:val="084161B2"/>
    <w:rsid w:val="0844519B"/>
    <w:rsid w:val="085408BA"/>
    <w:rsid w:val="089B770D"/>
    <w:rsid w:val="089D59EE"/>
    <w:rsid w:val="089E16EC"/>
    <w:rsid w:val="08BF272D"/>
    <w:rsid w:val="08E17099"/>
    <w:rsid w:val="08F26214"/>
    <w:rsid w:val="0903578E"/>
    <w:rsid w:val="092D5C5D"/>
    <w:rsid w:val="092D7193"/>
    <w:rsid w:val="095C2382"/>
    <w:rsid w:val="097C4652"/>
    <w:rsid w:val="099042F5"/>
    <w:rsid w:val="0992502F"/>
    <w:rsid w:val="09A638E8"/>
    <w:rsid w:val="09CF033C"/>
    <w:rsid w:val="09EA2C74"/>
    <w:rsid w:val="0ABD2E24"/>
    <w:rsid w:val="0ADB21FF"/>
    <w:rsid w:val="0AEB3170"/>
    <w:rsid w:val="0AEB4DB0"/>
    <w:rsid w:val="0AFA4DF0"/>
    <w:rsid w:val="0B422C05"/>
    <w:rsid w:val="0B4F52DB"/>
    <w:rsid w:val="0B5C1EA2"/>
    <w:rsid w:val="0B906607"/>
    <w:rsid w:val="0BB64DA2"/>
    <w:rsid w:val="0BC1045A"/>
    <w:rsid w:val="0BE832A3"/>
    <w:rsid w:val="0BF84487"/>
    <w:rsid w:val="0BFA5067"/>
    <w:rsid w:val="0BFE0457"/>
    <w:rsid w:val="0C324A0E"/>
    <w:rsid w:val="0C3E07AB"/>
    <w:rsid w:val="0C4374C9"/>
    <w:rsid w:val="0C4C435C"/>
    <w:rsid w:val="0C590029"/>
    <w:rsid w:val="0C7151B5"/>
    <w:rsid w:val="0CD1681E"/>
    <w:rsid w:val="0CDD61A1"/>
    <w:rsid w:val="0CF327F4"/>
    <w:rsid w:val="0D4F6D9C"/>
    <w:rsid w:val="0D5957D9"/>
    <w:rsid w:val="0D8457E9"/>
    <w:rsid w:val="0DB97FDA"/>
    <w:rsid w:val="0E302D30"/>
    <w:rsid w:val="0E316C2E"/>
    <w:rsid w:val="0E834F3C"/>
    <w:rsid w:val="0E9E05B3"/>
    <w:rsid w:val="0EC077AC"/>
    <w:rsid w:val="0F071EDE"/>
    <w:rsid w:val="0F11638C"/>
    <w:rsid w:val="0F1D173B"/>
    <w:rsid w:val="0F583C86"/>
    <w:rsid w:val="0F992678"/>
    <w:rsid w:val="0F997E87"/>
    <w:rsid w:val="0FA138F1"/>
    <w:rsid w:val="0FC62D49"/>
    <w:rsid w:val="0FD13B39"/>
    <w:rsid w:val="104F6B2E"/>
    <w:rsid w:val="106A59DD"/>
    <w:rsid w:val="108A2B54"/>
    <w:rsid w:val="10A127A9"/>
    <w:rsid w:val="10D633FA"/>
    <w:rsid w:val="10ED7ED6"/>
    <w:rsid w:val="110E7E38"/>
    <w:rsid w:val="117A1D31"/>
    <w:rsid w:val="11C47B43"/>
    <w:rsid w:val="11DE4BB7"/>
    <w:rsid w:val="11F31648"/>
    <w:rsid w:val="11FF08D6"/>
    <w:rsid w:val="121D7E19"/>
    <w:rsid w:val="124571D8"/>
    <w:rsid w:val="124609EA"/>
    <w:rsid w:val="12546F0F"/>
    <w:rsid w:val="126A43E8"/>
    <w:rsid w:val="127E5FB4"/>
    <w:rsid w:val="12841BAA"/>
    <w:rsid w:val="1293548B"/>
    <w:rsid w:val="12B75B8C"/>
    <w:rsid w:val="12B9676F"/>
    <w:rsid w:val="12C46B82"/>
    <w:rsid w:val="12D65A12"/>
    <w:rsid w:val="13080F73"/>
    <w:rsid w:val="130A3174"/>
    <w:rsid w:val="13304611"/>
    <w:rsid w:val="133E13B3"/>
    <w:rsid w:val="13580F77"/>
    <w:rsid w:val="13924111"/>
    <w:rsid w:val="13BD64AD"/>
    <w:rsid w:val="13C76EC5"/>
    <w:rsid w:val="13E70326"/>
    <w:rsid w:val="13FF700C"/>
    <w:rsid w:val="14051493"/>
    <w:rsid w:val="14137A00"/>
    <w:rsid w:val="141D71A1"/>
    <w:rsid w:val="143562C7"/>
    <w:rsid w:val="1445412E"/>
    <w:rsid w:val="146766DA"/>
    <w:rsid w:val="147143D8"/>
    <w:rsid w:val="14A21E97"/>
    <w:rsid w:val="14B41CEE"/>
    <w:rsid w:val="14B55780"/>
    <w:rsid w:val="14E837CD"/>
    <w:rsid w:val="15015F67"/>
    <w:rsid w:val="151B6DB2"/>
    <w:rsid w:val="154F1BDF"/>
    <w:rsid w:val="15536BFA"/>
    <w:rsid w:val="156669CE"/>
    <w:rsid w:val="15812A62"/>
    <w:rsid w:val="159342EC"/>
    <w:rsid w:val="15987542"/>
    <w:rsid w:val="159A47AF"/>
    <w:rsid w:val="15A810A1"/>
    <w:rsid w:val="15A9477F"/>
    <w:rsid w:val="15AF5896"/>
    <w:rsid w:val="15C039D2"/>
    <w:rsid w:val="15C96253"/>
    <w:rsid w:val="15E47A93"/>
    <w:rsid w:val="160564D6"/>
    <w:rsid w:val="161F4111"/>
    <w:rsid w:val="162D24B0"/>
    <w:rsid w:val="1630627B"/>
    <w:rsid w:val="168720DD"/>
    <w:rsid w:val="168838B5"/>
    <w:rsid w:val="16B2139A"/>
    <w:rsid w:val="170F26CB"/>
    <w:rsid w:val="173103F2"/>
    <w:rsid w:val="17332F59"/>
    <w:rsid w:val="1756001F"/>
    <w:rsid w:val="17765B0D"/>
    <w:rsid w:val="17B623D6"/>
    <w:rsid w:val="17B875C8"/>
    <w:rsid w:val="17C523B2"/>
    <w:rsid w:val="17C6656F"/>
    <w:rsid w:val="17E15D1B"/>
    <w:rsid w:val="17E45407"/>
    <w:rsid w:val="17F4128F"/>
    <w:rsid w:val="17F41BE4"/>
    <w:rsid w:val="181F5AF1"/>
    <w:rsid w:val="18213E77"/>
    <w:rsid w:val="182F5157"/>
    <w:rsid w:val="1835248C"/>
    <w:rsid w:val="185B2B9E"/>
    <w:rsid w:val="186F04AA"/>
    <w:rsid w:val="188922E0"/>
    <w:rsid w:val="189674C5"/>
    <w:rsid w:val="18AA4536"/>
    <w:rsid w:val="18AF4948"/>
    <w:rsid w:val="18C2467C"/>
    <w:rsid w:val="18F504C0"/>
    <w:rsid w:val="190D0409"/>
    <w:rsid w:val="19172DE4"/>
    <w:rsid w:val="191C3BCC"/>
    <w:rsid w:val="19451280"/>
    <w:rsid w:val="1956628B"/>
    <w:rsid w:val="195F5FCA"/>
    <w:rsid w:val="197B5E98"/>
    <w:rsid w:val="19C87ADA"/>
    <w:rsid w:val="1A0A5743"/>
    <w:rsid w:val="1A2064EB"/>
    <w:rsid w:val="1A2E3FD2"/>
    <w:rsid w:val="1A741596"/>
    <w:rsid w:val="1A757025"/>
    <w:rsid w:val="1A7B5839"/>
    <w:rsid w:val="1B1417BE"/>
    <w:rsid w:val="1B5924C9"/>
    <w:rsid w:val="1B7B4448"/>
    <w:rsid w:val="1B977A9D"/>
    <w:rsid w:val="1BB626BB"/>
    <w:rsid w:val="1BE37719"/>
    <w:rsid w:val="1BFF4FBA"/>
    <w:rsid w:val="1C0F151A"/>
    <w:rsid w:val="1C2166E1"/>
    <w:rsid w:val="1C45137D"/>
    <w:rsid w:val="1C6B2D16"/>
    <w:rsid w:val="1C871FA3"/>
    <w:rsid w:val="1D2C31E8"/>
    <w:rsid w:val="1D377131"/>
    <w:rsid w:val="1D553132"/>
    <w:rsid w:val="1DA824D3"/>
    <w:rsid w:val="1DCB2122"/>
    <w:rsid w:val="1DCC6BC6"/>
    <w:rsid w:val="1DD428A1"/>
    <w:rsid w:val="1DD70A09"/>
    <w:rsid w:val="1DDC7483"/>
    <w:rsid w:val="1E1F636F"/>
    <w:rsid w:val="1E2848E9"/>
    <w:rsid w:val="1E325BD5"/>
    <w:rsid w:val="1E3B56D1"/>
    <w:rsid w:val="1E532AB4"/>
    <w:rsid w:val="1E5E5D33"/>
    <w:rsid w:val="1E7318F3"/>
    <w:rsid w:val="1E8C1A98"/>
    <w:rsid w:val="1ED331F0"/>
    <w:rsid w:val="1ED807F3"/>
    <w:rsid w:val="1EF54D1F"/>
    <w:rsid w:val="1F277913"/>
    <w:rsid w:val="1F6C5AA4"/>
    <w:rsid w:val="1F761D19"/>
    <w:rsid w:val="1F820FBF"/>
    <w:rsid w:val="1F8A0645"/>
    <w:rsid w:val="1F984C57"/>
    <w:rsid w:val="1FA47FA3"/>
    <w:rsid w:val="1FC44202"/>
    <w:rsid w:val="1FD021BC"/>
    <w:rsid w:val="201B700B"/>
    <w:rsid w:val="202D05EE"/>
    <w:rsid w:val="20DD187F"/>
    <w:rsid w:val="21224978"/>
    <w:rsid w:val="2149568A"/>
    <w:rsid w:val="21571EF9"/>
    <w:rsid w:val="21980C21"/>
    <w:rsid w:val="21994DEC"/>
    <w:rsid w:val="21B07D07"/>
    <w:rsid w:val="21D53059"/>
    <w:rsid w:val="21D71F36"/>
    <w:rsid w:val="21EA3451"/>
    <w:rsid w:val="21F331AE"/>
    <w:rsid w:val="22256E78"/>
    <w:rsid w:val="2234668D"/>
    <w:rsid w:val="22444518"/>
    <w:rsid w:val="22AA3D9A"/>
    <w:rsid w:val="22C65E3C"/>
    <w:rsid w:val="23180212"/>
    <w:rsid w:val="23583907"/>
    <w:rsid w:val="236633ED"/>
    <w:rsid w:val="23BD2D0C"/>
    <w:rsid w:val="23C46BDF"/>
    <w:rsid w:val="24575209"/>
    <w:rsid w:val="2460499A"/>
    <w:rsid w:val="246753C1"/>
    <w:rsid w:val="24696EC0"/>
    <w:rsid w:val="24896BA9"/>
    <w:rsid w:val="249A6903"/>
    <w:rsid w:val="249E3B66"/>
    <w:rsid w:val="24F0728A"/>
    <w:rsid w:val="251272E8"/>
    <w:rsid w:val="253F7DA6"/>
    <w:rsid w:val="255C7C98"/>
    <w:rsid w:val="2566524B"/>
    <w:rsid w:val="25845FEE"/>
    <w:rsid w:val="25905F0D"/>
    <w:rsid w:val="25B661ED"/>
    <w:rsid w:val="25C568E3"/>
    <w:rsid w:val="25CB29F1"/>
    <w:rsid w:val="25ED2F3F"/>
    <w:rsid w:val="25ED74AF"/>
    <w:rsid w:val="25F2034A"/>
    <w:rsid w:val="261C15BA"/>
    <w:rsid w:val="261F503A"/>
    <w:rsid w:val="262202C3"/>
    <w:rsid w:val="267B460F"/>
    <w:rsid w:val="267B799E"/>
    <w:rsid w:val="268A79E0"/>
    <w:rsid w:val="26D2161E"/>
    <w:rsid w:val="26FE274B"/>
    <w:rsid w:val="270642C2"/>
    <w:rsid w:val="27130A4A"/>
    <w:rsid w:val="2752395B"/>
    <w:rsid w:val="2798343B"/>
    <w:rsid w:val="27A81880"/>
    <w:rsid w:val="27C418E6"/>
    <w:rsid w:val="27C96E8E"/>
    <w:rsid w:val="27CF206D"/>
    <w:rsid w:val="28192B1F"/>
    <w:rsid w:val="281D63EE"/>
    <w:rsid w:val="28250890"/>
    <w:rsid w:val="285847AD"/>
    <w:rsid w:val="2863310E"/>
    <w:rsid w:val="28753AE9"/>
    <w:rsid w:val="28CE7B15"/>
    <w:rsid w:val="28E8780C"/>
    <w:rsid w:val="29516472"/>
    <w:rsid w:val="2966575B"/>
    <w:rsid w:val="296C1D08"/>
    <w:rsid w:val="296F4983"/>
    <w:rsid w:val="29701B1E"/>
    <w:rsid w:val="297A3005"/>
    <w:rsid w:val="298C42EF"/>
    <w:rsid w:val="298C5E22"/>
    <w:rsid w:val="298D319A"/>
    <w:rsid w:val="299306D2"/>
    <w:rsid w:val="299563A8"/>
    <w:rsid w:val="29C052ED"/>
    <w:rsid w:val="29C22958"/>
    <w:rsid w:val="2A051D9E"/>
    <w:rsid w:val="2A1A664B"/>
    <w:rsid w:val="2A4D1F06"/>
    <w:rsid w:val="2A59190B"/>
    <w:rsid w:val="2AA43624"/>
    <w:rsid w:val="2AA72B0C"/>
    <w:rsid w:val="2AAC4C19"/>
    <w:rsid w:val="2AB9430E"/>
    <w:rsid w:val="2ABF61CA"/>
    <w:rsid w:val="2B073E62"/>
    <w:rsid w:val="2B444BAE"/>
    <w:rsid w:val="2B7A5331"/>
    <w:rsid w:val="2B850E17"/>
    <w:rsid w:val="2B9B28E8"/>
    <w:rsid w:val="2BB033F9"/>
    <w:rsid w:val="2BB11E8B"/>
    <w:rsid w:val="2BB17475"/>
    <w:rsid w:val="2BB304D0"/>
    <w:rsid w:val="2C040CAE"/>
    <w:rsid w:val="2C4C6A46"/>
    <w:rsid w:val="2C720AB5"/>
    <w:rsid w:val="2CAD534C"/>
    <w:rsid w:val="2D003CA1"/>
    <w:rsid w:val="2D1C5E2B"/>
    <w:rsid w:val="2D451E28"/>
    <w:rsid w:val="2D5B5792"/>
    <w:rsid w:val="2D67676D"/>
    <w:rsid w:val="2D824F7F"/>
    <w:rsid w:val="2DC61507"/>
    <w:rsid w:val="2E0F76B8"/>
    <w:rsid w:val="2E407362"/>
    <w:rsid w:val="2E4512CA"/>
    <w:rsid w:val="2E6E764D"/>
    <w:rsid w:val="2E712882"/>
    <w:rsid w:val="2EC96596"/>
    <w:rsid w:val="2EEF7CE9"/>
    <w:rsid w:val="2F224B43"/>
    <w:rsid w:val="2F2B0226"/>
    <w:rsid w:val="2F522C58"/>
    <w:rsid w:val="2F531F93"/>
    <w:rsid w:val="2F640C4C"/>
    <w:rsid w:val="2F717B7F"/>
    <w:rsid w:val="2F8529F4"/>
    <w:rsid w:val="2F863D21"/>
    <w:rsid w:val="2F9E5225"/>
    <w:rsid w:val="2FA43FED"/>
    <w:rsid w:val="308058C0"/>
    <w:rsid w:val="309C11CF"/>
    <w:rsid w:val="30CE0BC9"/>
    <w:rsid w:val="30DC6F35"/>
    <w:rsid w:val="31215098"/>
    <w:rsid w:val="31394848"/>
    <w:rsid w:val="31453051"/>
    <w:rsid w:val="315A520A"/>
    <w:rsid w:val="315C50DB"/>
    <w:rsid w:val="31645F7B"/>
    <w:rsid w:val="31995CBA"/>
    <w:rsid w:val="31A050F1"/>
    <w:rsid w:val="31C710DD"/>
    <w:rsid w:val="31E143EF"/>
    <w:rsid w:val="31FD3611"/>
    <w:rsid w:val="328627B2"/>
    <w:rsid w:val="328D3EE8"/>
    <w:rsid w:val="32B260A8"/>
    <w:rsid w:val="32D156B7"/>
    <w:rsid w:val="330C0AFA"/>
    <w:rsid w:val="33422B5E"/>
    <w:rsid w:val="33452A46"/>
    <w:rsid w:val="3376520F"/>
    <w:rsid w:val="338D4FAE"/>
    <w:rsid w:val="33973FA1"/>
    <w:rsid w:val="33B261AF"/>
    <w:rsid w:val="33DD3294"/>
    <w:rsid w:val="33E730FA"/>
    <w:rsid w:val="33EA272D"/>
    <w:rsid w:val="341071A1"/>
    <w:rsid w:val="34224EC9"/>
    <w:rsid w:val="34324875"/>
    <w:rsid w:val="343E6A03"/>
    <w:rsid w:val="346A1FCD"/>
    <w:rsid w:val="34897609"/>
    <w:rsid w:val="348B24D7"/>
    <w:rsid w:val="34A727BC"/>
    <w:rsid w:val="34C16C91"/>
    <w:rsid w:val="34F57E66"/>
    <w:rsid w:val="34F72554"/>
    <w:rsid w:val="350E30D2"/>
    <w:rsid w:val="35105DE2"/>
    <w:rsid w:val="351F7A34"/>
    <w:rsid w:val="352060A7"/>
    <w:rsid w:val="355B18FA"/>
    <w:rsid w:val="358C76D0"/>
    <w:rsid w:val="35952577"/>
    <w:rsid w:val="359F6D52"/>
    <w:rsid w:val="35C83AD0"/>
    <w:rsid w:val="35C972CF"/>
    <w:rsid w:val="35FF6F39"/>
    <w:rsid w:val="3617799F"/>
    <w:rsid w:val="362718F5"/>
    <w:rsid w:val="366A4329"/>
    <w:rsid w:val="36857685"/>
    <w:rsid w:val="37501191"/>
    <w:rsid w:val="375B6A98"/>
    <w:rsid w:val="375D4498"/>
    <w:rsid w:val="37655798"/>
    <w:rsid w:val="376B0D6E"/>
    <w:rsid w:val="376C4958"/>
    <w:rsid w:val="37850EF9"/>
    <w:rsid w:val="378650B6"/>
    <w:rsid w:val="378C73FA"/>
    <w:rsid w:val="37CB5247"/>
    <w:rsid w:val="37EB0E48"/>
    <w:rsid w:val="37EC573D"/>
    <w:rsid w:val="38285DE8"/>
    <w:rsid w:val="382B6577"/>
    <w:rsid w:val="38373E15"/>
    <w:rsid w:val="38790217"/>
    <w:rsid w:val="39274E81"/>
    <w:rsid w:val="3955760A"/>
    <w:rsid w:val="39684D4C"/>
    <w:rsid w:val="39747E6A"/>
    <w:rsid w:val="397D6B7E"/>
    <w:rsid w:val="398418EB"/>
    <w:rsid w:val="39881B1F"/>
    <w:rsid w:val="39910FF2"/>
    <w:rsid w:val="39E24306"/>
    <w:rsid w:val="3A2B695D"/>
    <w:rsid w:val="3A3D18CB"/>
    <w:rsid w:val="3A6C111A"/>
    <w:rsid w:val="3A867EF1"/>
    <w:rsid w:val="3A8D43FE"/>
    <w:rsid w:val="3A9C2966"/>
    <w:rsid w:val="3AA760EE"/>
    <w:rsid w:val="3ABE71DB"/>
    <w:rsid w:val="3AC646D9"/>
    <w:rsid w:val="3AE334CA"/>
    <w:rsid w:val="3AE76DA8"/>
    <w:rsid w:val="3B0C4F04"/>
    <w:rsid w:val="3B2613A6"/>
    <w:rsid w:val="3B4C5A6C"/>
    <w:rsid w:val="3BF54E9B"/>
    <w:rsid w:val="3C05207A"/>
    <w:rsid w:val="3C0B0CEE"/>
    <w:rsid w:val="3C0C123C"/>
    <w:rsid w:val="3CD6303F"/>
    <w:rsid w:val="3D1237B3"/>
    <w:rsid w:val="3D1A7F95"/>
    <w:rsid w:val="3D1C50A6"/>
    <w:rsid w:val="3D1F7471"/>
    <w:rsid w:val="3D3035FA"/>
    <w:rsid w:val="3D453097"/>
    <w:rsid w:val="3D5F22C2"/>
    <w:rsid w:val="3D8D55AE"/>
    <w:rsid w:val="3DA377F9"/>
    <w:rsid w:val="3DA7154B"/>
    <w:rsid w:val="3DF44114"/>
    <w:rsid w:val="3E6A0A53"/>
    <w:rsid w:val="3E6E4982"/>
    <w:rsid w:val="3E7766F6"/>
    <w:rsid w:val="3EB76BF3"/>
    <w:rsid w:val="3EBC1C3F"/>
    <w:rsid w:val="3EC944F7"/>
    <w:rsid w:val="3EF3740B"/>
    <w:rsid w:val="3F2D247F"/>
    <w:rsid w:val="3F305C20"/>
    <w:rsid w:val="3F5A6676"/>
    <w:rsid w:val="3F6A4915"/>
    <w:rsid w:val="3F9A3893"/>
    <w:rsid w:val="3F9C5392"/>
    <w:rsid w:val="3FC47A38"/>
    <w:rsid w:val="40283986"/>
    <w:rsid w:val="403D1618"/>
    <w:rsid w:val="40452B46"/>
    <w:rsid w:val="40500E12"/>
    <w:rsid w:val="412802B1"/>
    <w:rsid w:val="41295D8E"/>
    <w:rsid w:val="41472150"/>
    <w:rsid w:val="414835DE"/>
    <w:rsid w:val="418B4BBE"/>
    <w:rsid w:val="41A44E6E"/>
    <w:rsid w:val="41AF223D"/>
    <w:rsid w:val="41C70092"/>
    <w:rsid w:val="41C85E36"/>
    <w:rsid w:val="41E56832"/>
    <w:rsid w:val="42474957"/>
    <w:rsid w:val="424C3CA2"/>
    <w:rsid w:val="42524983"/>
    <w:rsid w:val="42535600"/>
    <w:rsid w:val="43281CDB"/>
    <w:rsid w:val="43427F14"/>
    <w:rsid w:val="436C6834"/>
    <w:rsid w:val="43A22EB2"/>
    <w:rsid w:val="44081316"/>
    <w:rsid w:val="44082231"/>
    <w:rsid w:val="441705E3"/>
    <w:rsid w:val="441C456F"/>
    <w:rsid w:val="441D0D41"/>
    <w:rsid w:val="44252F1D"/>
    <w:rsid w:val="448C68EA"/>
    <w:rsid w:val="4493130C"/>
    <w:rsid w:val="44A1691A"/>
    <w:rsid w:val="44D23CFE"/>
    <w:rsid w:val="45233C24"/>
    <w:rsid w:val="452721A0"/>
    <w:rsid w:val="452E134A"/>
    <w:rsid w:val="453B4144"/>
    <w:rsid w:val="45565823"/>
    <w:rsid w:val="457A53AD"/>
    <w:rsid w:val="45A17ADB"/>
    <w:rsid w:val="45C9099E"/>
    <w:rsid w:val="45CF78F1"/>
    <w:rsid w:val="46281F78"/>
    <w:rsid w:val="46443A88"/>
    <w:rsid w:val="467444E6"/>
    <w:rsid w:val="46A35679"/>
    <w:rsid w:val="46BD05BA"/>
    <w:rsid w:val="46BD468A"/>
    <w:rsid w:val="47030581"/>
    <w:rsid w:val="470A1BDA"/>
    <w:rsid w:val="47687B74"/>
    <w:rsid w:val="476C441C"/>
    <w:rsid w:val="477915F3"/>
    <w:rsid w:val="477D5B6C"/>
    <w:rsid w:val="47C2026A"/>
    <w:rsid w:val="48183FDC"/>
    <w:rsid w:val="481A1085"/>
    <w:rsid w:val="483454E6"/>
    <w:rsid w:val="485F3414"/>
    <w:rsid w:val="4861193D"/>
    <w:rsid w:val="48875278"/>
    <w:rsid w:val="489A5217"/>
    <w:rsid w:val="48BA6B95"/>
    <w:rsid w:val="48C629A8"/>
    <w:rsid w:val="4948586B"/>
    <w:rsid w:val="4949772A"/>
    <w:rsid w:val="49500CA0"/>
    <w:rsid w:val="49714259"/>
    <w:rsid w:val="49A80A0A"/>
    <w:rsid w:val="49C61D8F"/>
    <w:rsid w:val="49E30890"/>
    <w:rsid w:val="4A1804B5"/>
    <w:rsid w:val="4A2F1EFF"/>
    <w:rsid w:val="4A2F57D3"/>
    <w:rsid w:val="4A8508B8"/>
    <w:rsid w:val="4A9B1DBB"/>
    <w:rsid w:val="4AA31DAC"/>
    <w:rsid w:val="4AA77E4B"/>
    <w:rsid w:val="4AE33C95"/>
    <w:rsid w:val="4B055C36"/>
    <w:rsid w:val="4B196592"/>
    <w:rsid w:val="4B557D20"/>
    <w:rsid w:val="4B865732"/>
    <w:rsid w:val="4B9970ED"/>
    <w:rsid w:val="4BE019FF"/>
    <w:rsid w:val="4BF94571"/>
    <w:rsid w:val="4C3928FC"/>
    <w:rsid w:val="4CB14801"/>
    <w:rsid w:val="4CC05865"/>
    <w:rsid w:val="4CC5305A"/>
    <w:rsid w:val="4D1819D8"/>
    <w:rsid w:val="4D4F13F7"/>
    <w:rsid w:val="4D5F04D9"/>
    <w:rsid w:val="4DAB1C22"/>
    <w:rsid w:val="4DBE2B35"/>
    <w:rsid w:val="4DCC7E0B"/>
    <w:rsid w:val="4E1E559A"/>
    <w:rsid w:val="4E50273E"/>
    <w:rsid w:val="4E5D6CDA"/>
    <w:rsid w:val="4E63786B"/>
    <w:rsid w:val="4EA02CEF"/>
    <w:rsid w:val="4EA22643"/>
    <w:rsid w:val="4EAC4992"/>
    <w:rsid w:val="4EF0735A"/>
    <w:rsid w:val="4F4A4504"/>
    <w:rsid w:val="4F8B7FDD"/>
    <w:rsid w:val="4FA7363A"/>
    <w:rsid w:val="4FAC0F8B"/>
    <w:rsid w:val="4FD2306A"/>
    <w:rsid w:val="50101CBA"/>
    <w:rsid w:val="505570DB"/>
    <w:rsid w:val="50637DD3"/>
    <w:rsid w:val="50665B1B"/>
    <w:rsid w:val="5071554C"/>
    <w:rsid w:val="509536A2"/>
    <w:rsid w:val="50A12DC8"/>
    <w:rsid w:val="50AD17DC"/>
    <w:rsid w:val="50FA38AE"/>
    <w:rsid w:val="51356285"/>
    <w:rsid w:val="514244E8"/>
    <w:rsid w:val="51467594"/>
    <w:rsid w:val="515666BC"/>
    <w:rsid w:val="51751394"/>
    <w:rsid w:val="51960C18"/>
    <w:rsid w:val="51A462E0"/>
    <w:rsid w:val="51B7409C"/>
    <w:rsid w:val="51FB55F2"/>
    <w:rsid w:val="522B5937"/>
    <w:rsid w:val="522D3E67"/>
    <w:rsid w:val="52665DC7"/>
    <w:rsid w:val="52707DE6"/>
    <w:rsid w:val="527121B1"/>
    <w:rsid w:val="52BF3F6C"/>
    <w:rsid w:val="52C67DF3"/>
    <w:rsid w:val="52D431B7"/>
    <w:rsid w:val="52D726B1"/>
    <w:rsid w:val="52D76D71"/>
    <w:rsid w:val="52DC1860"/>
    <w:rsid w:val="52FF6805"/>
    <w:rsid w:val="533704AB"/>
    <w:rsid w:val="53824E91"/>
    <w:rsid w:val="53D860F7"/>
    <w:rsid w:val="53E5798B"/>
    <w:rsid w:val="540A43E5"/>
    <w:rsid w:val="54205FCE"/>
    <w:rsid w:val="54254647"/>
    <w:rsid w:val="54460ABC"/>
    <w:rsid w:val="54CC4D05"/>
    <w:rsid w:val="54EB60BA"/>
    <w:rsid w:val="55255A59"/>
    <w:rsid w:val="55624688"/>
    <w:rsid w:val="55BB2907"/>
    <w:rsid w:val="55C67790"/>
    <w:rsid w:val="55E511CD"/>
    <w:rsid w:val="55EB6328"/>
    <w:rsid w:val="55F85FB4"/>
    <w:rsid w:val="561644C6"/>
    <w:rsid w:val="56262707"/>
    <w:rsid w:val="566B33CA"/>
    <w:rsid w:val="567046D9"/>
    <w:rsid w:val="56880392"/>
    <w:rsid w:val="56912100"/>
    <w:rsid w:val="56C54E68"/>
    <w:rsid w:val="57787C02"/>
    <w:rsid w:val="57905D3A"/>
    <w:rsid w:val="57920524"/>
    <w:rsid w:val="57DA2DA3"/>
    <w:rsid w:val="57EE4A2A"/>
    <w:rsid w:val="582D4F97"/>
    <w:rsid w:val="582D74B6"/>
    <w:rsid w:val="587C7432"/>
    <w:rsid w:val="589D4DDA"/>
    <w:rsid w:val="58BF1C6E"/>
    <w:rsid w:val="58C61796"/>
    <w:rsid w:val="591E5496"/>
    <w:rsid w:val="59835E9E"/>
    <w:rsid w:val="59D24267"/>
    <w:rsid w:val="59E566CE"/>
    <w:rsid w:val="59F9628F"/>
    <w:rsid w:val="5A15396E"/>
    <w:rsid w:val="5A4121C2"/>
    <w:rsid w:val="5A55419A"/>
    <w:rsid w:val="5A6E57B3"/>
    <w:rsid w:val="5AD35AAD"/>
    <w:rsid w:val="5AD75DF8"/>
    <w:rsid w:val="5AE106DD"/>
    <w:rsid w:val="5B1817D1"/>
    <w:rsid w:val="5B1B55E8"/>
    <w:rsid w:val="5B354F5C"/>
    <w:rsid w:val="5B776E4F"/>
    <w:rsid w:val="5B7D0253"/>
    <w:rsid w:val="5B8D560A"/>
    <w:rsid w:val="5BBB4C26"/>
    <w:rsid w:val="5C0E0DE9"/>
    <w:rsid w:val="5C0F7325"/>
    <w:rsid w:val="5C12628E"/>
    <w:rsid w:val="5C4A2750"/>
    <w:rsid w:val="5C6B58BB"/>
    <w:rsid w:val="5C7E2A5B"/>
    <w:rsid w:val="5CC45128"/>
    <w:rsid w:val="5CCB1666"/>
    <w:rsid w:val="5CD24487"/>
    <w:rsid w:val="5CD53AFF"/>
    <w:rsid w:val="5CD76711"/>
    <w:rsid w:val="5CE97985"/>
    <w:rsid w:val="5D210087"/>
    <w:rsid w:val="5D417E55"/>
    <w:rsid w:val="5D4E0E1E"/>
    <w:rsid w:val="5D4F2DD9"/>
    <w:rsid w:val="5DC847BC"/>
    <w:rsid w:val="5DFB705A"/>
    <w:rsid w:val="5E4E3A9D"/>
    <w:rsid w:val="5E6666BA"/>
    <w:rsid w:val="5E6B69D5"/>
    <w:rsid w:val="5E6E5710"/>
    <w:rsid w:val="5E8D413C"/>
    <w:rsid w:val="5E910E5B"/>
    <w:rsid w:val="5E916260"/>
    <w:rsid w:val="5EA6067E"/>
    <w:rsid w:val="5EAE211E"/>
    <w:rsid w:val="5ED719BC"/>
    <w:rsid w:val="5EFA611F"/>
    <w:rsid w:val="5F3A2B2A"/>
    <w:rsid w:val="5F7131B5"/>
    <w:rsid w:val="5F9379BD"/>
    <w:rsid w:val="5FA42CDE"/>
    <w:rsid w:val="5FAA44DD"/>
    <w:rsid w:val="5FAD2719"/>
    <w:rsid w:val="5FAF372A"/>
    <w:rsid w:val="5FB24D86"/>
    <w:rsid w:val="5FDA45BD"/>
    <w:rsid w:val="5FE436A7"/>
    <w:rsid w:val="5FF37D5A"/>
    <w:rsid w:val="600958E8"/>
    <w:rsid w:val="600F4E0B"/>
    <w:rsid w:val="60431301"/>
    <w:rsid w:val="608920C6"/>
    <w:rsid w:val="60E03410"/>
    <w:rsid w:val="611F404D"/>
    <w:rsid w:val="61437910"/>
    <w:rsid w:val="615175C9"/>
    <w:rsid w:val="615C3C8F"/>
    <w:rsid w:val="61BF51E9"/>
    <w:rsid w:val="61EF27A4"/>
    <w:rsid w:val="61EF431C"/>
    <w:rsid w:val="62492F46"/>
    <w:rsid w:val="62BA4C35"/>
    <w:rsid w:val="62D74FA5"/>
    <w:rsid w:val="62E13AD4"/>
    <w:rsid w:val="630D1693"/>
    <w:rsid w:val="63336D37"/>
    <w:rsid w:val="637808D4"/>
    <w:rsid w:val="638A34E7"/>
    <w:rsid w:val="63CC6F56"/>
    <w:rsid w:val="64493385"/>
    <w:rsid w:val="645C4ECC"/>
    <w:rsid w:val="64A93DDF"/>
    <w:rsid w:val="64BD5E06"/>
    <w:rsid w:val="65062E74"/>
    <w:rsid w:val="650B2BBC"/>
    <w:rsid w:val="652A520E"/>
    <w:rsid w:val="654820F6"/>
    <w:rsid w:val="6581529A"/>
    <w:rsid w:val="658C30B1"/>
    <w:rsid w:val="65B81A79"/>
    <w:rsid w:val="65BE633D"/>
    <w:rsid w:val="65FD28BB"/>
    <w:rsid w:val="660075E5"/>
    <w:rsid w:val="662F6D88"/>
    <w:rsid w:val="666E307B"/>
    <w:rsid w:val="66807A5D"/>
    <w:rsid w:val="66824C3D"/>
    <w:rsid w:val="668F6F0E"/>
    <w:rsid w:val="66CC7B63"/>
    <w:rsid w:val="66D44291"/>
    <w:rsid w:val="66DF1B40"/>
    <w:rsid w:val="66FD498D"/>
    <w:rsid w:val="67244EA5"/>
    <w:rsid w:val="67272528"/>
    <w:rsid w:val="675022B2"/>
    <w:rsid w:val="67B4365A"/>
    <w:rsid w:val="67D34E62"/>
    <w:rsid w:val="6837568D"/>
    <w:rsid w:val="684862C2"/>
    <w:rsid w:val="684E2276"/>
    <w:rsid w:val="68724C13"/>
    <w:rsid w:val="690A040A"/>
    <w:rsid w:val="691F17B7"/>
    <w:rsid w:val="692679F4"/>
    <w:rsid w:val="694A22EB"/>
    <w:rsid w:val="69A7032A"/>
    <w:rsid w:val="69EE2787"/>
    <w:rsid w:val="69EF237E"/>
    <w:rsid w:val="6A0866FA"/>
    <w:rsid w:val="6A6D2557"/>
    <w:rsid w:val="6AA73DB3"/>
    <w:rsid w:val="6AA8123C"/>
    <w:rsid w:val="6AC07115"/>
    <w:rsid w:val="6ACB59A4"/>
    <w:rsid w:val="6AF52ECF"/>
    <w:rsid w:val="6AFF5CA2"/>
    <w:rsid w:val="6BF24A48"/>
    <w:rsid w:val="6C39519D"/>
    <w:rsid w:val="6C80514F"/>
    <w:rsid w:val="6C94331F"/>
    <w:rsid w:val="6CCD3B29"/>
    <w:rsid w:val="6CF249CF"/>
    <w:rsid w:val="6D037E19"/>
    <w:rsid w:val="6D1144AC"/>
    <w:rsid w:val="6D3C4F59"/>
    <w:rsid w:val="6D66745F"/>
    <w:rsid w:val="6D7D63FF"/>
    <w:rsid w:val="6DAC5A76"/>
    <w:rsid w:val="6DB92B74"/>
    <w:rsid w:val="6DC41CE0"/>
    <w:rsid w:val="6DC56323"/>
    <w:rsid w:val="6DED7FFE"/>
    <w:rsid w:val="6DF91E06"/>
    <w:rsid w:val="6E14613F"/>
    <w:rsid w:val="6E536DB0"/>
    <w:rsid w:val="6E614286"/>
    <w:rsid w:val="6E625E43"/>
    <w:rsid w:val="6E6358CC"/>
    <w:rsid w:val="6E9B1619"/>
    <w:rsid w:val="6EC22521"/>
    <w:rsid w:val="6F3F3867"/>
    <w:rsid w:val="6FDA14C1"/>
    <w:rsid w:val="6FF34EB9"/>
    <w:rsid w:val="6FFC4B30"/>
    <w:rsid w:val="70231EE9"/>
    <w:rsid w:val="703805D1"/>
    <w:rsid w:val="709E7ED2"/>
    <w:rsid w:val="70BF087E"/>
    <w:rsid w:val="70C64F76"/>
    <w:rsid w:val="70DB1918"/>
    <w:rsid w:val="71031800"/>
    <w:rsid w:val="711E038F"/>
    <w:rsid w:val="714714FB"/>
    <w:rsid w:val="716F3B69"/>
    <w:rsid w:val="71875477"/>
    <w:rsid w:val="71936EB6"/>
    <w:rsid w:val="71DD4DA7"/>
    <w:rsid w:val="71E763C0"/>
    <w:rsid w:val="71FC1734"/>
    <w:rsid w:val="720C3493"/>
    <w:rsid w:val="720E3E60"/>
    <w:rsid w:val="72140E97"/>
    <w:rsid w:val="723217E8"/>
    <w:rsid w:val="7278028E"/>
    <w:rsid w:val="72CF31BC"/>
    <w:rsid w:val="72D13D58"/>
    <w:rsid w:val="72E02AA4"/>
    <w:rsid w:val="72E9647C"/>
    <w:rsid w:val="73131D32"/>
    <w:rsid w:val="733577C9"/>
    <w:rsid w:val="73386B34"/>
    <w:rsid w:val="733B5667"/>
    <w:rsid w:val="73692373"/>
    <w:rsid w:val="738F3F58"/>
    <w:rsid w:val="73943E4F"/>
    <w:rsid w:val="73B743FD"/>
    <w:rsid w:val="741236B9"/>
    <w:rsid w:val="74147C97"/>
    <w:rsid w:val="743C1E96"/>
    <w:rsid w:val="74687948"/>
    <w:rsid w:val="74756185"/>
    <w:rsid w:val="74844EAF"/>
    <w:rsid w:val="74C103D2"/>
    <w:rsid w:val="74C2519F"/>
    <w:rsid w:val="74E1755D"/>
    <w:rsid w:val="753C7155"/>
    <w:rsid w:val="753F464F"/>
    <w:rsid w:val="75461F41"/>
    <w:rsid w:val="754858BF"/>
    <w:rsid w:val="756A7342"/>
    <w:rsid w:val="75DC7388"/>
    <w:rsid w:val="75F55225"/>
    <w:rsid w:val="75FD72DF"/>
    <w:rsid w:val="763D7E69"/>
    <w:rsid w:val="76527C42"/>
    <w:rsid w:val="76677C58"/>
    <w:rsid w:val="76D24275"/>
    <w:rsid w:val="76DB5718"/>
    <w:rsid w:val="76F165A3"/>
    <w:rsid w:val="76F470BB"/>
    <w:rsid w:val="76FB3A11"/>
    <w:rsid w:val="77417727"/>
    <w:rsid w:val="77426BAC"/>
    <w:rsid w:val="77464E5E"/>
    <w:rsid w:val="774B278B"/>
    <w:rsid w:val="778B468B"/>
    <w:rsid w:val="77A74629"/>
    <w:rsid w:val="77D32791"/>
    <w:rsid w:val="77D621EE"/>
    <w:rsid w:val="77F93F84"/>
    <w:rsid w:val="78076A1A"/>
    <w:rsid w:val="786E4C76"/>
    <w:rsid w:val="788C4891"/>
    <w:rsid w:val="788D327F"/>
    <w:rsid w:val="788E75A9"/>
    <w:rsid w:val="78912E82"/>
    <w:rsid w:val="78C054C5"/>
    <w:rsid w:val="78C20F8D"/>
    <w:rsid w:val="78E57BF8"/>
    <w:rsid w:val="78EE3D26"/>
    <w:rsid w:val="797646F4"/>
    <w:rsid w:val="797A073C"/>
    <w:rsid w:val="79D42683"/>
    <w:rsid w:val="79DB668A"/>
    <w:rsid w:val="79F0390C"/>
    <w:rsid w:val="79FB7B4B"/>
    <w:rsid w:val="7A486799"/>
    <w:rsid w:val="7A5056F0"/>
    <w:rsid w:val="7A70082B"/>
    <w:rsid w:val="7A835B16"/>
    <w:rsid w:val="7A882811"/>
    <w:rsid w:val="7A995BA1"/>
    <w:rsid w:val="7AB43538"/>
    <w:rsid w:val="7AEE3682"/>
    <w:rsid w:val="7AF12E38"/>
    <w:rsid w:val="7AF176F1"/>
    <w:rsid w:val="7B015418"/>
    <w:rsid w:val="7B60362E"/>
    <w:rsid w:val="7B86652F"/>
    <w:rsid w:val="7BD1184B"/>
    <w:rsid w:val="7BFF3819"/>
    <w:rsid w:val="7C417CAE"/>
    <w:rsid w:val="7C5E70BE"/>
    <w:rsid w:val="7C710016"/>
    <w:rsid w:val="7C93182B"/>
    <w:rsid w:val="7C950AFC"/>
    <w:rsid w:val="7CCD7C1A"/>
    <w:rsid w:val="7CD731FA"/>
    <w:rsid w:val="7CD851B3"/>
    <w:rsid w:val="7D123FD1"/>
    <w:rsid w:val="7D136FE4"/>
    <w:rsid w:val="7D7F5C99"/>
    <w:rsid w:val="7DA31597"/>
    <w:rsid w:val="7DA97BA7"/>
    <w:rsid w:val="7DAC2262"/>
    <w:rsid w:val="7DCC1D07"/>
    <w:rsid w:val="7DCC5B7F"/>
    <w:rsid w:val="7DD6502E"/>
    <w:rsid w:val="7E2A2A2D"/>
    <w:rsid w:val="7E325DA1"/>
    <w:rsid w:val="7E3F530E"/>
    <w:rsid w:val="7E51655C"/>
    <w:rsid w:val="7E9910A3"/>
    <w:rsid w:val="7EA364EF"/>
    <w:rsid w:val="7EC46D35"/>
    <w:rsid w:val="7EFE02F1"/>
    <w:rsid w:val="7F1442DC"/>
    <w:rsid w:val="7F3C7C1D"/>
    <w:rsid w:val="7F750BA7"/>
    <w:rsid w:val="7FAB0B16"/>
    <w:rsid w:val="7FCF3E80"/>
    <w:rsid w:val="7FD4560E"/>
    <w:rsid w:val="7FDC3036"/>
    <w:rsid w:val="7FF2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ind w:right="-108"/>
      <w:outlineLvl w:val="2"/>
    </w:pPr>
    <w:rPr>
      <w:sz w:val="25"/>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annotation subject"/>
    <w:basedOn w:val="7"/>
    <w:next w:val="7"/>
    <w:link w:val="43"/>
    <w:qFormat/>
    <w:uiPriority w:val="0"/>
    <w:rPr>
      <w:b/>
      <w:bCs/>
      <w:lang w:val="en-US" w:eastAsia="zh-CN"/>
    </w:rPr>
  </w:style>
  <w:style w:type="paragraph" w:styleId="7">
    <w:name w:val="annotation text"/>
    <w:basedOn w:val="1"/>
    <w:link w:val="42"/>
    <w:qFormat/>
    <w:uiPriority w:val="99"/>
    <w:pPr>
      <w:jc w:val="left"/>
      <w:pPrChange w:id="0" w:author="Hilda" w:date="2017-10-11T16:16:00Z">
        <w:pPr>
          <w:widowControl w:val="0"/>
        </w:pPr>
      </w:pPrChange>
    </w:pPr>
    <w:rPr>
      <w:lang w:val="zh-CN" w:eastAsia="zh-CN"/>
      <w:rPrChange w:id="1" w:author="Hilda" w:date="2017-10-11T16:16:00Z">
        <w:rPr>
          <w:rFonts w:eastAsia="宋体"/>
          <w:kern w:val="2"/>
          <w:sz w:val="21"/>
          <w:lang w:val="zh-CN" w:eastAsia="zh-CN" w:bidi="ar-SA"/>
        </w:rPr>
      </w:rPrChange>
    </w:rPr>
  </w:style>
  <w:style w:type="paragraph" w:styleId="8">
    <w:name w:val="Body Text"/>
    <w:basedOn w:val="1"/>
    <w:qFormat/>
    <w:uiPriority w:val="0"/>
    <w:pPr>
      <w:snapToGrid w:val="0"/>
      <w:spacing w:line="240" w:lineRule="atLeast"/>
    </w:pPr>
    <w:rPr>
      <w:sz w:val="24"/>
    </w:rPr>
  </w:style>
  <w:style w:type="paragraph" w:styleId="9">
    <w:name w:val="Body Text Indent"/>
    <w:basedOn w:val="1"/>
    <w:qFormat/>
    <w:uiPriority w:val="0"/>
    <w:pPr>
      <w:adjustRightInd w:val="0"/>
      <w:spacing w:after="120"/>
      <w:ind w:left="420" w:leftChars="200"/>
      <w:textAlignment w:val="baseline"/>
    </w:pPr>
    <w:rPr>
      <w:kern w:val="0"/>
    </w:rPr>
  </w:style>
  <w:style w:type="paragraph" w:styleId="10">
    <w:name w:val="toc 3"/>
    <w:basedOn w:val="1"/>
    <w:next w:val="1"/>
    <w:qFormat/>
    <w:uiPriority w:val="39"/>
    <w:pPr>
      <w:ind w:left="840"/>
    </w:pPr>
  </w:style>
  <w:style w:type="paragraph" w:styleId="11">
    <w:name w:val="Balloon Text"/>
    <w:basedOn w:val="1"/>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styleId="14">
    <w:name w:val="footnote text"/>
    <w:basedOn w:val="1"/>
    <w:semiHidden/>
    <w:qFormat/>
    <w:uiPriority w:val="0"/>
    <w:pPr>
      <w:snapToGrid w:val="0"/>
      <w:jc w:val="left"/>
    </w:pPr>
    <w:rPr>
      <w:sz w:val="18"/>
      <w:szCs w:val="18"/>
    </w:rPr>
  </w:style>
  <w:style w:type="paragraph" w:styleId="15">
    <w:name w:val="Title"/>
    <w:basedOn w:val="1"/>
    <w:qFormat/>
    <w:uiPriority w:val="0"/>
    <w:pPr>
      <w:jc w:val="center"/>
    </w:pPr>
    <w:rPr>
      <w:b/>
      <w:sz w:val="32"/>
    </w:rPr>
  </w:style>
  <w:style w:type="character" w:styleId="17">
    <w:name w:val="Strong"/>
    <w:qFormat/>
    <w:uiPriority w:val="22"/>
    <w:rPr>
      <w:b/>
      <w:bCs/>
    </w:rPr>
  </w:style>
  <w:style w:type="character" w:styleId="18">
    <w:name w:val="page number"/>
    <w:basedOn w:val="16"/>
    <w:qFormat/>
    <w:uiPriority w:val="0"/>
  </w:style>
  <w:style w:type="character" w:styleId="19">
    <w:name w:val="annotation reference"/>
    <w:qFormat/>
    <w:uiPriority w:val="99"/>
    <w:rPr>
      <w:rFonts w:cs="Times New Roman"/>
      <w:sz w:val="21"/>
      <w:szCs w:val="21"/>
      <w:rPrChange w:id="2" w:author="Hilda" w:date="2017-10-11T16:16:00Z">
        <w:rPr>
          <w:rFonts w:cs="Times New Roman"/>
          <w:sz w:val="21"/>
          <w:szCs w:val="21"/>
        </w:rPr>
      </w:rPrChange>
    </w:rPr>
  </w:style>
  <w:style w:type="character" w:styleId="20">
    <w:name w:val="footnote reference"/>
    <w:semiHidden/>
    <w:qFormat/>
    <w:uiPriority w:val="0"/>
    <w:rPr>
      <w:vertAlign w:val="superscript"/>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4">
    <w:name w:val="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5">
    <w:name w:val="Char Char Char Char"/>
    <w:basedOn w:val="1"/>
    <w:qFormat/>
    <w:uiPriority w:val="0"/>
    <w:pPr>
      <w:widowControl/>
      <w:spacing w:after="160" w:line="240" w:lineRule="exact"/>
      <w:jc w:val="left"/>
      <w:pPrChange w:id="3" w:author="Hilda" w:date="2017-10-11T16:16:00Z">
        <w:pPr>
          <w:keepLines/>
          <w:autoSpaceDE w:val="0"/>
          <w:autoSpaceDN w:val="0"/>
          <w:adjustRightInd w:val="0"/>
          <w:spacing w:after="160" w:line="240" w:lineRule="exact"/>
          <w:outlineLvl w:val="1"/>
        </w:pPr>
      </w:pPrChange>
    </w:pPr>
    <w:rPr>
      <w:rFonts w:ascii="Verdana" w:hAnsi="Verdana" w:eastAsia="Times New Roman"/>
      <w:kern w:val="0"/>
      <w:sz w:val="20"/>
      <w:lang w:eastAsia="en-US"/>
      <w:rPrChange w:id="4" w:author="Hilda" w:date="2017-10-11T16:16:00Z">
        <w:rPr>
          <w:rFonts w:ascii="Verdana" w:hAnsi="Verdana"/>
          <w:color w:val="000000"/>
          <w:sz w:val="22"/>
          <w:szCs w:val="22"/>
          <w:lang w:val="en-US" w:eastAsia="en-US" w:bidi="ar-SA"/>
        </w:rPr>
      </w:rPrChange>
    </w:rPr>
  </w:style>
  <w:style w:type="paragraph" w:customStyle="1" w:styleId="26">
    <w:name w:val="Char Char Char Char1 Char Char Char Char"/>
    <w:basedOn w:val="1"/>
    <w:qFormat/>
    <w:uiPriority w:val="0"/>
    <w:pPr>
      <w:widowControl/>
      <w:spacing w:after="160" w:line="240" w:lineRule="exact"/>
      <w:jc w:val="left"/>
    </w:pPr>
    <w:rPr>
      <w:rFonts w:ascii="Verdana" w:hAnsi="Verdana" w:eastAsia="Times New Roman" w:cs="Verdana"/>
      <w:kern w:val="0"/>
      <w:sz w:val="20"/>
      <w:lang w:eastAsia="en-US"/>
    </w:rPr>
  </w:style>
  <w:style w:type="paragraph" w:customStyle="1" w:styleId="27">
    <w:name w:val="Char1 Char Char Char Char Char1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8">
    <w:name w:val="Char Char Char Char Char Char 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9">
    <w:name w:val="列出段落1"/>
    <w:basedOn w:val="1"/>
    <w:qFormat/>
    <w:uiPriority w:val="0"/>
    <w:pPr>
      <w:ind w:firstLine="420" w:firstLineChars="200"/>
    </w:pPr>
  </w:style>
  <w:style w:type="paragraph" w:customStyle="1" w:styleId="30">
    <w:name w:val="Bod"/>
    <w:basedOn w:val="1"/>
    <w:qFormat/>
    <w:uiPriority w:val="0"/>
    <w:pPr>
      <w:widowControl/>
      <w:suppressAutoHyphens/>
      <w:spacing w:after="240"/>
      <w:ind w:firstLine="1440"/>
    </w:pPr>
    <w:rPr>
      <w:kern w:val="0"/>
      <w:sz w:val="24"/>
      <w:lang w:eastAsia="en-US"/>
    </w:rPr>
  </w:style>
  <w:style w:type="paragraph" w:customStyle="1" w:styleId="31">
    <w:name w:val="Plain"/>
    <w:basedOn w:val="1"/>
    <w:qFormat/>
    <w:uiPriority w:val="0"/>
    <w:pPr>
      <w:widowControl/>
      <w:suppressAutoHyphens/>
      <w:spacing w:after="240"/>
    </w:pPr>
    <w:rPr>
      <w:kern w:val="0"/>
      <w:sz w:val="24"/>
      <w:lang w:eastAsia="en-US"/>
    </w:rPr>
  </w:style>
  <w:style w:type="paragraph" w:customStyle="1" w:styleId="3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33">
    <w:name w:val="CM7"/>
    <w:basedOn w:val="32"/>
    <w:next w:val="32"/>
    <w:qFormat/>
    <w:uiPriority w:val="0"/>
    <w:pPr>
      <w:spacing w:after="355"/>
    </w:pPr>
    <w:rPr>
      <w:color w:val="auto"/>
    </w:rPr>
  </w:style>
  <w:style w:type="paragraph" w:customStyle="1" w:styleId="34">
    <w:name w:val="CM8"/>
    <w:basedOn w:val="32"/>
    <w:next w:val="32"/>
    <w:qFormat/>
    <w:uiPriority w:val="0"/>
    <w:pPr>
      <w:spacing w:after="255"/>
    </w:pPr>
    <w:rPr>
      <w:color w:val="auto"/>
    </w:rPr>
  </w:style>
  <w:style w:type="paragraph" w:customStyle="1" w:styleId="35">
    <w:name w:val="CM9"/>
    <w:basedOn w:val="32"/>
    <w:next w:val="32"/>
    <w:qFormat/>
    <w:uiPriority w:val="0"/>
    <w:pPr>
      <w:spacing w:after="465"/>
    </w:pPr>
    <w:rPr>
      <w:color w:val="auto"/>
    </w:rPr>
  </w:style>
  <w:style w:type="paragraph" w:customStyle="1" w:styleId="36">
    <w:name w:val="CM1"/>
    <w:basedOn w:val="32"/>
    <w:next w:val="32"/>
    <w:qFormat/>
    <w:uiPriority w:val="0"/>
    <w:pPr>
      <w:spacing w:line="468" w:lineRule="atLeast"/>
    </w:pPr>
    <w:rPr>
      <w:color w:val="auto"/>
    </w:rPr>
  </w:style>
  <w:style w:type="paragraph" w:customStyle="1" w:styleId="37">
    <w:name w:val="CM12"/>
    <w:basedOn w:val="32"/>
    <w:next w:val="32"/>
    <w:qFormat/>
    <w:uiPriority w:val="0"/>
    <w:pPr>
      <w:spacing w:after="78"/>
    </w:pPr>
    <w:rPr>
      <w:color w:val="auto"/>
    </w:rPr>
  </w:style>
  <w:style w:type="paragraph" w:customStyle="1" w:styleId="38">
    <w:name w:val="CM10"/>
    <w:basedOn w:val="32"/>
    <w:next w:val="32"/>
    <w:qFormat/>
    <w:uiPriority w:val="0"/>
    <w:pPr>
      <w:spacing w:after="410"/>
    </w:pPr>
    <w:rPr>
      <w:color w:val="auto"/>
    </w:rPr>
  </w:style>
  <w:style w:type="paragraph" w:customStyle="1" w:styleId="39">
    <w:name w:val="Char Char Char Char1"/>
    <w:basedOn w:val="3"/>
    <w:next w:val="1"/>
    <w:qFormat/>
    <w:uiPriority w:val="0"/>
    <w:pPr>
      <w:keepNext w:val="0"/>
      <w:widowControl/>
      <w:autoSpaceDE w:val="0"/>
      <w:autoSpaceDN w:val="0"/>
      <w:adjustRightInd w:val="0"/>
      <w:spacing w:before="0" w:after="160" w:line="240" w:lineRule="exact"/>
      <w:jc w:val="left"/>
    </w:pPr>
    <w:rPr>
      <w:rFonts w:ascii="Verdana" w:hAnsi="Verdana" w:eastAsia="Times New Roman"/>
      <w:b w:val="0"/>
      <w:bCs w:val="0"/>
      <w:color w:val="000000"/>
      <w:kern w:val="0"/>
      <w:sz w:val="22"/>
      <w:szCs w:val="22"/>
      <w:lang w:eastAsia="en-US"/>
    </w:rPr>
  </w:style>
  <w:style w:type="paragraph" w:customStyle="1" w:styleId="40">
    <w:name w:val="1"/>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41">
    <w:name w:val="List Paragraph"/>
    <w:basedOn w:val="1"/>
    <w:qFormat/>
    <w:uiPriority w:val="34"/>
    <w:pPr>
      <w:ind w:firstLine="420" w:firstLineChars="200"/>
    </w:pPr>
  </w:style>
  <w:style w:type="character" w:customStyle="1" w:styleId="42">
    <w:name w:val="批注文字 Char"/>
    <w:link w:val="7"/>
    <w:qFormat/>
    <w:locked/>
    <w:uiPriority w:val="99"/>
    <w:rPr>
      <w:kern w:val="2"/>
      <w:sz w:val="21"/>
      <w:lang w:val="zh-CN" w:eastAsia="zh-CN"/>
    </w:rPr>
  </w:style>
  <w:style w:type="character" w:customStyle="1" w:styleId="43">
    <w:name w:val="批注主题 Char"/>
    <w:link w:val="6"/>
    <w:qFormat/>
    <w:uiPriority w:val="0"/>
    <w:rPr>
      <w:rFonts w:eastAsia="宋体"/>
      <w:b/>
      <w:bCs/>
      <w:kern w:val="2"/>
      <w:sz w:val="21"/>
      <w:lang w:val="zh-CN" w:eastAsia="zh-CN" w:bidi="ar-SA"/>
    </w:rPr>
  </w:style>
  <w:style w:type="paragraph" w:customStyle="1" w:styleId="44">
    <w:name w:val="Revision"/>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B0B8F8-8BF4-4745-90A3-D72C39FDE5A9}">
  <ds:schemaRefs/>
</ds:datastoreItem>
</file>

<file path=customXml/itemProps3.xml><?xml version="1.0" encoding="utf-8"?>
<ds:datastoreItem xmlns:ds="http://schemas.openxmlformats.org/officeDocument/2006/customXml" ds:itemID="{1477B1F6-8CAF-4A2B-AB98-821830E18434}">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20753</Words>
  <Characters>22815</Characters>
  <Lines>164</Lines>
  <Paragraphs>46</Paragraphs>
  <ScaleCrop>false</ScaleCrop>
  <LinksUpToDate>false</LinksUpToDate>
  <CharactersWithSpaces>22945</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2017-09-11T10:24:00Z</dcterms:created>
  <dc:creator>zhangb</dc:creator>
  <cp:lastModifiedBy>zhangb</cp:lastModifiedBy>
  <cp:lastPrinted>2017-03-09T08:21:00Z</cp:lastPrinted>
  <dcterms:modified xsi:type="dcterms:W3CDTF">2017-10-25T10:09:04Z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