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HL7 Patientenschnittstelle V2.9</w:t>
      </w:r>
    </w:p>
    <w:p>
      <w:pPr>
        <w:pStyle w:val="Subtitle"/>
        <w:bidi w:val="0"/>
        <w:rPr/>
      </w:pPr>
      <w:r>
        <w:rPr/>
        <w:t>Übermitteln von Patientenstammdaten</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142_1382910320">
            <w:r>
              <w:rPr>
                <w:rStyle w:val="IndexLink"/>
              </w:rPr>
              <w:t>1  Managment Summary</w:t>
              <w:tab/>
              <w:t>1</w:t>
            </w:r>
          </w:hyperlink>
        </w:p>
        <w:p>
          <w:pPr>
            <w:pStyle w:val="Contents2"/>
            <w:tabs>
              <w:tab w:val="clear" w:pos="9355"/>
              <w:tab w:val="right" w:pos="9638" w:leader="dot"/>
            </w:tabs>
            <w:rPr/>
          </w:pPr>
          <w:hyperlink w:anchor="__RefHeading___Toc1144_1382910320">
            <w:r>
              <w:rPr>
                <w:rStyle w:val="IndexLink"/>
              </w:rPr>
              <w:t>1.1  Zusammenfassung</w:t>
              <w:tab/>
              <w:t>1</w:t>
            </w:r>
          </w:hyperlink>
        </w:p>
        <w:p>
          <w:pPr>
            <w:pStyle w:val="Contents2"/>
            <w:tabs>
              <w:tab w:val="clear" w:pos="9355"/>
              <w:tab w:val="right" w:pos="9638" w:leader="dot"/>
            </w:tabs>
            <w:rPr/>
          </w:pPr>
          <w:hyperlink w:anchor="__RefHeading___Toc1146_1382910320">
            <w:r>
              <w:rPr>
                <w:rStyle w:val="IndexLink"/>
              </w:rPr>
              <w:t>1.2   Warum HL7 v2.9</w:t>
              <w:tab/>
              <w:t>2</w:t>
            </w:r>
          </w:hyperlink>
        </w:p>
        <w:p>
          <w:pPr>
            <w:pStyle w:val="Contents3"/>
            <w:tabs>
              <w:tab w:val="clear" w:pos="9071"/>
              <w:tab w:val="right" w:pos="9638" w:leader="dot"/>
            </w:tabs>
            <w:rPr/>
          </w:pPr>
          <w:hyperlink w:anchor="__RefHeading___Toc1148_1382910320">
            <w:r>
              <w:rPr>
                <w:rStyle w:val="IndexLink"/>
              </w:rPr>
              <w:t>1.2.1  ARV-Segment Access Restriction</w:t>
              <w:tab/>
              <w:t>2</w:t>
            </w:r>
          </w:hyperlink>
        </w:p>
        <w:p>
          <w:pPr>
            <w:pStyle w:val="Contents3"/>
            <w:tabs>
              <w:tab w:val="clear" w:pos="9071"/>
              <w:tab w:val="right" w:pos="9638" w:leader="dot"/>
            </w:tabs>
            <w:rPr/>
          </w:pPr>
          <w:hyperlink w:anchor="__RefHeading___Toc1150_1382910320">
            <w:r>
              <w:rPr>
                <w:rStyle w:val="IndexLink"/>
              </w:rPr>
              <w:t>1.2.2  Verwendung CWE Datentyp</w:t>
              <w:tab/>
              <w:t>2</w:t>
            </w:r>
          </w:hyperlink>
        </w:p>
        <w:p>
          <w:pPr>
            <w:pStyle w:val="Contents3"/>
            <w:tabs>
              <w:tab w:val="clear" w:pos="9071"/>
              <w:tab w:val="right" w:pos="9638" w:leader="dot"/>
            </w:tabs>
            <w:rPr/>
          </w:pPr>
          <w:hyperlink w:anchor="__RefHeading___Toc1152_1382910320">
            <w:r>
              <w:rPr>
                <w:rStyle w:val="IndexLink"/>
              </w:rPr>
              <w:t>1.2.3  Änderung am Datentyp XPN</w:t>
              <w:tab/>
              <w:t>2</w:t>
            </w:r>
          </w:hyperlink>
        </w:p>
        <w:p>
          <w:pPr>
            <w:pStyle w:val="Contents1"/>
            <w:rPr/>
          </w:pPr>
          <w:hyperlink w:anchor="__RefHeading___Toc1154_1382910320">
            <w:r>
              <w:rPr>
                <w:rStyle w:val="IndexLink"/>
              </w:rPr>
              <w:t>2  Visuelle Orientierungshilfen</w:t>
              <w:tab/>
              <w:t>2</w:t>
            </w:r>
          </w:hyperlink>
        </w:p>
        <w:p>
          <w:pPr>
            <w:pStyle w:val="Contents1"/>
            <w:rPr/>
          </w:pPr>
          <w:hyperlink w:anchor="__RefHeading___Toc1156_1382910320">
            <w:r>
              <w:rPr>
                <w:rStyle w:val="IndexLink"/>
              </w:rPr>
              <w:t>3  History</w:t>
              <w:tab/>
              <w:t>2</w:t>
            </w:r>
          </w:hyperlink>
        </w:p>
        <w:p>
          <w:pPr>
            <w:pStyle w:val="Contents1"/>
            <w:rPr/>
          </w:pPr>
          <w:hyperlink w:anchor="__RefHeading___Toc1158_1382910320">
            <w:r>
              <w:rPr>
                <w:rStyle w:val="IndexLink"/>
              </w:rPr>
              <w:t>4  MSH</w:t>
              <w:tab/>
              <w:t>3</w:t>
            </w:r>
          </w:hyperlink>
        </w:p>
        <w:p>
          <w:pPr>
            <w:pStyle w:val="Contents1"/>
            <w:rPr/>
          </w:pPr>
          <w:hyperlink w:anchor="__RefHeading___Toc1160_1382910320">
            <w:r>
              <w:rPr>
                <w:rStyle w:val="IndexLink"/>
              </w:rPr>
              <w:t>5  EVN</w:t>
              <w:tab/>
              <w:t>3</w:t>
            </w:r>
          </w:hyperlink>
        </w:p>
        <w:p>
          <w:pPr>
            <w:pStyle w:val="Contents1"/>
            <w:rPr/>
          </w:pPr>
          <w:hyperlink w:anchor="__RefHeading___Toc1162_1382910320">
            <w:r>
              <w:rPr>
                <w:rStyle w:val="IndexLink"/>
              </w:rPr>
              <w:t>6  PID</w:t>
              <w:tab/>
              <w:t>3</w:t>
            </w:r>
          </w:hyperlink>
        </w:p>
        <w:p>
          <w:pPr>
            <w:pStyle w:val="Contents1"/>
            <w:rPr/>
          </w:pPr>
          <w:hyperlink w:anchor="__RefHeading___Toc1164_1382910320">
            <w:r>
              <w:rPr>
                <w:rStyle w:val="IndexLink"/>
              </w:rPr>
              <w:t>7  PV1</w:t>
              <w:tab/>
              <w:t>3</w:t>
            </w:r>
          </w:hyperlink>
        </w:p>
        <w:p>
          <w:pPr>
            <w:pStyle w:val="Contents1"/>
            <w:rPr/>
          </w:pPr>
          <w:hyperlink w:anchor="__RefHeading___Toc1166_1382910320">
            <w:r>
              <w:rPr>
                <w:rStyle w:val="IndexLink"/>
              </w:rPr>
              <w:t>8  PV2</w:t>
              <w:tab/>
              <w:t>3</w:t>
            </w:r>
          </w:hyperlink>
        </w:p>
        <w:p>
          <w:pPr>
            <w:pStyle w:val="Contents1"/>
            <w:rPr/>
          </w:pPr>
          <w:hyperlink w:anchor="__RefHeading___Toc1168_1382910320">
            <w:r>
              <w:rPr>
                <w:rStyle w:val="IndexLink"/>
              </w:rPr>
              <w:t>9  ARV</w:t>
              <w:tab/>
              <w:t>3</w:t>
            </w:r>
          </w:hyperlink>
        </w:p>
        <w:p>
          <w:pPr>
            <w:pStyle w:val="Contents1"/>
            <w:rPr/>
          </w:pPr>
          <w:hyperlink w:anchor="__RefHeading___Toc1170_1382910320">
            <w:r>
              <w:rPr>
                <w:rStyle w:val="IndexLink"/>
              </w:rPr>
              <w:t>10  CON</w:t>
              <w:tab/>
              <w:t>3</w:t>
            </w:r>
          </w:hyperlink>
        </w:p>
        <w:p>
          <w:pPr>
            <w:pStyle w:val="Contents1"/>
            <w:rPr/>
          </w:pPr>
          <w:hyperlink w:anchor="__RefHeading___Toc1172_1382910320">
            <w:r>
              <w:rPr>
                <w:rStyle w:val="IndexLink"/>
              </w:rPr>
              <w:t>11  ROL</w:t>
              <w:tab/>
              <w:t>3</w:t>
            </w:r>
          </w:hyperlink>
          <w:r>
            <w:rPr>
              <w:rStyle w:val="IndexLink"/>
            </w:rPr>
            <w:fldChar w:fldCharType="end"/>
          </w:r>
        </w:p>
      </w:sdtContent>
    </w:sdt>
    <w:p>
      <w:pPr>
        <w:pStyle w:val="ContentsHeading"/>
        <w:suppressLineNumbers/>
        <w:bidi w:val="0"/>
        <w:ind w:left="0" w:hanging="0"/>
        <w:jc w:val="left"/>
        <w:rPr>
          <w:b/>
          <w:b/>
          <w:bCs/>
          <w:sz w:val="32"/>
          <w:szCs w:val="32"/>
        </w:rPr>
      </w:pPr>
      <w:r>
        <w:rPr/>
      </w:r>
    </w:p>
    <w:p>
      <w:pPr>
        <w:pStyle w:val="Heading1"/>
        <w:bidi w:val="0"/>
        <w:jc w:val="left"/>
        <w:rPr/>
      </w:pPr>
      <w:bookmarkStart w:id="0" w:name="__RefHeading___Toc1142_1382910320"/>
      <w:bookmarkEnd w:id="0"/>
      <w:r>
        <w:rPr/>
        <w:t>Managment Summary</w:t>
      </w:r>
    </w:p>
    <w:p>
      <w:pPr>
        <w:pStyle w:val="Heading2"/>
        <w:rPr/>
      </w:pPr>
      <w:bookmarkStart w:id="1" w:name="__RefHeading___Toc1144_1382910320"/>
      <w:bookmarkEnd w:id="1"/>
      <w:r>
        <w:rPr/>
        <w:t>Zusammenfassung</w:t>
      </w:r>
    </w:p>
    <w:p>
      <w:pPr>
        <w:pStyle w:val="TextBody"/>
        <w:bidi w:val="0"/>
        <w:jc w:val="left"/>
        <w:rPr/>
      </w:pPr>
      <w:r>
        <w:rPr/>
        <w:t xml:space="preserve">Seit der Veröffentlichung des Standards für Version 2.4 im Jahre 2011 haben sich sowohl die Anforderungen an eine einheitliche inhaltliche Verwendung in der Schweiz, wie auch die gesetzlichen Vorgaben im Gesundheitswesen stark verändert. Mit der Einführung des EPD’s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aktuellsten Version von HL7 v2.9. </w:t>
      </w:r>
    </w:p>
    <w:p>
      <w:pPr>
        <w:pStyle w:val="TextBody"/>
        <w:bidi w:val="0"/>
        <w:jc w:val="left"/>
        <w:rPr/>
      </w:pPr>
      <w:r>
        <w:rPr/>
        <w:t xml:space="preserve">HL7 Schweiz ist sich bewusst, dass der Trend eindeutig zur Verwendung von FHIR geht und der Einsatz von Hl7 v2 nur noch mittelfristig Anwendung findet. Die Definition dieser Standardschnittstelle für die Schweiz kann aber auch für ein zukünftiges Mapping von v2 auf FHIR verwendet werden. In diesem Sinne werden auch Segmente beschrieben, die eventuell nicht für alle Applikationen im Spital notwendig sind. Gemäss dem HL7-Standard steht es den Anwendungen frei Segmente beim Versand oder Empfang nicht zu verwenden. </w:t>
      </w:r>
    </w:p>
    <w:p>
      <w:pPr>
        <w:pStyle w:val="Heading2"/>
        <w:rPr/>
      </w:pPr>
      <w:bookmarkStart w:id="2" w:name="__RefHeading___Toc1146_1382910320"/>
      <w:bookmarkEnd w:id="2"/>
      <w:r>
        <w:rPr/>
        <w:t xml:space="preserve"> </w:t>
      </w:r>
      <w:r>
        <w:rPr/>
        <w:t>Warum HL7 v2.9</w:t>
      </w:r>
    </w:p>
    <w:p>
      <w:pPr>
        <w:pStyle w:val="TextBody"/>
        <w:bidi w:val="0"/>
        <w:jc w:val="left"/>
        <w:rPr/>
      </w:pPr>
      <w:r>
        <w:rPr/>
        <w:t xml:space="preserve">Seit der Veröffentlichung von v2.4 sind wichtige Änderungen mit zusätzlichen Segmenten und Anpassungen von Datentypen in den Segmenten am Standard vorgenommen worden. Diese Änderungen sind bereits ab 2.6 verfügbar, aber wie oben bereits beschrieben soll diese Publikation </w:t>
      </w:r>
    </w:p>
    <w:p>
      <w:pPr>
        <w:pStyle w:val="TextBody"/>
        <w:bidi w:val="0"/>
        <w:jc w:val="left"/>
        <w:rPr/>
      </w:pPr>
      <w:r>
        <w:rPr/>
        <w:t>Ab Version 2.7 wurden die Segmente ROL und ARV konsequent eingesetzt. Beide Segmente sind repetitiv nach dem PID und nach dem PV1 Segment verwendbar.</w:t>
      </w:r>
    </w:p>
    <w:p>
      <w:pPr>
        <w:pStyle w:val="TextBody"/>
        <w:bidi w:val="0"/>
        <w:jc w:val="left"/>
        <w:rPr/>
      </w:pPr>
      <w:r>
        <w:rPr/>
        <w:t>Neben den neuen Segmenten wurde auch der Datentyp IS durch den Datentyp CWE ersetzt. War der IS Datentyp noch ein einzelner String, so ist im Datentyp CWE nun ein eCode, eine Bezeichung und das System das die Daten liefert definiert. Ausserdem kann alternativer Code, Bezeichnung und System übermittelt werden.</w:t>
      </w:r>
    </w:p>
    <w:p>
      <w:pPr>
        <w:pStyle w:val="Heading3"/>
        <w:rPr/>
      </w:pPr>
      <w:bookmarkStart w:id="3" w:name="__RefHeading___Toc1148_1382910320"/>
      <w:bookmarkEnd w:id="3"/>
      <w:r>
        <w:rPr/>
        <w:t>ARV-Segment</w:t>
        <w:tab/>
        <w:t>Access Restriction</w:t>
      </w:r>
    </w:p>
    <w:p>
      <w:pPr>
        <w:pStyle w:val="TextBody"/>
        <w:bidi w:val="0"/>
        <w:jc w:val="left"/>
        <w:rPr/>
      </w:pPr>
      <w:r>
        <w:rPr/>
        <w:t>Im AVR Segment können Einschränkungen/Erweiterungen von Zugriffsrechten von Ärzten auf Dokumente /Unterlagen übermittelt werden, sowohl auf Patienten wie auch auf Fallebene. Vermutlich wird bis Zur Einführung von HIT2020 noch keine Notwendigkeit dafür bestehen, aber mit Anbindung an ein ePD bis 2020 könnte das Segment notewendig werden.</w:t>
      </w:r>
    </w:p>
    <w:p>
      <w:pPr>
        <w:pStyle w:val="TextBody"/>
        <w:bidi w:val="0"/>
        <w:jc w:val="left"/>
        <w:rPr/>
      </w:pPr>
      <w:r>
        <w:rPr/>
        <w:t>ROL-Segment</w:t>
        <w:tab/>
        <w:t>Role</w:t>
      </w:r>
    </w:p>
    <w:p>
      <w:pPr>
        <w:pStyle w:val="TextBody"/>
        <w:bidi w:val="0"/>
        <w:jc w:val="left"/>
        <w:rPr/>
      </w:pPr>
      <w:r>
        <w:rPr/>
        <w:t xml:space="preserve">Im ROL Segment können Personen zu bestimmten Aktivitäten verwaltet werden, z.B. weitere Ärzte die im PV1 Segment nicht vorgesehen sind oder behandelnde Ärzte zu bestimmten Behandlungen (PR1-Segment). </w:t>
      </w:r>
    </w:p>
    <w:p>
      <w:pPr>
        <w:pStyle w:val="Heading3"/>
        <w:rPr/>
      </w:pPr>
      <w:bookmarkStart w:id="4" w:name="__RefHeading___Toc1150_1382910320"/>
      <w:bookmarkEnd w:id="4"/>
      <w:r>
        <w:rPr/>
        <w:t>Verwendung CWE Datentyp</w:t>
      </w:r>
    </w:p>
    <w:p>
      <w:pPr>
        <w:pStyle w:val="TextBody"/>
        <w:bidi w:val="0"/>
        <w:jc w:val="left"/>
        <w:rPr/>
      </w:pPr>
      <w:r>
        <w:rPr/>
        <w:t>Der Ersatz der IS-Datentypen durch CWE ermöglich neu die Zuordnung der Codes zu Tabellen und die Übermittlung der Bezeichnung zum Code. Wir haben damit ein Key/Value-Paar, mit  diesem Konstrukt ist es auch möglich neue Werte für Attribute zu übermitteln ohne eine separate Stammdatenschnittstelle. Das empfangende System kennt den Code und die Bezeichnung und aufgrund des HL7-Feldes die dazugehörige Tabelle.</w:t>
      </w:r>
    </w:p>
    <w:p>
      <w:pPr>
        <w:pStyle w:val="Heading3"/>
        <w:rPr/>
      </w:pPr>
      <w:bookmarkStart w:id="5" w:name="__RefHeading___Toc1152_1382910320"/>
      <w:bookmarkEnd w:id="5"/>
      <w:r>
        <w:rPr/>
        <w:t>Änderung am Datentyp XPN</w:t>
      </w:r>
    </w:p>
    <w:p>
      <w:pPr>
        <w:pStyle w:val="TextBody"/>
        <w:bidi w:val="0"/>
        <w:jc w:val="left"/>
        <w:rPr/>
      </w:pPr>
      <w:r>
        <w:rPr/>
        <w:t>Der Datentyp XPN wurde in Version 2.7 geändert, das Element Degree wurde ersetzt durch Professional Suffix und das Element NameValidityRange durch EffectiveDate und ExpirationDate</w:t>
      </w:r>
    </w:p>
    <w:p>
      <w:pPr>
        <w:pStyle w:val="TextBody"/>
        <w:bidi w:val="0"/>
        <w:jc w:val="left"/>
        <w:rPr/>
      </w:pPr>
      <w:r>
        <w:rPr/>
      </w:r>
    </w:p>
    <w:p>
      <w:pPr>
        <w:pStyle w:val="Heading1"/>
        <w:bidi w:val="0"/>
        <w:jc w:val="left"/>
        <w:rPr/>
      </w:pPr>
      <w:bookmarkStart w:id="6" w:name="__RefHeading___Toc1154_1382910320"/>
      <w:bookmarkEnd w:id="6"/>
      <w:r>
        <w:rPr/>
        <w:t>Visuelle Orientierungshilfen</w:t>
      </w:r>
    </w:p>
    <w:p>
      <w:pPr>
        <w:pStyle w:val="Heading1"/>
        <w:bidi w:val="0"/>
        <w:jc w:val="left"/>
        <w:rPr/>
      </w:pPr>
      <w:bookmarkStart w:id="7" w:name="__RefHeading___Toc1156_1382910320"/>
      <w:bookmarkEnd w:id="7"/>
      <w:r>
        <w:rPr/>
        <w:t>History</w:t>
      </w:r>
    </w:p>
    <w:tbl>
      <w:tblPr>
        <w:tblW w:w="5000" w:type="pct"/>
        <w:jc w:val="left"/>
        <w:tblInd w:w="0" w:type="dxa"/>
        <w:tblLayout w:type="fixed"/>
        <w:tblCellMar>
          <w:top w:w="0" w:type="dxa"/>
          <w:left w:w="7" w:type="dxa"/>
          <w:bottom w:w="0" w:type="dxa"/>
          <w:right w:w="0" w:type="dxa"/>
        </w:tblCellMar>
      </w:tblPr>
      <w:tblGrid>
        <w:gridCol w:w="3212"/>
        <w:gridCol w:w="3213"/>
        <w:gridCol w:w="3213"/>
      </w:tblGrid>
      <w:tr>
        <w:trPr/>
        <w:tc>
          <w:tcPr>
            <w:tcW w:w="3212" w:type="dxa"/>
            <w:tcBorders>
              <w:top w:val="single" w:sz="6" w:space="0" w:color="CE181E"/>
              <w:left w:val="single" w:sz="6" w:space="0" w:color="CE181E"/>
              <w:bottom w:val="single" w:sz="6" w:space="0" w:color="CE181E"/>
            </w:tcBorders>
            <w:shd w:fill="E31019" w:val="clear"/>
            <w:vAlign w:val="center"/>
          </w:tcPr>
          <w:p>
            <w:pPr>
              <w:pStyle w:val="TableContents"/>
              <w:widowControl w:val="false"/>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Datum</w:t>
            </w:r>
          </w:p>
        </w:tc>
        <w:tc>
          <w:tcPr>
            <w:tcW w:w="3213" w:type="dxa"/>
            <w:tcBorders>
              <w:top w:val="single" w:sz="6" w:space="0" w:color="CE181E"/>
              <w:bottom w:val="single" w:sz="6" w:space="0" w:color="CE181E"/>
            </w:tcBorders>
            <w:shd w:fill="E31019" w:val="clear"/>
            <w:vAlign w:val="center"/>
          </w:tcPr>
          <w:p>
            <w:pPr>
              <w:pStyle w:val="TableContents"/>
              <w:widowControl w:val="false"/>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Autor</w:t>
            </w:r>
          </w:p>
        </w:tc>
        <w:tc>
          <w:tcPr>
            <w:tcW w:w="3213" w:type="dxa"/>
            <w:tcBorders>
              <w:top w:val="single" w:sz="6" w:space="0" w:color="CE181E"/>
              <w:bottom w:val="single" w:sz="6" w:space="0" w:color="CE181E"/>
              <w:right w:val="single" w:sz="6" w:space="0" w:color="CE181E"/>
            </w:tcBorders>
            <w:shd w:fill="CE181E" w:val="clear"/>
            <w:vAlign w:val="center"/>
          </w:tcPr>
          <w:p>
            <w:pPr>
              <w:pStyle w:val="TableContents"/>
              <w:widowControl w:val="false"/>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Grund</w:t>
            </w:r>
          </w:p>
        </w:tc>
      </w:tr>
      <w:tr>
        <w:trPr/>
        <w:tc>
          <w:tcPr>
            <w:tcW w:w="3212"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c>
          <w:tcPr>
            <w:tcW w:w="3213"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r>
      <w:tr>
        <w:trPr/>
        <w:tc>
          <w:tcPr>
            <w:tcW w:w="3212"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c>
          <w:tcPr>
            <w:tcW w:w="3213"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r>
      <w:tr>
        <w:trPr/>
        <w:tc>
          <w:tcPr>
            <w:tcW w:w="3212"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c>
          <w:tcPr>
            <w:tcW w:w="3213"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r>
      <w:tr>
        <w:trPr/>
        <w:tc>
          <w:tcPr>
            <w:tcW w:w="3212"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c>
          <w:tcPr>
            <w:tcW w:w="3213"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suppressLineNumbers/>
              <w:bidi w:val="0"/>
              <w:jc w:val="left"/>
              <w:rPr/>
            </w:pPr>
            <w:r>
              <w:rPr/>
            </w:r>
          </w:p>
        </w:tc>
      </w:tr>
    </w:tbl>
    <w:p>
      <w:pPr>
        <w:pStyle w:val="TextBody"/>
        <w:bidi w:val="0"/>
        <w:jc w:val="left"/>
        <w:rPr/>
      </w:pPr>
      <w:r>
        <w:rPr/>
      </w:r>
    </w:p>
    <w:p>
      <w:pPr>
        <w:pStyle w:val="Heading1"/>
        <w:ind w:left="57" w:right="0" w:hanging="0"/>
        <w:rPr/>
      </w:pPr>
      <w:bookmarkStart w:id="8" w:name="__RefHeading___Toc1158_1382910320"/>
      <w:bookmarkEnd w:id="8"/>
      <w:r>
        <w:rPr/>
        <w:t>MSH</w:t>
      </w:r>
    </w:p>
    <w:p>
      <w:pPr>
        <w:pStyle w:val="TextBody"/>
        <w:rPr/>
      </w:pPr>
      <w:r>
        <w:rPr/>
      </w:r>
    </w:p>
    <w:p>
      <w:pPr>
        <w:pStyle w:val="Heading1"/>
        <w:ind w:left="57" w:right="0" w:hanging="0"/>
        <w:rPr/>
      </w:pPr>
      <w:bookmarkStart w:id="9" w:name="__RefHeading___Toc1160_1382910320"/>
      <w:bookmarkEnd w:id="9"/>
      <w:r>
        <w:rPr/>
        <w:t>EVN</w:t>
      </w:r>
    </w:p>
    <w:p>
      <w:pPr>
        <w:pStyle w:val="TextBody"/>
        <w:rPr/>
      </w:pPr>
      <w:r>
        <w:rPr/>
      </w:r>
    </w:p>
    <w:p>
      <w:pPr>
        <w:pStyle w:val="Heading1"/>
        <w:ind w:left="57" w:right="0" w:hanging="0"/>
        <w:rPr/>
      </w:pPr>
      <w:bookmarkStart w:id="10" w:name="__RefHeading___Toc1162_1382910320"/>
      <w:bookmarkEnd w:id="10"/>
      <w:r>
        <w:rPr/>
        <w:t>PID</w:t>
      </w:r>
    </w:p>
    <w:p>
      <w:pPr>
        <w:pStyle w:val="TextBody"/>
        <w:rPr/>
      </w:pPr>
      <w:r>
        <w:rPr/>
      </w:r>
    </w:p>
    <w:p>
      <w:pPr>
        <w:pStyle w:val="Heading1"/>
        <w:ind w:left="57" w:right="0" w:hanging="0"/>
        <w:rPr/>
      </w:pPr>
      <w:bookmarkStart w:id="11" w:name="__RefHeading___Toc1164_1382910320"/>
      <w:bookmarkEnd w:id="11"/>
      <w:r>
        <w:rPr/>
        <w:t>PV1</w:t>
      </w:r>
    </w:p>
    <w:p>
      <w:pPr>
        <w:pStyle w:val="TextBody"/>
        <w:rPr/>
      </w:pPr>
      <w:r>
        <w:rPr/>
      </w:r>
    </w:p>
    <w:p>
      <w:pPr>
        <w:pStyle w:val="Heading1"/>
        <w:ind w:left="57" w:right="0" w:hanging="0"/>
        <w:rPr/>
      </w:pPr>
      <w:bookmarkStart w:id="12" w:name="__RefHeading___Toc1166_1382910320"/>
      <w:bookmarkEnd w:id="12"/>
      <w:r>
        <w:rPr/>
        <w:t>PV2</w:t>
        <w:tab/>
      </w:r>
    </w:p>
    <w:p>
      <w:pPr>
        <w:pStyle w:val="TextBody"/>
        <w:rPr/>
      </w:pPr>
      <w:r>
        <w:rPr/>
      </w:r>
    </w:p>
    <w:p>
      <w:pPr>
        <w:pStyle w:val="Heading1"/>
        <w:ind w:left="57" w:right="0" w:hanging="0"/>
        <w:rPr/>
      </w:pPr>
      <w:bookmarkStart w:id="13" w:name="__RefHeading___Toc1168_1382910320"/>
      <w:bookmarkEnd w:id="13"/>
      <w:r>
        <w:rPr/>
        <w:t>ARV</w:t>
      </w:r>
    </w:p>
    <w:p>
      <w:pPr>
        <w:pStyle w:val="TextBody"/>
        <w:rPr/>
      </w:pPr>
      <w:r>
        <w:rPr/>
      </w:r>
    </w:p>
    <w:p>
      <w:pPr>
        <w:pStyle w:val="Heading1"/>
        <w:ind w:left="57" w:right="0" w:hanging="0"/>
        <w:rPr/>
      </w:pPr>
      <w:bookmarkStart w:id="14" w:name="__RefHeading___Toc1170_1382910320"/>
      <w:bookmarkEnd w:id="14"/>
      <w:r>
        <w:rPr/>
        <w:t>CON</w:t>
      </w:r>
    </w:p>
    <w:p>
      <w:pPr>
        <w:pStyle w:val="TextBody"/>
        <w:rPr/>
      </w:pPr>
      <w:r>
        <w:rPr/>
      </w:r>
    </w:p>
    <w:p>
      <w:pPr>
        <w:pStyle w:val="Heading1"/>
        <w:spacing w:before="240" w:after="120"/>
        <w:ind w:left="57" w:right="0" w:hanging="0"/>
        <w:rPr/>
      </w:pPr>
      <w:bookmarkStart w:id="15" w:name="__RefHeading___Toc1172_1382910320"/>
      <w:bookmarkEnd w:id="15"/>
      <w:r>
        <w:rPr/>
        <w:t>ROL</w:t>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 xml:space="preserve">Seite </w:t>
    </w:r>
    <w:r>
      <w:rPr/>
      <w:fldChar w:fldCharType="begin"/>
    </w:r>
    <w:r>
      <w:rPr/>
      <w:instrText xml:space="preserve"> PAGE </w:instrText>
    </w:r>
    <w:r>
      <w:rPr/>
      <w:fldChar w:fldCharType="separate"/>
    </w:r>
    <w:r>
      <w:rPr/>
      <w:t>3</w:t>
    </w:r>
    <w:r>
      <w:rPr/>
      <w:fldChar w:fldCharType="end"/>
    </w:r>
    <w:r>
      <w:rPr/>
      <w:t xml:space="preserve"> von </w:t>
    </w:r>
    <w:r>
      <w:rPr/>
      <w:fldChar w:fldCharType="begin"/>
    </w:r>
    <w:r>
      <w:rPr/>
      <w:instrText xml:space="preserve">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drawing>
        <wp:anchor behindDoc="1" distT="0" distB="0" distL="0" distR="0" simplePos="0" locked="0" layoutInCell="0" allowOverlap="1" relativeHeight="4">
          <wp:simplePos x="0" y="0"/>
          <wp:positionH relativeFrom="column">
            <wp:posOffset>11430</wp:posOffset>
          </wp:positionH>
          <wp:positionV relativeFrom="paragraph">
            <wp:posOffset>-387350</wp:posOffset>
          </wp:positionV>
          <wp:extent cx="1144270" cy="5594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mc:AlternateContent>
        <mc:Choice Requires="wps">
          <w:drawing>
            <wp:anchor behindDoc="1" distT="0" distB="0" distL="0" distR="0" simplePos="0" locked="0" layoutInCell="0" allowOverlap="1" relativeHeight="9">
              <wp:simplePos x="0" y="0"/>
              <wp:positionH relativeFrom="column">
                <wp:posOffset>3803015</wp:posOffset>
              </wp:positionH>
              <wp:positionV relativeFrom="paragraph">
                <wp:posOffset>-525780</wp:posOffset>
              </wp:positionV>
              <wp:extent cx="2311400" cy="787400"/>
              <wp:effectExtent l="0" t="0" r="0" b="0"/>
              <wp:wrapNone/>
              <wp:docPr id="2" name="Text Frame 2"/>
              <a:graphic xmlns:a="http://schemas.openxmlformats.org/drawingml/2006/main">
                <a:graphicData uri="http://schemas.microsoft.com/office/word/2010/wordprocessingShape">
                  <wps:wsp>
                    <wps:cNvSpPr/>
                    <wps:spPr>
                      <a:xfrm>
                        <a:off x="0" y="0"/>
                        <a:ext cx="2311560" cy="7873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rFonts w:ascii="DejaVu Sans" w:hAnsi="DejaVu Sans"/>
                              <w:b/>
                              <w:bCs/>
                              <w:color w:val="000000"/>
                              <w:sz w:val="18"/>
                              <w:szCs w:val="18"/>
                            </w:rPr>
                            <w:t>HL7 Patientenschnittstelle V2.9</w:t>
                          </w:r>
                        </w:p>
                        <w:p>
                          <w:pPr>
                            <w:pStyle w:val="FrameContents"/>
                            <w:overflowPunct w:val="false"/>
                            <w:bidi w:val="0"/>
                            <w:rPr>
                              <w:color w:val="000000"/>
                            </w:rPr>
                          </w:pPr>
                          <w:r>
                            <w:rPr>
                              <w:rFonts w:ascii="DejaVu Sans" w:hAnsi="DejaVu Sans"/>
                              <w:color w:val="000000"/>
                              <w:sz w:val="18"/>
                              <w:szCs w:val="18"/>
                            </w:rPr>
                            <w:t>Minimaldatensatz</w:t>
                          </w:r>
                        </w:p>
                        <w:p>
                          <w:pPr>
                            <w:pStyle w:val="FrameContents"/>
                            <w:overflowPunct w:val="false"/>
                            <w:bidi w:val="0"/>
                            <w:rPr>
                              <w:color w:val="000000"/>
                            </w:rPr>
                          </w:pPr>
                          <w:r>
                            <w:rPr>
                              <w:rFonts w:ascii="DejaVu Sans" w:hAnsi="DejaVu Sans"/>
                              <w:color w:val="000000"/>
                              <w:sz w:val="18"/>
                              <w:szCs w:val="18"/>
                            </w:rPr>
                            <w:t>Übermitteln von Patientenstammdaten</w:t>
                          </w:r>
                        </w:p>
                        <w:p>
                          <w:pPr>
                            <w:pStyle w:val="FrameContents"/>
                            <w:overflowPunct w:val="false"/>
                            <w:bidi w:val="0"/>
                            <w:rPr>
                              <w:color w:val="000000"/>
                            </w:rPr>
                          </w:pPr>
                          <w:r>
                            <w:rPr>
                              <w:rFonts w:ascii="DejaVu Sans" w:hAnsi="DejaVu Sans"/>
                              <w:color w:val="000000"/>
                              <w:sz w:val="18"/>
                              <w:szCs w:val="18"/>
                            </w:rPr>
                            <w:t>Erstellt von Beat Heggli und MarcelHanselmann  am 1.6.2023</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299.45pt;margin-top:-41.4pt;width:181.95pt;height:61.95pt;mso-wrap-style:square;v-text-anchor:top">
              <v:fill o:detectmouseclick="t" on="false"/>
              <v:stroke color="#3465a4" joinstyle="round" endcap="flat"/>
              <v:textbox>
                <w:txbxContent>
                  <w:p>
                    <w:pPr>
                      <w:pStyle w:val="FrameContents"/>
                      <w:overflowPunct w:val="false"/>
                      <w:bidi w:val="0"/>
                      <w:rPr>
                        <w:color w:val="000000"/>
                      </w:rPr>
                    </w:pPr>
                    <w:r>
                      <w:rPr>
                        <w:rFonts w:ascii="DejaVu Sans" w:hAnsi="DejaVu Sans"/>
                        <w:b/>
                        <w:bCs/>
                        <w:color w:val="000000"/>
                        <w:sz w:val="18"/>
                        <w:szCs w:val="18"/>
                      </w:rPr>
                      <w:t>HL7 Patientenschnittstelle V2.9</w:t>
                    </w:r>
                  </w:p>
                  <w:p>
                    <w:pPr>
                      <w:pStyle w:val="FrameContents"/>
                      <w:overflowPunct w:val="false"/>
                      <w:bidi w:val="0"/>
                      <w:rPr>
                        <w:color w:val="000000"/>
                      </w:rPr>
                    </w:pPr>
                    <w:r>
                      <w:rPr>
                        <w:rFonts w:ascii="DejaVu Sans" w:hAnsi="DejaVu Sans"/>
                        <w:color w:val="000000"/>
                        <w:sz w:val="18"/>
                        <w:szCs w:val="18"/>
                      </w:rPr>
                      <w:t>Minimaldatensatz</w:t>
                    </w:r>
                  </w:p>
                  <w:p>
                    <w:pPr>
                      <w:pStyle w:val="FrameContents"/>
                      <w:overflowPunct w:val="false"/>
                      <w:bidi w:val="0"/>
                      <w:rPr>
                        <w:color w:val="000000"/>
                      </w:rPr>
                    </w:pPr>
                    <w:r>
                      <w:rPr>
                        <w:rFonts w:ascii="DejaVu Sans" w:hAnsi="DejaVu Sans"/>
                        <w:color w:val="000000"/>
                        <w:sz w:val="18"/>
                        <w:szCs w:val="18"/>
                      </w:rPr>
                      <w:t>Übermitteln von Patientenstammdaten</w:t>
                    </w:r>
                  </w:p>
                  <w:p>
                    <w:pPr>
                      <w:pStyle w:val="FrameContents"/>
                      <w:overflowPunct w:val="false"/>
                      <w:bidi w:val="0"/>
                      <w:rPr>
                        <w:color w:val="000000"/>
                      </w:rPr>
                    </w:pPr>
                    <w:r>
                      <w:rPr>
                        <w:rFonts w:ascii="DejaVu Sans" w:hAnsi="DejaVu Sans"/>
                        <w:color w:val="000000"/>
                        <w:sz w:val="18"/>
                        <w:szCs w:val="18"/>
                      </w:rPr>
                      <w:t>Erstellt von Beat Heggli und MarcelHanselmann  am 1.6.2023</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
      <w:lvlJc w:val="left"/>
      <w:pPr>
        <w:tabs>
          <w:tab w:val="num" w:pos="0"/>
        </w:tabs>
        <w:ind w:left="0" w:hanging="0"/>
      </w:pPr>
      <w:rPr/>
    </w:lvl>
    <w:lvl w:ilvl="1">
      <w:start w:val="1"/>
      <w:pStyle w:val="Heading2"/>
      <w:numFmt w:val="decimal"/>
      <w:lvlText w:val="%1.%2 "/>
      <w:lvlJc w:val="left"/>
      <w:pPr>
        <w:tabs>
          <w:tab w:val="num" w:pos="0"/>
        </w:tabs>
        <w:ind w:left="0" w:hanging="0"/>
      </w:pPr>
      <w:rPr/>
    </w:lvl>
    <w:lvl w:ilvl="2">
      <w:start w:val="1"/>
      <w:pStyle w:val="Heading3"/>
      <w:numFmt w:val="decimal"/>
      <w:lvlText w:val="%1.%2.%3 "/>
      <w:lvlJc w:val="left"/>
      <w:pPr>
        <w:tabs>
          <w:tab w:val="num" w:pos="0"/>
        </w:tabs>
        <w:ind w:left="0" w:hanging="0"/>
      </w:pPr>
      <w:rPr/>
    </w:lvl>
    <w:lvl w:ilvl="3">
      <w:start w:val="1"/>
      <w:numFmt w:val="decimal"/>
      <w:lvlText w:val="%1.%2.%3.%4 "/>
      <w:lvlJc w:val="left"/>
      <w:pPr>
        <w:tabs>
          <w:tab w:val="num" w:pos="0"/>
        </w:tabs>
        <w:ind w:left="0" w:hanging="0"/>
      </w:pPr>
      <w:rPr/>
    </w:lvl>
    <w:lvl w:ilvl="4">
      <w:start w:val="1"/>
      <w:numFmt w:val="decimal"/>
      <w:lvlText w:val="%1.%2.%3.%4.%5 "/>
      <w:lvlJc w:val="left"/>
      <w:pPr>
        <w:tabs>
          <w:tab w:val="num" w:pos="0"/>
        </w:tabs>
        <w:ind w:left="0" w:hanging="0"/>
      </w:pPr>
      <w:rPr/>
    </w:lvl>
    <w:lvl w:ilvl="5">
      <w:start w:val="1"/>
      <w:numFmt w:val="decimal"/>
      <w:lvlText w:val="%1.%2.%3.%4.%5.%6 "/>
      <w:lvlJc w:val="left"/>
      <w:pPr>
        <w:tabs>
          <w:tab w:val="num" w:pos="0"/>
        </w:tabs>
        <w:ind w:left="0" w:hanging="0"/>
      </w:pPr>
      <w:rPr/>
    </w:lvl>
    <w:lvl w:ilvl="6">
      <w:start w:val="1"/>
      <w:numFmt w:val="decimal"/>
      <w:lvlText w:val="%1.%2.%3.%4.%5.%6.%7 "/>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de-C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de-CH" w:eastAsia="zh-CN" w:bidi="hi-IN"/>
    </w:rPr>
  </w:style>
  <w:style w:type="paragraph" w:styleId="Heading1">
    <w:name w:val="Heading 1"/>
    <w:basedOn w:val="Heading"/>
    <w:next w:val="TextBody"/>
    <w:qFormat/>
    <w:pPr>
      <w:numPr>
        <w:ilvl w:val="0"/>
        <w:numId w:val="1"/>
      </w:numPr>
      <w:ind w:left="57" w:right="0" w:hanging="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51</TotalTime>
  <Application>LibreOffice/7.4.0.3$Linux_X86_64 LibreOffice_project/f85e47c08ddd19c015c0114a68350214f7066f5a</Application>
  <AppVersion>15.0000</AppVersion>
  <Pages>3</Pages>
  <Words>569</Words>
  <Characters>3255</Characters>
  <CharactersWithSpaces>3796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2022-11-16T15:59:14Z</dcterms:created>
  <dc:creator>Marcel Hanselmann</dc:creator>
  <dc:description/>
  <dc:language>en-US</dc:language>
  <cp:lastModifiedBy>Marcel Hanselmann</cp:lastModifiedBy>
  <dcterms:modified xsi:type="dcterms:W3CDTF">2022-11-29T10:26:36Z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