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97A5E"/>
          <w:spacing w:val="30"/>
          <w:sz w:val="17"/>
          <w:szCs w:val="17"/>
        </w:rPr>
        <w:t xml:space="preserve">ITBA · ÓRGANOS ARTIFICIALES</w:t>
      </w:r>
    </w:p>
    <w:p>
      <w:pPr>
        <w:spacing w:after="80"/>
      </w:pPr>
      <w:r>
        <w:rPr>
          <w:rFonts w:ascii="Cambria" w:cs="Cambria" w:eastAsia="Cambria" w:hAnsi="Cambria"/>
          <w:b/>
          <w:bCs/>
          <w:color w:val="10333C"/>
          <w:sz w:val="34"/>
          <w:szCs w:val="34"/>
        </w:rPr>
        <w:t xml:space="preserve">TP N°1 — Diseño y Simulación del Rendimiento de un Dializador</w:t>
      </w:r>
    </w:p>
    <w:p>
      <w:pPr>
        <w:pBdr>
          <w:bottom w:val="single" w:color="B8C8C6" w:sz="6"/>
        </w:pBdr>
        <w:spacing w:after="200"/>
      </w:pPr>
      <w:r>
        <w:rPr>
          <w:rFonts w:ascii="Cambria" w:cs="Cambria" w:eastAsia="Cambria" w:hAnsi="Cambria"/>
          <w:i/>
          <w:iCs/>
          <w:color w:val="5A6A6E"/>
          <w:sz w:val="24"/>
          <w:szCs w:val="24"/>
        </w:rPr>
        <w:t xml:space="preserve">Respuestas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Modelo empleado, según el Anexo I: transporte puramente difusivo a través de una placa plana de espesor constante, en estado estacionario, con gradiente lineal y dializado a concentración nula.</w:t>
      </w:r>
    </w:p>
    <w:p>
      <w:pPr>
        <w:spacing w:after="160" w:before="140"/>
        <w:jc w:val="center"/>
      </w:pPr>
      <w:r>
        <w:rPr>
          <w:rFonts w:ascii="Consolas" w:cs="Consolas" w:eastAsia="Consolas" w:hAnsi="Consolas"/>
          <w:b/>
          <w:bCs/>
          <w:color w:val="097A5E"/>
          <w:sz w:val="22"/>
          <w:szCs w:val="22"/>
        </w:rPr>
        <w:t xml:space="preserve">J = D · C / L        ṁ = J · A        Cl = ṁ / C = D · A / L</w:t>
      </w:r>
    </w:p>
    <w:p>
      <w:pPr>
        <w:pStyle w:val="Heading1"/>
        <w:spacing w:after="130" w:before="340"/>
      </w:pPr>
      <w:r>
        <w:rPr>
          <w:rFonts w:ascii="Cambria" w:cs="Cambria" w:eastAsia="Cambria" w:hAnsi="Cambria"/>
          <w:b/>
          <w:bCs/>
          <w:color w:val="10333C"/>
        </w:rPr>
        <w:t xml:space="preserve">1. Replicación del modelo base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Se ejecutó el código del Anexo I con los parámetros iniciales. Nota de unidades: 1 mM = 1 mmol/L = 1 mol/m³, por lo que la concentración no requiere factor de conversión al pasar al Sistema Internacional.</w:t>
      </w:r>
    </w:p>
    <w:tbl>
      <w:tblPr>
        <w:tblW w:type="dxa" w:w="8500"/>
        <w:tblBorders>
          <w:top w:val="single" w:color="B8C8C6" w:sz="4"/>
          <w:left w:val="none"/>
          <w:bottom w:val="single" w:color="B8C8C6" w:sz="4"/>
          <w:right w:val="none"/>
          <w:insideH w:val="single" w:color="D6E2DF" w:sz="2"/>
          <w:insideV w:val="none"/>
        </w:tblBorders>
      </w:tblPr>
      <w:tblGrid>
        <w:gridCol w:w="2900"/>
        <w:gridCol w:w="2900"/>
        <w:gridCol w:w="2700"/>
      </w:tblGrid>
      <w:tr>
        <w:trPr>
          <w:tblHeader/>
        </w:trPr>
        <w:tc>
          <w:tcPr>
            <w:tcW w:type="dxa" w:w="29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Parámetro</w:t>
            </w:r>
          </w:p>
        </w:tc>
        <w:tc>
          <w:tcPr>
            <w:tcW w:type="dxa" w:w="29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Valor</w:t>
            </w:r>
          </w:p>
        </w:tc>
        <w:tc>
          <w:tcPr>
            <w:tcW w:type="dxa" w:w="27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Concentración de urea</w:t>
            </w:r>
          </w:p>
        </w:tc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5 mM</w:t>
            </w:r>
          </w:p>
        </w:tc>
        <w:tc>
          <w:tcPr>
            <w:tcW w:type="dxa" w:w="27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J = 1,0000 × 10⁻⁵ mol/(m²·s)</w:t>
            </w:r>
          </w:p>
        </w:tc>
      </w:tr>
      <w:tr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Espesor L</w:t>
            </w:r>
          </w:p>
        </w:tc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50,0 µm</w:t>
            </w:r>
          </w:p>
        </w:tc>
        <w:tc>
          <w:tcPr>
            <w:tcW w:type="dxa" w:w="27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ṁ = 1,0000 × 10⁻⁵ mol/s</w:t>
            </w:r>
          </w:p>
        </w:tc>
      </w:tr>
      <w:tr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Área A</w:t>
            </w:r>
          </w:p>
        </w:tc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1,0 m²</w:t>
            </w:r>
          </w:p>
        </w:tc>
        <w:tc>
          <w:tcPr>
            <w:tcW w:type="dxa" w:w="27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Cl = 2,0000 × 10⁻⁶ m³/s</w:t>
            </w:r>
          </w:p>
        </w:tc>
      </w:tr>
      <w:tr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Coeficiente D</w:t>
            </w:r>
          </w:p>
        </w:tc>
        <w:tc>
          <w:tcPr>
            <w:tcW w:type="dxa" w:w="29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 × 10⁻¹⁰ m²/s</w:t>
            </w:r>
          </w:p>
        </w:tc>
        <w:tc>
          <w:tcPr>
            <w:tcW w:type="dxa" w:w="27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Cl = 120,00 mL/min</w:t>
            </w:r>
          </w:p>
        </w:tc>
      </w:tr>
    </w:tbl>
    <w:p>
      <w:pPr>
        <w:spacing w:after="220"/>
      </w:pPr>
      <w:r>
        <w:t xml:space="preserve"/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El resultado obtenido es de 120,00 mL/min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que coincide con el valor de aproximadamente 120 mL/min indicado en la consigna. El modelo queda verificado.</w:t>
      </w:r>
    </w:p>
    <w:p>
      <w:pPr>
        <w:pStyle w:val="Heading1"/>
        <w:spacing w:after="130" w:before="340"/>
      </w:pPr>
      <w:r>
        <w:rPr>
          <w:rFonts w:ascii="Cambria" w:cs="Cambria" w:eastAsia="Cambria" w:hAnsi="Cambria"/>
          <w:b/>
          <w:bCs/>
          <w:color w:val="10333C"/>
        </w:rPr>
        <w:t xml:space="preserve">2. Análisis de sensibilidad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Manteniendo el área en 1 m², se simuló el clearance para los espesores pedidos. Se agregó un quinto valor de 150 µm para completar la tabla de cinco datos.</w:t>
      </w:r>
    </w:p>
    <w:tbl>
      <w:tblPr>
        <w:tblW w:type="dxa" w:w="8500"/>
        <w:tblBorders>
          <w:top w:val="single" w:color="B8C8C6" w:sz="4"/>
          <w:left w:val="none"/>
          <w:bottom w:val="single" w:color="B8C8C6" w:sz="4"/>
          <w:right w:val="none"/>
          <w:insideH w:val="single" w:color="D6E2DF" w:sz="2"/>
          <w:insideV w:val="none"/>
        </w:tblBorders>
      </w:tblPr>
      <w:tblGrid>
        <w:gridCol w:w="1800"/>
        <w:gridCol w:w="2400"/>
        <w:gridCol w:w="2100"/>
        <w:gridCol w:w="2200"/>
      </w:tblGrid>
      <w:tr>
        <w:trPr>
          <w:tblHeader/>
        </w:trPr>
        <w:tc>
          <w:tcPr>
            <w:tcW w:type="dxa" w:w="18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Espesor L (µm)</w:t>
            </w:r>
          </w:p>
        </w:tc>
        <w:tc>
          <w:tcPr>
            <w:tcW w:type="dxa" w:w="24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Clearance (mL/min)</w:t>
            </w:r>
          </w:p>
        </w:tc>
        <w:tc>
          <w:tcPr>
            <w:tcW w:type="dxa" w:w="21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Relativo a 50 µm</w:t>
            </w:r>
          </w:p>
        </w:tc>
        <w:tc>
          <w:tcPr>
            <w:tcW w:type="dxa" w:w="22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J (mol/m²·s)</w:t>
            </w:r>
          </w:p>
        </w:tc>
      </w:tr>
      <w:tr>
        <w:tc>
          <w:tcPr>
            <w:tcW w:type="dxa" w:w="18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25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240,00</w:t>
            </w:r>
          </w:p>
        </w:tc>
        <w:tc>
          <w:tcPr>
            <w:tcW w:type="dxa" w:w="21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× 2,00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2,000 × 10⁻⁵</w:t>
            </w:r>
          </w:p>
        </w:tc>
      </w:tr>
      <w:tr>
        <w:tc>
          <w:tcPr>
            <w:tcW w:type="dxa" w:w="18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50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120,00</w:t>
            </w:r>
          </w:p>
        </w:tc>
        <w:tc>
          <w:tcPr>
            <w:tcW w:type="dxa" w:w="21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× 1,00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1,000 × 10⁻⁵</w:t>
            </w:r>
          </w:p>
        </w:tc>
      </w:tr>
      <w:tr>
        <w:tc>
          <w:tcPr>
            <w:tcW w:type="dxa" w:w="18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75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80,00</w:t>
            </w:r>
          </w:p>
        </w:tc>
        <w:tc>
          <w:tcPr>
            <w:tcW w:type="dxa" w:w="21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× 0,67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6,667 × 10⁻⁶</w:t>
            </w:r>
          </w:p>
        </w:tc>
      </w:tr>
      <w:tr>
        <w:tc>
          <w:tcPr>
            <w:tcW w:type="dxa" w:w="18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60,00</w:t>
            </w:r>
          </w:p>
        </w:tc>
        <w:tc>
          <w:tcPr>
            <w:tcW w:type="dxa" w:w="21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× 0,50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5,000 × 10⁻⁶</w:t>
            </w:r>
          </w:p>
        </w:tc>
      </w:tr>
      <w:tr>
        <w:tc>
          <w:tcPr>
            <w:tcW w:type="dxa" w:w="18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150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40,00</w:t>
            </w:r>
          </w:p>
        </w:tc>
        <w:tc>
          <w:tcPr>
            <w:tcW w:type="dxa" w:w="21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× 0,33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3,333 × 10⁻⁶</w:t>
            </w:r>
          </w:p>
        </w:tc>
      </w:tr>
    </w:tbl>
    <w:p>
      <w:pPr>
        <w:spacing w:after="220"/>
      </w:pPr>
      <w:r>
        <w:t xml:space="preserve"/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Comparación: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la relación es hiperbólica y no lineal, ya que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Cl ∝ 1/L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. Duplicar el espesor no resta una cantidad fija de clearance sino que lo divide por dos: al pasar de 25 a 50 µm el clearance cae de 240 a 120 mL/min, y de 50 a 100 µm cae de 120 a 60 mL/min. Reducir el espesor es por lo tanto la vía más eficaz para aumentar el rendimiento difusivo de la membrana.</w:t>
      </w:r>
    </w:p>
    <w:p>
      <w:pPr>
        <w:pStyle w:val="Heading1"/>
        <w:spacing w:after="130" w:before="340"/>
      </w:pPr>
      <w:r>
        <w:rPr>
          <w:rFonts w:ascii="Cambria" w:cs="Cambria" w:eastAsia="Cambria" w:hAnsi="Cambria"/>
          <w:b/>
          <w:bCs/>
          <w:color w:val="10333C"/>
        </w:rPr>
        <w:t xml:space="preserve">3. Desafío de optimización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Para alcanzar 150 mL/min manteniendo el espesor en 50 µm se despeja el área de la expresión del clearance:</w:t>
      </w:r>
    </w:p>
    <w:p>
      <w:pPr>
        <w:spacing w:after="160" w:before="140"/>
        <w:jc w:val="center"/>
      </w:pPr>
      <w:r>
        <w:rPr>
          <w:rFonts w:ascii="Consolas" w:cs="Consolas" w:eastAsia="Consolas" w:hAnsi="Consolas"/>
          <w:b/>
          <w:bCs/>
          <w:color w:val="097A5E"/>
          <w:sz w:val="22"/>
          <w:szCs w:val="22"/>
        </w:rPr>
        <w:t xml:space="preserve">A = Cl · L / D</w:t>
      </w:r>
    </w:p>
    <w:p>
      <w:pPr>
        <w:spacing w:after="160" w:before="140"/>
        <w:jc w:val="center"/>
      </w:pPr>
      <w:r>
        <w:rPr>
          <w:rFonts w:ascii="Consolas" w:cs="Consolas" w:eastAsia="Consolas" w:hAnsi="Consolas"/>
          <w:b/>
          <w:bCs/>
          <w:color w:val="097A5E"/>
          <w:sz w:val="22"/>
          <w:szCs w:val="22"/>
        </w:rPr>
        <w:t xml:space="preserve">A = (150 / 6×10⁷) m³/s · 50×10⁻⁶ m / 1×10⁻¹⁰ m²/s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El área necesaria es de 1,25 m².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El barrido de áreas confirma el valor: la relación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Cl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contra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A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es una recta que pasa por el origen con pendiente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D/L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de modo que el aumento de área requerido es proporcional al aumento de clearance buscado (150/120 = 1,25).</w:t>
      </w:r>
    </w:p>
    <w:tbl>
      <w:tblPr>
        <w:tblW w:type="dxa" w:w="7200"/>
        <w:tblBorders>
          <w:top w:val="single" w:color="B8C8C6" w:sz="4"/>
          <w:left w:val="none"/>
          <w:bottom w:val="single" w:color="B8C8C6" w:sz="4"/>
          <w:right w:val="none"/>
          <w:insideH w:val="single" w:color="D6E2DF" w:sz="2"/>
          <w:insideV w:val="none"/>
        </w:tblBorders>
      </w:tblPr>
      <w:tblGrid>
        <w:gridCol w:w="2400"/>
        <w:gridCol w:w="2400"/>
        <w:gridCol w:w="2400"/>
      </w:tblGrid>
      <w:tr>
        <w:trPr>
          <w:tblHeader/>
        </w:trPr>
        <w:tc>
          <w:tcPr>
            <w:tcW w:type="dxa" w:w="24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Área A (m²)</w:t>
            </w:r>
          </w:p>
        </w:tc>
        <w:tc>
          <w:tcPr>
            <w:tcW w:type="dxa" w:w="24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Clearance (mL/min)</w:t>
            </w:r>
          </w:p>
        </w:tc>
        <w:tc>
          <w:tcPr>
            <w:tcW w:type="dxa" w:w="24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Observación</w:t>
            </w:r>
          </w:p>
        </w:tc>
      </w:tr>
      <w:tr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120,00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Caso base</w:t>
            </w:r>
          </w:p>
        </w:tc>
      </w:tr>
      <w:tr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1,10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132,00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1,25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150,00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Objetivo alcanzado</w:t>
            </w:r>
          </w:p>
        </w:tc>
      </w:tr>
      <w:tr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1,50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180,00</w:t>
            </w:r>
          </w:p>
        </w:tc>
        <w:tc>
          <w:tcPr>
            <w:tcW w:type="dxa" w:w="24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spacing w:after="130" w:before="340"/>
      </w:pPr>
      <w:r>
        <w:rPr>
          <w:rFonts w:ascii="Cambria" w:cs="Cambria" w:eastAsia="Cambria" w:hAnsi="Cambria"/>
          <w:b/>
          <w:bCs/>
          <w:color w:val="10333C"/>
        </w:rPr>
        <w:t xml:space="preserve">4. Cálculo de eficiencia: Vitamina B12</w:t>
      </w:r>
    </w:p>
    <w:p>
      <w:pPr>
        <w:pStyle w:val="Heading2"/>
        <w:spacing w:after="130" w:before="240"/>
      </w:pPr>
      <w:r>
        <w:rPr>
          <w:rFonts w:ascii="Cambria" w:cs="Cambria" w:eastAsia="Cambria" w:hAnsi="Cambria"/>
          <w:b/>
          <w:bCs/>
          <w:color w:val="10333C"/>
        </w:rPr>
        <w:t xml:space="preserve">4.1 Coeficiente de difusión investigado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Se tomó como referencia el trabajo de Colton, Smith, Merrill y Farrell (1971), que midió las permeabilidades difusivas de membranas de celulosa regenerada con 15 solutos de peso molecular entre 58 y 68.000.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La Tabla I reporta difusividades en solución libre, sin membrana de por medio: salina isotónica a 37 °C y dilución infinita. Para la Vitamina B12 el valor adoptado es </w:t>
      </w: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3,79 × 10⁻¹⁰ m²/s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frente a 1,81 × 10⁻⁹ m²/s para la urea. Conviene aclarar que ese valor de la B12 no fue medido por los autores sino estimado mediante la correlación de Polson, con una precisión declarada de ± 15 %; el de la urea, en cambio, sí fue medido (± 3 %).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El coeficiente dentro del polímero es otra cosa y sale de otra tabla. La Tabla III reporta las resistencias de membrana medidas en Cuprophane PT-150 a 37 °C. Como todos los solutos se midieron sobre la misma membrana, el espesor y el área se cancelan y el cociente de resistencias da directamente el cociente de difusividades efectivas:</w:t>
      </w:r>
    </w:p>
    <w:p>
      <w:pPr>
        <w:spacing w:after="160" w:before="140"/>
        <w:jc w:val="center"/>
      </w:pPr>
      <w:r>
        <w:rPr>
          <w:rFonts w:ascii="Consolas" w:cs="Consolas" w:eastAsia="Consolas" w:hAnsi="Consolas"/>
          <w:b/>
          <w:bCs/>
          <w:color w:val="097A5E"/>
          <w:sz w:val="22"/>
          <w:szCs w:val="22"/>
        </w:rPr>
        <w:t xml:space="preserve">D_B12 / D_urea = R_m(urea) / R_m(B12) = 17,0 / 242 = 0,0702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Aplicado al coeficiente de la urea que da la consigna, resulta </w:t>
      </w: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D(B12) = 7,03 × 10⁻¹² m²/s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en la membrana.</w:t>
      </w:r>
    </w:p>
    <w:p>
      <w:pPr>
        <w:pStyle w:val="Heading2"/>
        <w:spacing w:after="130" w:before="240"/>
      </w:pPr>
      <w:r>
        <w:rPr>
          <w:rFonts w:ascii="Cambria" w:cs="Cambria" w:eastAsia="Cambria" w:hAnsi="Cambria"/>
          <w:b/>
          <w:bCs/>
          <w:color w:val="10333C"/>
        </w:rPr>
        <w:t xml:space="preserve">4.2 Tasa de clearance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Con la geometría base (L = 50 µm, A = 1 m²):</w:t>
      </w:r>
    </w:p>
    <w:tbl>
      <w:tblPr>
        <w:tblW w:type="dxa" w:w="8800"/>
        <w:tblBorders>
          <w:top w:val="single" w:color="B8C8C6" w:sz="4"/>
          <w:left w:val="none"/>
          <w:bottom w:val="single" w:color="B8C8C6" w:sz="4"/>
          <w:right w:val="none"/>
          <w:insideH w:val="single" w:color="D6E2DF" w:sz="2"/>
          <w:insideV w:val="none"/>
        </w:tblBorders>
      </w:tblPr>
      <w:tblGrid>
        <w:gridCol w:w="2600"/>
        <w:gridCol w:w="2200"/>
        <w:gridCol w:w="2000"/>
        <w:gridCol w:w="2000"/>
      </w:tblGrid>
      <w:tr>
        <w:trPr>
          <w:tblHeader/>
        </w:trPr>
        <w:tc>
          <w:tcPr>
            <w:tcW w:type="dxa" w:w="26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Soluto</w:t>
            </w:r>
          </w:p>
        </w:tc>
        <w:tc>
          <w:tcPr>
            <w:tcW w:type="dxa" w:w="22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M (g/mol)</w:t>
            </w:r>
          </w:p>
        </w:tc>
        <w:tc>
          <w:tcPr>
            <w:tcW w:type="dxa" w:w="20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D en membrana</w:t>
            </w:r>
          </w:p>
        </w:tc>
        <w:tc>
          <w:tcPr>
            <w:tcW w:type="dxa" w:w="2000"/>
            <w:shd w:fill="E3ECE9" w:val="clear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5A6A6E"/>
                <w:sz w:val="19"/>
                <w:szCs w:val="19"/>
              </w:rPr>
              <w:t xml:space="preserve">Cl (mL/min)</w:t>
            </w:r>
          </w:p>
        </w:tc>
      </w:tr>
      <w:tr>
        <w:tc>
          <w:tcPr>
            <w:tcW w:type="dxa" w:w="26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Urea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60,06</w:t>
            </w:r>
          </w:p>
        </w:tc>
        <w:tc>
          <w:tcPr>
            <w:tcW w:type="dxa" w:w="20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1,00 × 10⁻¹⁰</w:t>
            </w:r>
          </w:p>
        </w:tc>
        <w:tc>
          <w:tcPr>
            <w:tcW w:type="dxa" w:w="20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120,00</w:t>
            </w:r>
          </w:p>
        </w:tc>
      </w:tr>
      <w:tr>
        <w:tc>
          <w:tcPr>
            <w:tcW w:type="dxa" w:w="26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Vitamina B12</w:t>
            </w:r>
          </w:p>
        </w:tc>
        <w:tc>
          <w:tcPr>
            <w:tcW w:type="dxa" w:w="22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1355</w:t>
            </w:r>
          </w:p>
        </w:tc>
        <w:tc>
          <w:tcPr>
            <w:tcW w:type="dxa" w:w="20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7,03 × 10⁻¹²</w:t>
            </w:r>
          </w:p>
        </w:tc>
        <w:tc>
          <w:tcPr>
            <w:tcW w:type="dxa" w:w="2000"/>
            <w:tcMar>
              <w:top w:type="dxa" w:w="85"/>
              <w:left w:type="dxa" w:w="120"/>
              <w:bottom w:type="dxa" w:w="85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color w:val="10333C"/>
                <w:sz w:val="19"/>
                <w:szCs w:val="19"/>
              </w:rPr>
              <w:t xml:space="preserve">8,43</w:t>
            </w:r>
          </w:p>
        </w:tc>
      </w:tr>
    </w:tbl>
    <w:p>
      <w:pPr>
        <w:spacing w:after="220"/>
      </w:pPr>
      <w:r>
        <w:t xml:space="preserve"/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El clearance de la Vitamina B12 es de 8,43 mL/min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unas 14 veces menor que el de la urea.</w:t>
      </w:r>
    </w:p>
    <w:p>
      <w:pPr>
        <w:pStyle w:val="Heading2"/>
        <w:spacing w:after="130" w:before="240"/>
      </w:pPr>
      <w:r>
        <w:rPr>
          <w:rFonts w:ascii="Cambria" w:cs="Cambria" w:eastAsia="Cambria" w:hAnsi="Cambria"/>
          <w:b/>
          <w:bCs/>
          <w:color w:val="10333C"/>
        </w:rPr>
        <w:t xml:space="preserve">4.3 Por qué el clearance de la B12 es tanto menor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Como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Cl = D·A/L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y la geometría es idéntica para ambos solutos, el área y el espesor se cancelan al comparar. La diferencia de clearance </w:t>
      </w: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se explica enteramente por la diferencia de coeficientes de difusión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y ésta tiene dos causas.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Primera: el tamaño molecular.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Según Stokes–Einstein,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D = k_B·T / (6πη·r_h)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es decir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D ∝ 1/r_h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. Para una molécula compacta el radio escala como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M^(1/3)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de donde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D ∝ M^(−1/3)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. Con 1355 g/mol contra 60,06 el factor previsto es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(60,06/1355)^(1/3) = 0,354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. Los datos medidos en solución libre dan 0,209, algo menor, porque la B12 no es una esfera compacta.</w:t>
      </w:r>
    </w:p>
    <w:p>
      <w:pPr>
        <w:spacing w:after="130" w:line="300"/>
      </w:pP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Segunda, y dominante: la difusión estorbada dentro del poro.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El cociente cae de 0,209 en solución libre a 0,070 dentro de la membrana. Esa restricción adicional aparece porque la membrana no es agua sino un sólido con poros de radio finito, e introduce dos efectos que Stokes–Einstein no contempla: la </w:t>
      </w: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exclusión estérica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que impide al centro de la molécula acercarse a la pared más allá de su propio radio y le deja accesible sólo una fracción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(1 − λ)²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de la sección del poro, y el </w:t>
      </w:r>
      <w:r>
        <w:rPr>
          <w:rFonts w:ascii="Calibri" w:cs="Calibri" w:eastAsia="Calibri" w:hAnsi="Calibri"/>
          <w:b/>
          <w:bCs/>
          <w:color w:val="10333C"/>
          <w:sz w:val="22"/>
          <w:szCs w:val="22"/>
        </w:rPr>
        <w:t xml:space="preserve">impedimento hidrodinámico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que aumenta el arrastre viscoso por la cercanía de la pared. Ambos se combinan en el factor de Renkin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H(λ) = (1 − λ)²·(1 − 2,104λ + 2,089λ³ − 0,948λ⁵)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con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λ = r_soluto/r_poro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.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En síntesis: el escalado por tamaño molecular sobreestima el clearance de la B12 en un factor 5, y la caída real es mucho más abrupta que </w:t>
      </w:r>
      <w:r>
        <w:rPr>
          <w:rFonts w:ascii="Consolas" w:cs="Consolas" w:eastAsia="Consolas" w:hAnsi="Consolas"/>
          <w:color w:val="097A5E"/>
          <w:sz w:val="20"/>
          <w:szCs w:val="20"/>
        </w:rPr>
        <w:t xml:space="preserve">M^(−1/3)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porque la membrana discrimina activamente por tamaño. Es esa discriminación la que define el </w:t>
      </w:r>
      <w:r>
        <w:rPr>
          <w:rFonts w:ascii="Calibri" w:cs="Calibri" w:eastAsia="Calibri" w:hAnsi="Calibri"/>
          <w:i/>
          <w:iCs/>
          <w:color w:val="10333C"/>
          <w:sz w:val="22"/>
          <w:szCs w:val="22"/>
        </w:rPr>
        <w:t xml:space="preserve">cut-off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de la membrana y la que permite depurar moléculas pequeñas y medias reteniendo las proteínas plasmáticas.</w:t>
      </w:r>
    </w:p>
    <w:p>
      <w:pPr>
        <w:pStyle w:val="Heading1"/>
        <w:spacing w:after="130" w:before="340"/>
      </w:pPr>
      <w:r>
        <w:rPr>
          <w:rFonts w:ascii="Cambria" w:cs="Cambria" w:eastAsia="Cambria" w:hAnsi="Cambria"/>
          <w:b/>
          <w:bCs/>
          <w:color w:val="10333C"/>
        </w:rPr>
        <w:t xml:space="preserve">Bibliografía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Colton, C. K., Smith, K. A., Merrill, E. W. &amp; Farrell, P. C. (1971). Permeability Studies with Cellulosic Membranes. </w:t>
      </w:r>
      <w:r>
        <w:rPr>
          <w:rFonts w:ascii="Calibri" w:cs="Calibri" w:eastAsia="Calibri" w:hAnsi="Calibri"/>
          <w:i/>
          <w:iCs/>
          <w:color w:val="10333C"/>
          <w:sz w:val="22"/>
          <w:szCs w:val="22"/>
        </w:rPr>
        <w:t xml:space="preserve">Journal of Biomedical Materials Research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5(6), 459–488.</w:t>
      </w:r>
    </w:p>
    <w:p>
      <w:pPr>
        <w:spacing w:after="13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Ratner, B. D. &amp; Hoffman, A. S. (2020). </w:t>
      </w:r>
      <w:r>
        <w:rPr>
          <w:rFonts w:ascii="Calibri" w:cs="Calibri" w:eastAsia="Calibri" w:hAnsi="Calibri"/>
          <w:i/>
          <w:iCs/>
          <w:color w:val="10333C"/>
          <w:sz w:val="22"/>
          <w:szCs w:val="22"/>
        </w:rPr>
        <w:t xml:space="preserve">Biomaterials Science: An Introduction to Materials in Medicine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 (4.ª ed.). Academic Press.</w:t>
      </w:r>
    </w:p>
    <w:p>
      <w:pPr>
        <w:spacing w:after="0" w:line="300"/>
      </w:pPr>
      <w:r>
        <w:rPr>
          <w:rFonts w:ascii="Calibri" w:cs="Calibri" w:eastAsia="Calibri" w:hAnsi="Calibri"/>
          <w:color w:val="10333C"/>
          <w:sz w:val="22"/>
          <w:szCs w:val="22"/>
        </w:rPr>
        <w:t xml:space="preserve">Renkin, E. M. (1954). Filtration, diffusion and molecular sieving through porous cellulose membranes. </w:t>
      </w:r>
      <w:r>
        <w:rPr>
          <w:rFonts w:ascii="Calibri" w:cs="Calibri" w:eastAsia="Calibri" w:hAnsi="Calibri"/>
          <w:i/>
          <w:iCs/>
          <w:color w:val="10333C"/>
          <w:sz w:val="22"/>
          <w:szCs w:val="22"/>
        </w:rPr>
        <w:t xml:space="preserve">The Journal of General Physiology</w:t>
      </w:r>
      <w:r>
        <w:rPr>
          <w:rFonts w:ascii="Calibri" w:cs="Calibri" w:eastAsia="Calibri" w:hAnsi="Calibri"/>
          <w:color w:val="10333C"/>
          <w:sz w:val="22"/>
          <w:szCs w:val="22"/>
        </w:rPr>
        <w:t xml:space="preserve">, 38(2), 225–243.</w:t>
      </w:r>
    </w:p>
    <w:sectPr>
      <w:pgSz w:w="11906" w:h="16838" w:orient="portrait"/>
      <w:pgMar w:top="1400" w:right="1400" w:bottom="14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2026-08-27T23:15:57.686Z</dcterms:created>
  <dcterms:modified xsi:type="dcterms:W3CDTF">2026-08-27T23:15:57.687Z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