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097A5E"/>
          <w:spacing w:val="30"/>
          <w:sz w:val="17"/>
          <w:szCs w:val="17"/>
        </w:rPr>
        <w:t xml:space="preserve">ITBA · ÓRGANOS ARTIFICIALES</w:t>
      </w:r>
    </w:p>
    <w:p>
      <w:pPr>
        <w:spacing w:after="80"/>
      </w:pPr>
      <w:r>
        <w:rPr>
          <w:rFonts w:ascii="Cambria" w:cs="Cambria" w:eastAsia="Cambria" w:hAnsi="Cambria"/>
          <w:b/>
          <w:bCs/>
          <w:color w:val="10333C"/>
          <w:sz w:val="34"/>
          <w:szCs w:val="34"/>
        </w:rPr>
        <w:t xml:space="preserve">TP N°1 — Diseño y Simulación del Rendimiento de un Dializador</w:t>
      </w:r>
    </w:p>
    <w:p>
      <w:pPr>
        <w:pBdr>
          <w:bottom w:val="single" w:color="B8C8C6" w:sz="6"/>
        </w:pBdr>
        <w:spacing w:after="200"/>
      </w:pPr>
      <w:r>
        <w:rPr>
          <w:rFonts w:ascii="Cambria" w:cs="Cambria" w:eastAsia="Cambria" w:hAnsi="Cambria"/>
          <w:i/>
          <w:iCs/>
          <w:color w:val="5A6A6E"/>
          <w:sz w:val="24"/>
          <w:szCs w:val="24"/>
        </w:rPr>
        <w:t xml:space="preserve">Respuestas</w:t>
      </w:r>
    </w:p>
    <w:p>
      <w:pPr>
        <w:spacing w:after="130" w:line="300"/>
      </w:pPr>
      <w:r>
        <w:rPr>
          <w:rFonts w:ascii="Calibri" w:cs="Calibri" w:eastAsia="Calibri" w:hAnsi="Calibri"/>
          <w:color w:val="10333C"/>
          <w:sz w:val="22"/>
          <w:szCs w:val="22"/>
        </w:rPr>
        <w:t xml:space="preserve">Modelo empleado, según el Anexo I: transporte puramente difusivo a través de una placa plana de espesor constante, en estado estacionario, con gradiente lineal y dializado a concentración nula.</w:t>
      </w:r>
    </w:p>
    <w:p>
      <w:pPr>
        <w:spacing w:after="160" w:before="140"/>
        <w:jc w:val="center"/>
      </w:pPr>
      <w:r>
        <w:rPr>
          <w:rFonts w:ascii="Consolas" w:cs="Consolas" w:eastAsia="Consolas" w:hAnsi="Consolas"/>
          <w:b/>
          <w:bCs/>
          <w:color w:val="097A5E"/>
          <w:sz w:val="22"/>
          <w:szCs w:val="22"/>
        </w:rPr>
        <w:t xml:space="preserve">J = D · C / L        ṁ = J · A        Cl = ṁ / C = D · A / L</w:t>
      </w:r>
    </w:p>
    <w:p>
      <w:pPr>
        <w:pStyle w:val="Heading1"/>
        <w:spacing w:after="130" w:before="340"/>
      </w:pPr>
      <w:r>
        <w:rPr>
          <w:rFonts w:ascii="Cambria" w:cs="Cambria" w:eastAsia="Cambria" w:hAnsi="Cambria"/>
          <w:b/>
          <w:bCs/>
          <w:color w:val="10333C"/>
        </w:rPr>
        <w:t xml:space="preserve">1. Replicación del modelo base</w:t>
      </w:r>
    </w:p>
    <w:p>
      <w:pPr>
        <w:spacing w:after="130" w:line="300"/>
      </w:pPr>
      <w:r>
        <w:rPr>
          <w:rFonts w:ascii="Calibri" w:cs="Calibri" w:eastAsia="Calibri" w:hAnsi="Calibri"/>
          <w:color w:val="10333C"/>
          <w:sz w:val="22"/>
          <w:szCs w:val="22"/>
        </w:rPr>
        <w:t xml:space="preserve">Se ejecutó el código del Anexo I con los parámetros iniciales. Nota de unidades: 1 mM = 1 mmol/L = 1 mol/m³, por lo que la concentración no requiere factor de conversión al pasar al Sistema Internacional.</w:t>
      </w:r>
    </w:p>
    <w:tbl>
      <w:tblPr>
        <w:tblW w:type="dxa" w:w="8500"/>
        <w:tblBorders>
          <w:top w:val="single" w:color="B8C8C6" w:sz="4"/>
          <w:left w:val="none"/>
          <w:bottom w:val="single" w:color="B8C8C6" w:sz="4"/>
          <w:right w:val="none"/>
          <w:insideH w:val="single" w:color="D6E2DF" w:sz="2"/>
          <w:insideV w:val="none"/>
        </w:tblBorders>
      </w:tblPr>
      <w:tblGrid>
        <w:gridCol w:w="2900"/>
        <w:gridCol w:w="2900"/>
        <w:gridCol w:w="2700"/>
      </w:tblGrid>
      <w:tr>
        <w:trPr>
          <w:tblHeader/>
        </w:trPr>
        <w:tc>
          <w:tcPr>
            <w:tcW w:type="dxa" w:w="2900"/>
            <w:shd w:fill="E3ECE9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A6A6E"/>
                <w:sz w:val="19"/>
                <w:szCs w:val="19"/>
              </w:rPr>
              <w:t xml:space="preserve">Parámetro</w:t>
            </w:r>
          </w:p>
        </w:tc>
        <w:tc>
          <w:tcPr>
            <w:tcW w:type="dxa" w:w="2900"/>
            <w:shd w:fill="E3ECE9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A6A6E"/>
                <w:sz w:val="19"/>
                <w:szCs w:val="19"/>
              </w:rPr>
              <w:t xml:space="preserve">Valor</w:t>
            </w:r>
          </w:p>
        </w:tc>
        <w:tc>
          <w:tcPr>
            <w:tcW w:type="dxa" w:w="2700"/>
            <w:shd w:fill="E3ECE9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A6A6E"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W w:type="dxa" w:w="2900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0333C"/>
                <w:sz w:val="19"/>
                <w:szCs w:val="19"/>
              </w:rPr>
              <w:t xml:space="preserve">Concentración de urea</w:t>
            </w:r>
          </w:p>
        </w:tc>
        <w:tc>
          <w:tcPr>
            <w:tcW w:type="dxa" w:w="2900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0333C"/>
                <w:sz w:val="19"/>
                <w:szCs w:val="19"/>
              </w:rPr>
              <w:t xml:space="preserve">5 mM</w:t>
            </w:r>
          </w:p>
        </w:tc>
        <w:tc>
          <w:tcPr>
            <w:tcW w:type="dxa" w:w="2700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0333C"/>
                <w:sz w:val="19"/>
                <w:szCs w:val="19"/>
              </w:rPr>
              <w:t xml:space="preserve">J = 1,0000 × 10⁻⁵ mol/(m²·s)</w:t>
            </w:r>
          </w:p>
        </w:tc>
      </w:tr>
      <w:tr>
        <w:tc>
          <w:tcPr>
            <w:tcW w:type="dxa" w:w="2900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0333C"/>
                <w:sz w:val="19"/>
                <w:szCs w:val="19"/>
              </w:rPr>
              <w:t xml:space="preserve">Espesor L</w:t>
            </w:r>
          </w:p>
        </w:tc>
        <w:tc>
          <w:tcPr>
            <w:tcW w:type="dxa" w:w="2900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0333C"/>
                <w:sz w:val="19"/>
                <w:szCs w:val="19"/>
              </w:rPr>
              <w:t xml:space="preserve">50,0 µm</w:t>
            </w:r>
          </w:p>
        </w:tc>
        <w:tc>
          <w:tcPr>
            <w:tcW w:type="dxa" w:w="2700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0333C"/>
                <w:sz w:val="19"/>
                <w:szCs w:val="19"/>
              </w:rPr>
              <w:t xml:space="preserve">ṁ = 1,0000 × 10⁻⁵ mol/s</w:t>
            </w:r>
          </w:p>
        </w:tc>
      </w:tr>
      <w:tr>
        <w:tc>
          <w:tcPr>
            <w:tcW w:type="dxa" w:w="2900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0333C"/>
                <w:sz w:val="19"/>
                <w:szCs w:val="19"/>
              </w:rPr>
              <w:t xml:space="preserve">Área A</w:t>
            </w:r>
          </w:p>
        </w:tc>
        <w:tc>
          <w:tcPr>
            <w:tcW w:type="dxa" w:w="2900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0333C"/>
                <w:sz w:val="19"/>
                <w:szCs w:val="19"/>
              </w:rPr>
              <w:t xml:space="preserve">1,0 m²</w:t>
            </w:r>
          </w:p>
        </w:tc>
        <w:tc>
          <w:tcPr>
            <w:tcW w:type="dxa" w:w="2700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0333C"/>
                <w:sz w:val="19"/>
                <w:szCs w:val="19"/>
              </w:rPr>
              <w:t xml:space="preserve">Cl = 2,0000 × 10⁻⁶ m³/s</w:t>
            </w:r>
          </w:p>
        </w:tc>
      </w:tr>
      <w:tr>
        <w:tc>
          <w:tcPr>
            <w:tcW w:type="dxa" w:w="2900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0333C"/>
                <w:sz w:val="19"/>
                <w:szCs w:val="19"/>
              </w:rPr>
              <w:t xml:space="preserve">Coeficiente D</w:t>
            </w:r>
          </w:p>
        </w:tc>
        <w:tc>
          <w:tcPr>
            <w:tcW w:type="dxa" w:w="2900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0333C"/>
                <w:sz w:val="19"/>
                <w:szCs w:val="19"/>
              </w:rPr>
              <w:t xml:space="preserve">1 × 10⁻¹⁰ m²/s</w:t>
            </w:r>
          </w:p>
        </w:tc>
        <w:tc>
          <w:tcPr>
            <w:tcW w:type="dxa" w:w="2700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0333C"/>
                <w:sz w:val="19"/>
                <w:szCs w:val="19"/>
              </w:rPr>
              <w:t xml:space="preserve">Cl = 120,00 mL/min</w:t>
            </w:r>
          </w:p>
        </w:tc>
      </w:tr>
    </w:tbl>
    <w:p>
      <w:pPr>
        <w:spacing w:after="220"/>
      </w:pPr>
      <w:r>
        <w:t xml:space="preserve"/>
      </w:r>
    </w:p>
    <w:p>
      <w:pPr>
        <w:spacing w:after="130" w:line="300"/>
      </w:pPr>
      <w:r>
        <w:rPr>
          <w:rFonts w:ascii="Calibri" w:cs="Calibri" w:eastAsia="Calibri" w:hAnsi="Calibri"/>
          <w:b/>
          <w:bCs/>
          <w:color w:val="10333C"/>
          <w:sz w:val="22"/>
          <w:szCs w:val="22"/>
        </w:rPr>
        <w:t xml:space="preserve">El resultado obtenido es de 120,00 mL/min</w:t>
      </w:r>
      <w:r>
        <w:rPr>
          <w:rFonts w:ascii="Calibri" w:cs="Calibri" w:eastAsia="Calibri" w:hAnsi="Calibri"/>
          <w:color w:val="10333C"/>
          <w:sz w:val="22"/>
          <w:szCs w:val="22"/>
        </w:rPr>
        <w:t xml:space="preserve">, que coincide con el valor de aproximadamente 120 mL/min indicado en la consigna. El modelo queda verificado.</w:t>
      </w:r>
    </w:p>
    <w:p>
      <w:pPr>
        <w:pStyle w:val="Heading1"/>
        <w:spacing w:after="130" w:before="340"/>
      </w:pPr>
      <w:r>
        <w:rPr>
          <w:rFonts w:ascii="Cambria" w:cs="Cambria" w:eastAsia="Cambria" w:hAnsi="Cambria"/>
          <w:b/>
          <w:bCs/>
          <w:color w:val="10333C"/>
        </w:rPr>
        <w:t xml:space="preserve">2. Análisis de sensibilidad</w:t>
      </w:r>
    </w:p>
    <w:p>
      <w:pPr>
        <w:spacing w:after="130" w:line="300"/>
      </w:pPr>
      <w:r>
        <w:rPr>
          <w:rFonts w:ascii="Calibri" w:cs="Calibri" w:eastAsia="Calibri" w:hAnsi="Calibri"/>
          <w:color w:val="10333C"/>
          <w:sz w:val="22"/>
          <w:szCs w:val="22"/>
        </w:rPr>
        <w:t xml:space="preserve">Manteniendo el área en 1 m², se simuló el clearance para los espesores pedidos. Se agregó un quinto valor de 150 µm para completar la tabla de cinco datos.</w:t>
      </w:r>
    </w:p>
    <w:tbl>
      <w:tblPr>
        <w:tblW w:type="dxa" w:w="8500"/>
        <w:tblBorders>
          <w:top w:val="single" w:color="B8C8C6" w:sz="4"/>
          <w:left w:val="none"/>
          <w:bottom w:val="single" w:color="B8C8C6" w:sz="4"/>
          <w:right w:val="none"/>
          <w:insideH w:val="single" w:color="D6E2DF" w:sz="2"/>
          <w:insideV w:val="none"/>
        </w:tblBorders>
      </w:tblPr>
      <w:tblGrid>
        <w:gridCol w:w="1800"/>
        <w:gridCol w:w="2400"/>
        <w:gridCol w:w="2100"/>
        <w:gridCol w:w="2200"/>
      </w:tblGrid>
      <w:tr>
        <w:trPr>
          <w:tblHeader/>
        </w:trPr>
        <w:tc>
          <w:tcPr>
            <w:tcW w:type="dxa" w:w="1800"/>
            <w:shd w:fill="E3ECE9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A6A6E"/>
                <w:sz w:val="19"/>
                <w:szCs w:val="19"/>
              </w:rPr>
              <w:t xml:space="preserve">Espesor L (µm)</w:t>
            </w:r>
          </w:p>
        </w:tc>
        <w:tc>
          <w:tcPr>
            <w:tcW w:type="dxa" w:w="2400"/>
            <w:shd w:fill="E3ECE9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A6A6E"/>
                <w:sz w:val="19"/>
                <w:szCs w:val="19"/>
              </w:rPr>
              <w:t xml:space="preserve">Clearance (mL/min)</w:t>
            </w:r>
          </w:p>
        </w:tc>
        <w:tc>
          <w:tcPr>
            <w:tcW w:type="dxa" w:w="2100"/>
            <w:shd w:fill="E3ECE9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A6A6E"/>
                <w:sz w:val="19"/>
                <w:szCs w:val="19"/>
              </w:rPr>
              <w:t xml:space="preserve">Relativo a 50 µm</w:t>
            </w:r>
          </w:p>
        </w:tc>
        <w:tc>
          <w:tcPr>
            <w:tcW w:type="dxa" w:w="2200"/>
            <w:shd w:fill="E3ECE9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A6A6E"/>
                <w:sz w:val="19"/>
                <w:szCs w:val="19"/>
              </w:rPr>
              <w:t xml:space="preserve">J (mol/m²·s)</w:t>
            </w:r>
          </w:p>
        </w:tc>
      </w:tr>
      <w:tr>
        <w:tc>
          <w:tcPr>
            <w:tcW w:type="dxa" w:w="1800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0333C"/>
                <w:sz w:val="19"/>
                <w:szCs w:val="19"/>
              </w:rPr>
              <w:t xml:space="preserve">25</w:t>
            </w:r>
          </w:p>
        </w:tc>
        <w:tc>
          <w:tcPr>
            <w:tcW w:type="dxa" w:w="2400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0333C"/>
                <w:sz w:val="19"/>
                <w:szCs w:val="19"/>
              </w:rPr>
              <w:t xml:space="preserve">240,00</w:t>
            </w:r>
          </w:p>
        </w:tc>
        <w:tc>
          <w:tcPr>
            <w:tcW w:type="dxa" w:w="2100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0333C"/>
                <w:sz w:val="19"/>
                <w:szCs w:val="19"/>
              </w:rPr>
              <w:t xml:space="preserve">× 2,00</w:t>
            </w:r>
          </w:p>
        </w:tc>
        <w:tc>
          <w:tcPr>
            <w:tcW w:type="dxa" w:w="2200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0333C"/>
                <w:sz w:val="19"/>
                <w:szCs w:val="19"/>
              </w:rPr>
              <w:t xml:space="preserve">2,000 × 10⁻⁵</w:t>
            </w:r>
          </w:p>
        </w:tc>
      </w:tr>
      <w:tr>
        <w:tc>
          <w:tcPr>
            <w:tcW w:type="dxa" w:w="1800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0333C"/>
                <w:sz w:val="19"/>
                <w:szCs w:val="19"/>
              </w:rPr>
              <w:t xml:space="preserve">50</w:t>
            </w:r>
          </w:p>
        </w:tc>
        <w:tc>
          <w:tcPr>
            <w:tcW w:type="dxa" w:w="2400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0333C"/>
                <w:sz w:val="19"/>
                <w:szCs w:val="19"/>
              </w:rPr>
              <w:t xml:space="preserve">120,00</w:t>
            </w:r>
          </w:p>
        </w:tc>
        <w:tc>
          <w:tcPr>
            <w:tcW w:type="dxa" w:w="2100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0333C"/>
                <w:sz w:val="19"/>
                <w:szCs w:val="19"/>
              </w:rPr>
              <w:t xml:space="preserve">× 1,00</w:t>
            </w:r>
          </w:p>
        </w:tc>
        <w:tc>
          <w:tcPr>
            <w:tcW w:type="dxa" w:w="2200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0333C"/>
                <w:sz w:val="19"/>
                <w:szCs w:val="19"/>
              </w:rPr>
              <w:t xml:space="preserve">1,000 × 10⁻⁵</w:t>
            </w:r>
          </w:p>
        </w:tc>
      </w:tr>
      <w:tr>
        <w:tc>
          <w:tcPr>
            <w:tcW w:type="dxa" w:w="1800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0333C"/>
                <w:sz w:val="19"/>
                <w:szCs w:val="19"/>
              </w:rPr>
              <w:t xml:space="preserve">75</w:t>
            </w:r>
          </w:p>
        </w:tc>
        <w:tc>
          <w:tcPr>
            <w:tcW w:type="dxa" w:w="2400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0333C"/>
                <w:sz w:val="19"/>
                <w:szCs w:val="19"/>
              </w:rPr>
              <w:t xml:space="preserve">80,00</w:t>
            </w:r>
          </w:p>
        </w:tc>
        <w:tc>
          <w:tcPr>
            <w:tcW w:type="dxa" w:w="2100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0333C"/>
                <w:sz w:val="19"/>
                <w:szCs w:val="19"/>
              </w:rPr>
              <w:t xml:space="preserve">× 0,67</w:t>
            </w:r>
          </w:p>
        </w:tc>
        <w:tc>
          <w:tcPr>
            <w:tcW w:type="dxa" w:w="2200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0333C"/>
                <w:sz w:val="19"/>
                <w:szCs w:val="19"/>
              </w:rPr>
              <w:t xml:space="preserve">6,667 × 10⁻⁶</w:t>
            </w:r>
          </w:p>
        </w:tc>
      </w:tr>
      <w:tr>
        <w:tc>
          <w:tcPr>
            <w:tcW w:type="dxa" w:w="1800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0333C"/>
                <w:sz w:val="19"/>
                <w:szCs w:val="19"/>
              </w:rPr>
              <w:t xml:space="preserve">100</w:t>
            </w:r>
          </w:p>
        </w:tc>
        <w:tc>
          <w:tcPr>
            <w:tcW w:type="dxa" w:w="2400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0333C"/>
                <w:sz w:val="19"/>
                <w:szCs w:val="19"/>
              </w:rPr>
              <w:t xml:space="preserve">60,00</w:t>
            </w:r>
          </w:p>
        </w:tc>
        <w:tc>
          <w:tcPr>
            <w:tcW w:type="dxa" w:w="2100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0333C"/>
                <w:sz w:val="19"/>
                <w:szCs w:val="19"/>
              </w:rPr>
              <w:t xml:space="preserve">× 0,50</w:t>
            </w:r>
          </w:p>
        </w:tc>
        <w:tc>
          <w:tcPr>
            <w:tcW w:type="dxa" w:w="2200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0333C"/>
                <w:sz w:val="19"/>
                <w:szCs w:val="19"/>
              </w:rPr>
              <w:t xml:space="preserve">5,000 × 10⁻⁶</w:t>
            </w:r>
          </w:p>
        </w:tc>
      </w:tr>
      <w:tr>
        <w:tc>
          <w:tcPr>
            <w:tcW w:type="dxa" w:w="1800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0333C"/>
                <w:sz w:val="19"/>
                <w:szCs w:val="19"/>
              </w:rPr>
              <w:t xml:space="preserve">150</w:t>
            </w:r>
          </w:p>
        </w:tc>
        <w:tc>
          <w:tcPr>
            <w:tcW w:type="dxa" w:w="2400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0333C"/>
                <w:sz w:val="19"/>
                <w:szCs w:val="19"/>
              </w:rPr>
              <w:t xml:space="preserve">40,00</w:t>
            </w:r>
          </w:p>
        </w:tc>
        <w:tc>
          <w:tcPr>
            <w:tcW w:type="dxa" w:w="2100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0333C"/>
                <w:sz w:val="19"/>
                <w:szCs w:val="19"/>
              </w:rPr>
              <w:t xml:space="preserve">× 0,33</w:t>
            </w:r>
          </w:p>
        </w:tc>
        <w:tc>
          <w:tcPr>
            <w:tcW w:type="dxa" w:w="2200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0333C"/>
                <w:sz w:val="19"/>
                <w:szCs w:val="19"/>
              </w:rPr>
              <w:t xml:space="preserve">3,333 × 10⁻⁶</w:t>
            </w:r>
          </w:p>
        </w:tc>
      </w:tr>
    </w:tbl>
    <w:p>
      <w:pPr>
        <w:spacing w:after="220"/>
      </w:pPr>
      <w:r>
        <w:t xml:space="preserve"/>
      </w:r>
    </w:p>
    <w:p>
      <w:pPr>
        <w:spacing w:after="130" w:line="300"/>
      </w:pPr>
      <w:r>
        <w:rPr>
          <w:rFonts w:ascii="Calibri" w:cs="Calibri" w:eastAsia="Calibri" w:hAnsi="Calibri"/>
          <w:b/>
          <w:bCs/>
          <w:color w:val="10333C"/>
          <w:sz w:val="22"/>
          <w:szCs w:val="22"/>
        </w:rPr>
        <w:t xml:space="preserve">Comparación:</w:t>
      </w:r>
      <w:r>
        <w:rPr>
          <w:rFonts w:ascii="Calibri" w:cs="Calibri" w:eastAsia="Calibri" w:hAnsi="Calibri"/>
          <w:color w:val="10333C"/>
          <w:sz w:val="22"/>
          <w:szCs w:val="22"/>
        </w:rPr>
        <w:t xml:space="preserve"> la relación es hiperbólica y no lineal, ya que </w:t>
      </w:r>
      <w:r>
        <w:rPr>
          <w:rFonts w:ascii="Consolas" w:cs="Consolas" w:eastAsia="Consolas" w:hAnsi="Consolas"/>
          <w:color w:val="097A5E"/>
          <w:sz w:val="20"/>
          <w:szCs w:val="20"/>
        </w:rPr>
        <w:t xml:space="preserve">Cl ∝ 1/L</w:t>
      </w:r>
      <w:r>
        <w:rPr>
          <w:rFonts w:ascii="Calibri" w:cs="Calibri" w:eastAsia="Calibri" w:hAnsi="Calibri"/>
          <w:color w:val="10333C"/>
          <w:sz w:val="22"/>
          <w:szCs w:val="22"/>
        </w:rPr>
        <w:t xml:space="preserve">. Duplicar el espesor no resta una cantidad fija de clearance sino que lo divide por dos: al pasar de 25 a 50 µm el clearance cae de 240 a 120 mL/min, y de 50 a 100 µm cae de 120 a 60 mL/min. Reducir el espesor es por lo tanto la vía más eficaz para aumentar el rendimiento difusivo de la membrana.</w:t>
      </w:r>
    </w:p>
    <w:p>
      <w:pPr>
        <w:pStyle w:val="Heading1"/>
        <w:spacing w:after="130" w:before="340"/>
      </w:pPr>
      <w:r>
        <w:rPr>
          <w:rFonts w:ascii="Cambria" w:cs="Cambria" w:eastAsia="Cambria" w:hAnsi="Cambria"/>
          <w:b/>
          <w:bCs/>
          <w:color w:val="10333C"/>
        </w:rPr>
        <w:t xml:space="preserve">3. Desafío de optimización</w:t>
      </w:r>
    </w:p>
    <w:p>
      <w:pPr>
        <w:spacing w:after="130" w:line="300"/>
      </w:pPr>
      <w:r>
        <w:rPr>
          <w:rFonts w:ascii="Calibri" w:cs="Calibri" w:eastAsia="Calibri" w:hAnsi="Calibri"/>
          <w:color w:val="10333C"/>
          <w:sz w:val="22"/>
          <w:szCs w:val="22"/>
        </w:rPr>
        <w:t xml:space="preserve">Para alcanzar 150 mL/min manteniendo el espesor en 50 µm se despeja el área de la expresión del clearance:</w:t>
      </w:r>
    </w:p>
    <w:p>
      <w:pPr>
        <w:spacing w:after="160" w:before="140"/>
        <w:jc w:val="center"/>
      </w:pPr>
      <w:r>
        <w:rPr>
          <w:rFonts w:ascii="Consolas" w:cs="Consolas" w:eastAsia="Consolas" w:hAnsi="Consolas"/>
          <w:b/>
          <w:bCs/>
          <w:color w:val="097A5E"/>
          <w:sz w:val="22"/>
          <w:szCs w:val="22"/>
        </w:rPr>
        <w:t xml:space="preserve">A = Cl · L / D</w:t>
      </w:r>
    </w:p>
    <w:p>
      <w:pPr>
        <w:spacing w:after="160" w:before="140"/>
        <w:jc w:val="center"/>
      </w:pPr>
      <w:r>
        <w:rPr>
          <w:rFonts w:ascii="Consolas" w:cs="Consolas" w:eastAsia="Consolas" w:hAnsi="Consolas"/>
          <w:b/>
          <w:bCs/>
          <w:color w:val="097A5E"/>
          <w:sz w:val="22"/>
          <w:szCs w:val="22"/>
        </w:rPr>
        <w:t xml:space="preserve">A = (150 / 6×10⁷) m³/s · 50×10⁻⁶ m / 1×10⁻¹⁰ m²/s</w:t>
      </w:r>
    </w:p>
    <w:p>
      <w:pPr>
        <w:spacing w:after="130" w:line="300"/>
      </w:pPr>
      <w:r>
        <w:rPr>
          <w:rFonts w:ascii="Calibri" w:cs="Calibri" w:eastAsia="Calibri" w:hAnsi="Calibri"/>
          <w:b/>
          <w:bCs/>
          <w:color w:val="10333C"/>
          <w:sz w:val="22"/>
          <w:szCs w:val="22"/>
        </w:rPr>
        <w:t xml:space="preserve">El área necesaria es de 1,25 m².</w:t>
      </w:r>
      <w:r>
        <w:rPr>
          <w:rFonts w:ascii="Calibri" w:cs="Calibri" w:eastAsia="Calibri" w:hAnsi="Calibri"/>
          <w:color w:val="10333C"/>
          <w:sz w:val="22"/>
          <w:szCs w:val="22"/>
        </w:rPr>
        <w:t xml:space="preserve"> El barrido de áreas confirma el valor: la relación </w:t>
      </w:r>
      <w:r>
        <w:rPr>
          <w:rFonts w:ascii="Consolas" w:cs="Consolas" w:eastAsia="Consolas" w:hAnsi="Consolas"/>
          <w:color w:val="097A5E"/>
          <w:sz w:val="20"/>
          <w:szCs w:val="20"/>
        </w:rPr>
        <w:t xml:space="preserve">Cl</w:t>
      </w:r>
      <w:r>
        <w:rPr>
          <w:rFonts w:ascii="Calibri" w:cs="Calibri" w:eastAsia="Calibri" w:hAnsi="Calibri"/>
          <w:color w:val="10333C"/>
          <w:sz w:val="22"/>
          <w:szCs w:val="22"/>
        </w:rPr>
        <w:t xml:space="preserve"> contra </w:t>
      </w:r>
      <w:r>
        <w:rPr>
          <w:rFonts w:ascii="Consolas" w:cs="Consolas" w:eastAsia="Consolas" w:hAnsi="Consolas"/>
          <w:color w:val="097A5E"/>
          <w:sz w:val="20"/>
          <w:szCs w:val="20"/>
        </w:rPr>
        <w:t xml:space="preserve">A</w:t>
      </w:r>
      <w:r>
        <w:rPr>
          <w:rFonts w:ascii="Calibri" w:cs="Calibri" w:eastAsia="Calibri" w:hAnsi="Calibri"/>
          <w:color w:val="10333C"/>
          <w:sz w:val="22"/>
          <w:szCs w:val="22"/>
        </w:rPr>
        <w:t xml:space="preserve"> es una recta que pasa por el origen con pendiente </w:t>
      </w:r>
      <w:r>
        <w:rPr>
          <w:rFonts w:ascii="Consolas" w:cs="Consolas" w:eastAsia="Consolas" w:hAnsi="Consolas"/>
          <w:color w:val="097A5E"/>
          <w:sz w:val="20"/>
          <w:szCs w:val="20"/>
        </w:rPr>
        <w:t xml:space="preserve">D/L</w:t>
      </w:r>
      <w:r>
        <w:rPr>
          <w:rFonts w:ascii="Calibri" w:cs="Calibri" w:eastAsia="Calibri" w:hAnsi="Calibri"/>
          <w:color w:val="10333C"/>
          <w:sz w:val="22"/>
          <w:szCs w:val="22"/>
        </w:rPr>
        <w:t xml:space="preserve">, de modo que el aumento de área requerido es proporcional al aumento de clearance buscado (150/120 = 1,25).</w:t>
      </w:r>
    </w:p>
    <w:tbl>
      <w:tblPr>
        <w:tblW w:type="dxa" w:w="7200"/>
        <w:tblBorders>
          <w:top w:val="single" w:color="B8C8C6" w:sz="4"/>
          <w:left w:val="none"/>
          <w:bottom w:val="single" w:color="B8C8C6" w:sz="4"/>
          <w:right w:val="none"/>
          <w:insideH w:val="single" w:color="D6E2DF" w:sz="2"/>
          <w:insideV w:val="none"/>
        </w:tblBorders>
      </w:tblPr>
      <w:tblGrid>
        <w:gridCol w:w="2400"/>
        <w:gridCol w:w="2400"/>
        <w:gridCol w:w="2400"/>
      </w:tblGrid>
      <w:tr>
        <w:trPr>
          <w:tblHeader/>
        </w:trPr>
        <w:tc>
          <w:tcPr>
            <w:tcW w:type="dxa" w:w="2400"/>
            <w:shd w:fill="E3ECE9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A6A6E"/>
                <w:sz w:val="19"/>
                <w:szCs w:val="19"/>
              </w:rPr>
              <w:t xml:space="preserve">Área A (m²)</w:t>
            </w:r>
          </w:p>
        </w:tc>
        <w:tc>
          <w:tcPr>
            <w:tcW w:type="dxa" w:w="2400"/>
            <w:shd w:fill="E3ECE9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A6A6E"/>
                <w:sz w:val="19"/>
                <w:szCs w:val="19"/>
              </w:rPr>
              <w:t xml:space="preserve">Clearance (mL/min)</w:t>
            </w:r>
          </w:p>
        </w:tc>
        <w:tc>
          <w:tcPr>
            <w:tcW w:type="dxa" w:w="2400"/>
            <w:shd w:fill="E3ECE9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A6A6E"/>
                <w:sz w:val="19"/>
                <w:szCs w:val="19"/>
              </w:rPr>
              <w:t xml:space="preserve">Observación</w:t>
            </w:r>
          </w:p>
        </w:tc>
      </w:tr>
      <w:tr>
        <w:tc>
          <w:tcPr>
            <w:tcW w:type="dxa" w:w="2400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0333C"/>
                <w:sz w:val="19"/>
                <w:szCs w:val="19"/>
              </w:rPr>
              <w:t xml:space="preserve">1,00</w:t>
            </w:r>
          </w:p>
        </w:tc>
        <w:tc>
          <w:tcPr>
            <w:tcW w:type="dxa" w:w="2400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0333C"/>
                <w:sz w:val="19"/>
                <w:szCs w:val="19"/>
              </w:rPr>
              <w:t xml:space="preserve">120,00</w:t>
            </w:r>
          </w:p>
        </w:tc>
        <w:tc>
          <w:tcPr>
            <w:tcW w:type="dxa" w:w="2400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0333C"/>
                <w:sz w:val="19"/>
                <w:szCs w:val="19"/>
              </w:rPr>
              <w:t xml:space="preserve">Caso base</w:t>
            </w:r>
          </w:p>
        </w:tc>
      </w:tr>
      <w:tr>
        <w:tc>
          <w:tcPr>
            <w:tcW w:type="dxa" w:w="2400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0333C"/>
                <w:sz w:val="19"/>
                <w:szCs w:val="19"/>
              </w:rPr>
              <w:t xml:space="preserve">1,10</w:t>
            </w:r>
          </w:p>
        </w:tc>
        <w:tc>
          <w:tcPr>
            <w:tcW w:type="dxa" w:w="2400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0333C"/>
                <w:sz w:val="19"/>
                <w:szCs w:val="19"/>
              </w:rPr>
              <w:t xml:space="preserve">132,00</w:t>
            </w:r>
          </w:p>
        </w:tc>
        <w:tc>
          <w:tcPr>
            <w:tcW w:type="dxa" w:w="2400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0333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0333C"/>
                <w:sz w:val="19"/>
                <w:szCs w:val="19"/>
              </w:rPr>
              <w:t xml:space="preserve">1,25</w:t>
            </w:r>
          </w:p>
        </w:tc>
        <w:tc>
          <w:tcPr>
            <w:tcW w:type="dxa" w:w="2400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0333C"/>
                <w:sz w:val="19"/>
                <w:szCs w:val="19"/>
              </w:rPr>
              <w:t xml:space="preserve">150,00</w:t>
            </w:r>
          </w:p>
        </w:tc>
        <w:tc>
          <w:tcPr>
            <w:tcW w:type="dxa" w:w="2400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0333C"/>
                <w:sz w:val="19"/>
                <w:szCs w:val="19"/>
              </w:rPr>
              <w:t xml:space="preserve">Objetivo alcanzado</w:t>
            </w:r>
          </w:p>
        </w:tc>
      </w:tr>
      <w:tr>
        <w:tc>
          <w:tcPr>
            <w:tcW w:type="dxa" w:w="2400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0333C"/>
                <w:sz w:val="19"/>
                <w:szCs w:val="19"/>
              </w:rPr>
              <w:t xml:space="preserve">1,50</w:t>
            </w:r>
          </w:p>
        </w:tc>
        <w:tc>
          <w:tcPr>
            <w:tcW w:type="dxa" w:w="2400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0333C"/>
                <w:sz w:val="19"/>
                <w:szCs w:val="19"/>
              </w:rPr>
              <w:t xml:space="preserve">180,00</w:t>
            </w:r>
          </w:p>
        </w:tc>
        <w:tc>
          <w:tcPr>
            <w:tcW w:type="dxa" w:w="2400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0333C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30" w:before="340"/>
      </w:pPr>
      <w:r>
        <w:rPr>
          <w:rFonts w:ascii="Cambria" w:cs="Cambria" w:eastAsia="Cambria" w:hAnsi="Cambria"/>
          <w:b/>
          <w:bCs/>
          <w:color w:val="10333C"/>
        </w:rPr>
        <w:t xml:space="preserve">4. Cálculo de eficiencia: Vitamina B12</w:t>
      </w:r>
    </w:p>
    <w:p>
      <w:pPr>
        <w:pStyle w:val="Heading2"/>
        <w:spacing w:after="130" w:before="240"/>
      </w:pPr>
      <w:r>
        <w:rPr>
          <w:rFonts w:ascii="Cambria" w:cs="Cambria" w:eastAsia="Cambria" w:hAnsi="Cambria"/>
          <w:b/>
          <w:bCs/>
          <w:color w:val="10333C"/>
        </w:rPr>
        <w:t xml:space="preserve">4.1 Coeficiente de difusión investigado</w:t>
      </w:r>
    </w:p>
    <w:p>
      <w:pPr>
        <w:spacing w:after="130" w:line="300"/>
      </w:pPr>
      <w:r>
        <w:rPr>
          <w:rFonts w:ascii="Calibri" w:cs="Calibri" w:eastAsia="Calibri" w:hAnsi="Calibri"/>
          <w:color w:val="10333C"/>
          <w:sz w:val="22"/>
          <w:szCs w:val="22"/>
        </w:rPr>
        <w:t xml:space="preserve">Se tomó el trabajo de Colton, Smith, Merrill y Farrell (1971), que midió permeabilidades difusivas de membranas de celulosa regenerada con 15 solutos. El polímero elegido es el </w:t>
      </w:r>
      <w:r>
        <w:rPr>
          <w:rFonts w:ascii="Calibri" w:cs="Calibri" w:eastAsia="Calibri" w:hAnsi="Calibri"/>
          <w:b/>
          <w:bCs/>
          <w:color w:val="10333C"/>
          <w:sz w:val="22"/>
          <w:szCs w:val="22"/>
        </w:rPr>
        <w:t xml:space="preserve">Cuprophane PT-150</w:t>
      </w:r>
      <w:r>
        <w:rPr>
          <w:rFonts w:ascii="Calibri" w:cs="Calibri" w:eastAsia="Calibri" w:hAnsi="Calibri"/>
          <w:color w:val="10333C"/>
          <w:sz w:val="22"/>
          <w:szCs w:val="22"/>
        </w:rPr>
        <w:t xml:space="preserve">, una celulosa regenerada de uso corriente en hemodiálisis, medido a 37 °C.</w:t>
      </w:r>
    </w:p>
    <w:p>
      <w:pPr>
        <w:spacing w:after="130" w:line="300"/>
      </w:pPr>
      <w:r>
        <w:rPr>
          <w:rFonts w:ascii="Calibri" w:cs="Calibri" w:eastAsia="Calibri" w:hAnsi="Calibri"/>
          <w:color w:val="10333C"/>
          <w:sz w:val="22"/>
          <w:szCs w:val="22"/>
        </w:rPr>
        <w:t xml:space="preserve">El trabajo tabula la resistencia de membrana y no el coeficiente de difusión, pero la conversión es una división: la permeabilidad es la inversa de la resistencia, y </w:t>
      </w:r>
      <w:r>
        <w:rPr>
          <w:rFonts w:ascii="Consolas" w:cs="Consolas" w:eastAsia="Consolas" w:hAnsi="Consolas"/>
          <w:color w:val="097A5E"/>
          <w:sz w:val="20"/>
          <w:szCs w:val="20"/>
        </w:rPr>
        <w:t xml:space="preserve">P = D / L</w:t>
      </w:r>
      <w:r>
        <w:rPr>
          <w:rFonts w:ascii="Calibri" w:cs="Calibri" w:eastAsia="Calibri" w:hAnsi="Calibri"/>
          <w:color w:val="10333C"/>
          <w:sz w:val="22"/>
          <w:szCs w:val="22"/>
        </w:rPr>
        <w:t xml:space="preserve">, de modo que</w:t>
      </w:r>
    </w:p>
    <w:p>
      <w:pPr>
        <w:spacing w:after="160" w:before="140"/>
        <w:jc w:val="center"/>
      </w:pPr>
      <w:r>
        <w:rPr>
          <w:rFonts w:ascii="Consolas" w:cs="Consolas" w:eastAsia="Consolas" w:hAnsi="Consolas"/>
          <w:b/>
          <w:bCs/>
          <w:color w:val="097A5E"/>
          <w:sz w:val="22"/>
          <w:szCs w:val="22"/>
        </w:rPr>
        <w:t xml:space="preserve">D = t_m / R_m = 27,9 µm / 242 min·cm⁻¹</w:t>
      </w:r>
    </w:p>
    <w:p>
      <w:pPr>
        <w:spacing w:after="130" w:line="300"/>
      </w:pPr>
      <w:r>
        <w:rPr>
          <w:rFonts w:ascii="Calibri" w:cs="Calibri" w:eastAsia="Calibri" w:hAnsi="Calibri"/>
          <w:b/>
          <w:bCs/>
          <w:color w:val="10333C"/>
          <w:sz w:val="22"/>
          <w:szCs w:val="22"/>
        </w:rPr>
        <w:t xml:space="preserve">El coeficiente de difusión de la Vitamina B12 en celulosa regenerada es 1,92 × 10⁻¹¹ m²/s</w:t>
      </w:r>
      <w:r>
        <w:rPr>
          <w:rFonts w:ascii="Calibri" w:cs="Calibri" w:eastAsia="Calibri" w:hAnsi="Calibri"/>
          <w:color w:val="10333C"/>
          <w:sz w:val="22"/>
          <w:szCs w:val="22"/>
        </w:rPr>
        <w:t xml:space="preserve"> (Tabla III). Dividiendo por el coeficiente de partición </w:t>
      </w:r>
      <w:r>
        <w:rPr>
          <w:rFonts w:ascii="Consolas" w:cs="Consolas" w:eastAsia="Consolas" w:hAnsi="Consolas"/>
          <w:color w:val="097A5E"/>
          <w:sz w:val="20"/>
          <w:szCs w:val="20"/>
        </w:rPr>
        <w:t xml:space="preserve">K_s</w:t>
      </w:r>
      <w:r>
        <w:rPr>
          <w:rFonts w:ascii="Calibri" w:cs="Calibri" w:eastAsia="Calibri" w:hAnsi="Calibri"/>
          <w:color w:val="10333C"/>
          <w:sz w:val="22"/>
          <w:szCs w:val="22"/>
        </w:rPr>
        <w:t xml:space="preserve"> = 0,97 de la Tabla VII se obtiene la difusividad dentro de la fase membrana, 1,98 × 10⁻¹¹ m²/s; como </w:t>
      </w:r>
      <w:r>
        <w:rPr>
          <w:rFonts w:ascii="Consolas" w:cs="Consolas" w:eastAsia="Consolas" w:hAnsi="Consolas"/>
          <w:color w:val="097A5E"/>
          <w:sz w:val="20"/>
          <w:szCs w:val="20"/>
        </w:rPr>
        <w:t xml:space="preserve">K_s</w:t>
      </w:r>
      <w:r>
        <w:rPr>
          <w:rFonts w:ascii="Calibri" w:cs="Calibri" w:eastAsia="Calibri" w:hAnsi="Calibri"/>
          <w:color w:val="10333C"/>
          <w:sz w:val="22"/>
          <w:szCs w:val="22"/>
        </w:rPr>
        <w:t xml:space="preserve"> vale casi uno, ambos valores prácticamente coinciden.</w:t>
      </w:r>
    </w:p>
    <w:p>
      <w:pPr>
        <w:spacing w:after="130" w:line="300"/>
      </w:pPr>
      <w:r>
        <w:rPr>
          <w:rFonts w:ascii="Calibri" w:cs="Calibri" w:eastAsia="Calibri" w:hAnsi="Calibri"/>
          <w:color w:val="10333C"/>
          <w:sz w:val="22"/>
          <w:szCs w:val="22"/>
        </w:rPr>
        <w:t xml:space="preserve">Se consultaron otras dos fuentes que reportan el coeficiente de la B12 de forma directa, y se descartaron. La comparación es ilustrativa porque muestra que </w:t>
      </w:r>
      <w:r>
        <w:rPr>
          <w:rFonts w:ascii="Calibri" w:cs="Calibri" w:eastAsia="Calibri" w:hAnsi="Calibri"/>
          <w:b/>
          <w:bCs/>
          <w:color w:val="10333C"/>
          <w:sz w:val="22"/>
          <w:szCs w:val="22"/>
        </w:rPr>
        <w:t xml:space="preserve">el coeficiente de difusión no es una propiedad de la molécula sola sino del par soluto–material</w:t>
      </w:r>
      <w:r>
        <w:rPr>
          <w:rFonts w:ascii="Calibri" w:cs="Calibri" w:eastAsia="Calibri" w:hAnsi="Calibri"/>
          <w:color w:val="10333C"/>
          <w:sz w:val="22"/>
          <w:szCs w:val="22"/>
        </w:rPr>
        <w:t xml:space="preserve">:</w:t>
      </w:r>
    </w:p>
    <w:tbl>
      <w:tblPr>
        <w:tblW w:type="dxa" w:w="8800"/>
        <w:tblBorders>
          <w:top w:val="single" w:color="B8C8C6" w:sz="4"/>
          <w:left w:val="none"/>
          <w:bottom w:val="single" w:color="B8C8C6" w:sz="4"/>
          <w:right w:val="none"/>
          <w:insideH w:val="single" w:color="D6E2DF" w:sz="2"/>
          <w:insideV w:val="none"/>
        </w:tblBorders>
      </w:tblPr>
      <w:tblGrid>
        <w:gridCol w:w="3600"/>
        <w:gridCol w:w="2100"/>
        <w:gridCol w:w="1700"/>
        <w:gridCol w:w="1400"/>
      </w:tblGrid>
      <w:tr>
        <w:trPr>
          <w:tblHeader/>
        </w:trPr>
        <w:tc>
          <w:tcPr>
            <w:tcW w:type="dxa" w:w="3600"/>
            <w:shd w:fill="E3ECE9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A6A6E"/>
                <w:sz w:val="19"/>
                <w:szCs w:val="19"/>
              </w:rPr>
              <w:t xml:space="preserve">Material</w:t>
            </w:r>
          </w:p>
        </w:tc>
        <w:tc>
          <w:tcPr>
            <w:tcW w:type="dxa" w:w="2100"/>
            <w:shd w:fill="E3ECE9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A6A6E"/>
                <w:sz w:val="19"/>
                <w:szCs w:val="19"/>
              </w:rPr>
              <w:t xml:space="preserve">D (m²/s)</w:t>
            </w:r>
          </w:p>
        </w:tc>
        <w:tc>
          <w:tcPr>
            <w:tcW w:type="dxa" w:w="1700"/>
            <w:shd w:fill="E3ECE9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A6A6E"/>
                <w:sz w:val="19"/>
                <w:szCs w:val="19"/>
              </w:rPr>
              <w:t xml:space="preserve">Cl B12</w:t>
            </w:r>
          </w:p>
        </w:tc>
        <w:tc>
          <w:tcPr>
            <w:tcW w:type="dxa" w:w="1400"/>
            <w:shd w:fill="E3ECE9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A6A6E"/>
                <w:sz w:val="19"/>
                <w:szCs w:val="19"/>
              </w:rPr>
              <w:t xml:space="preserve">vs urea</w:t>
            </w:r>
          </w:p>
        </w:tc>
      </w:tr>
      <w:tr>
        <w:tc>
          <w:tcPr>
            <w:tcW w:type="dxa" w:w="3600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0333C"/>
                <w:sz w:val="19"/>
                <w:szCs w:val="19"/>
              </w:rPr>
              <w:t xml:space="preserve">Agua libre (referencia)</w:t>
            </w:r>
          </w:p>
        </w:tc>
        <w:tc>
          <w:tcPr>
            <w:tcW w:type="dxa" w:w="2100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0333C"/>
                <w:sz w:val="19"/>
                <w:szCs w:val="19"/>
              </w:rPr>
              <w:t xml:space="preserve">3,79 × 10⁻¹⁰</w:t>
            </w:r>
          </w:p>
        </w:tc>
        <w:tc>
          <w:tcPr>
            <w:tcW w:type="dxa" w:w="1700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0333C"/>
                <w:sz w:val="19"/>
                <w:szCs w:val="19"/>
              </w:rPr>
              <w:t xml:space="preserve">454,8</w:t>
            </w:r>
          </w:p>
        </w:tc>
        <w:tc>
          <w:tcPr>
            <w:tcW w:type="dxa" w:w="1400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0333C"/>
                <w:sz w:val="19"/>
                <w:szCs w:val="19"/>
              </w:rPr>
              <w:t xml:space="preserve">× 3,79</w:t>
            </w:r>
          </w:p>
        </w:tc>
      </w:tr>
      <w:tr>
        <w:tc>
          <w:tcPr>
            <w:tcW w:type="dxa" w:w="3600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0333C"/>
                <w:sz w:val="19"/>
                <w:szCs w:val="19"/>
              </w:rPr>
              <w:t xml:space="preserve">Gellan gum, hidrogel</w:t>
            </w:r>
          </w:p>
        </w:tc>
        <w:tc>
          <w:tcPr>
            <w:tcW w:type="dxa" w:w="2100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0333C"/>
                <w:sz w:val="19"/>
                <w:szCs w:val="19"/>
              </w:rPr>
              <w:t xml:space="preserve">1,70 × 10⁻¹⁰</w:t>
            </w:r>
          </w:p>
        </w:tc>
        <w:tc>
          <w:tcPr>
            <w:tcW w:type="dxa" w:w="1700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0333C"/>
                <w:sz w:val="19"/>
                <w:szCs w:val="19"/>
              </w:rPr>
              <w:t xml:space="preserve">204,0</w:t>
            </w:r>
          </w:p>
        </w:tc>
        <w:tc>
          <w:tcPr>
            <w:tcW w:type="dxa" w:w="1400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0333C"/>
                <w:sz w:val="19"/>
                <w:szCs w:val="19"/>
              </w:rPr>
              <w:t xml:space="preserve">× 1,70</w:t>
            </w:r>
          </w:p>
        </w:tc>
      </w:tr>
      <w:tr>
        <w:tc>
          <w:tcPr>
            <w:tcW w:type="dxa" w:w="3600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0333C"/>
                <w:sz w:val="19"/>
                <w:szCs w:val="19"/>
              </w:rPr>
              <w:t xml:space="preserve">Gellan gum + nanotubos</w:t>
            </w:r>
          </w:p>
        </w:tc>
        <w:tc>
          <w:tcPr>
            <w:tcW w:type="dxa" w:w="2100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0333C"/>
                <w:sz w:val="19"/>
                <w:szCs w:val="19"/>
              </w:rPr>
              <w:t xml:space="preserve">7,00 × 10⁻¹¹</w:t>
            </w:r>
          </w:p>
        </w:tc>
        <w:tc>
          <w:tcPr>
            <w:tcW w:type="dxa" w:w="1700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0333C"/>
                <w:sz w:val="19"/>
                <w:szCs w:val="19"/>
              </w:rPr>
              <w:t xml:space="preserve">84,0</w:t>
            </w:r>
          </w:p>
        </w:tc>
        <w:tc>
          <w:tcPr>
            <w:tcW w:type="dxa" w:w="1400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0333C"/>
                <w:sz w:val="19"/>
                <w:szCs w:val="19"/>
              </w:rPr>
              <w:t xml:space="preserve">× 0,70</w:t>
            </w:r>
          </w:p>
        </w:tc>
      </w:tr>
      <w:tr>
        <w:tc>
          <w:tcPr>
            <w:tcW w:type="dxa" w:w="3600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0333C"/>
                <w:sz w:val="19"/>
                <w:szCs w:val="19"/>
              </w:rPr>
              <w:t xml:space="preserve">Cuprophane PT-150</w:t>
            </w:r>
          </w:p>
        </w:tc>
        <w:tc>
          <w:tcPr>
            <w:tcW w:type="dxa" w:w="2100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0333C"/>
                <w:sz w:val="19"/>
                <w:szCs w:val="19"/>
              </w:rPr>
              <w:t xml:space="preserve">1,92 × 10⁻¹¹</w:t>
            </w:r>
          </w:p>
        </w:tc>
        <w:tc>
          <w:tcPr>
            <w:tcW w:type="dxa" w:w="1700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0333C"/>
                <w:sz w:val="19"/>
                <w:szCs w:val="19"/>
              </w:rPr>
              <w:t xml:space="preserve">23,1</w:t>
            </w:r>
          </w:p>
        </w:tc>
        <w:tc>
          <w:tcPr>
            <w:tcW w:type="dxa" w:w="1400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0333C"/>
                <w:sz w:val="19"/>
                <w:szCs w:val="19"/>
              </w:rPr>
              <w:t xml:space="preserve">× 0,19</w:t>
            </w:r>
          </w:p>
        </w:tc>
      </w:tr>
      <w:tr>
        <w:tc>
          <w:tcPr>
            <w:tcW w:type="dxa" w:w="3600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0333C"/>
                <w:sz w:val="19"/>
                <w:szCs w:val="19"/>
              </w:rPr>
              <w:t xml:space="preserve">TbMOF-100</w:t>
            </w:r>
          </w:p>
        </w:tc>
        <w:tc>
          <w:tcPr>
            <w:tcW w:type="dxa" w:w="2100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0333C"/>
                <w:sz w:val="19"/>
                <w:szCs w:val="19"/>
              </w:rPr>
              <w:t xml:space="preserve">1,83 × 10⁻²⁰</w:t>
            </w:r>
          </w:p>
        </w:tc>
        <w:tc>
          <w:tcPr>
            <w:tcW w:type="dxa" w:w="1700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0333C"/>
                <w:sz w:val="19"/>
                <w:szCs w:val="19"/>
              </w:rPr>
              <w:t xml:space="preserve">≈ 0</w:t>
            </w:r>
          </w:p>
        </w:tc>
        <w:tc>
          <w:tcPr>
            <w:tcW w:type="dxa" w:w="1400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0333C"/>
                <w:sz w:val="19"/>
                <w:szCs w:val="19"/>
              </w:rPr>
              <w:t xml:space="preserve">≈ 0</w:t>
            </w:r>
          </w:p>
        </w:tc>
      </w:tr>
    </w:tbl>
    <w:p>
      <w:pPr>
        <w:spacing w:after="220"/>
      </w:pPr>
      <w:r>
        <w:t xml:space="preserve"/>
      </w:r>
    </w:p>
    <w:p>
      <w:pPr>
        <w:spacing w:after="130" w:line="300"/>
      </w:pPr>
      <w:r>
        <w:rPr>
          <w:rFonts w:ascii="Calibri" w:cs="Calibri" w:eastAsia="Calibri" w:hAnsi="Calibri"/>
          <w:color w:val="10333C"/>
          <w:sz w:val="22"/>
          <w:szCs w:val="22"/>
        </w:rPr>
        <w:t xml:space="preserve">El hidrogel de gellan gum (Ferris &amp; in het Panhuis, 2010) sí es un polímero, de la misma familia polisacárida que la celulosa, y reporta el coeficiente directamente. Se descartó porque es un hidrogel blando para liberación de fármacos y no una membrana de separación: al combinarlo con el coeficiente de urea del enunciado, la B12 resultaría </w:t>
      </w:r>
      <w:r>
        <w:rPr>
          <w:rFonts w:ascii="Calibri" w:cs="Calibri" w:eastAsia="Calibri" w:hAnsi="Calibri"/>
          <w:b/>
          <w:bCs/>
          <w:color w:val="10333C"/>
          <w:sz w:val="22"/>
          <w:szCs w:val="22"/>
        </w:rPr>
        <w:t xml:space="preserve">1,70 veces más rápida que la urea</w:t>
      </w:r>
      <w:r>
        <w:rPr>
          <w:rFonts w:ascii="Calibri" w:cs="Calibri" w:eastAsia="Calibri" w:hAnsi="Calibri"/>
          <w:color w:val="10333C"/>
          <w:sz w:val="22"/>
          <w:szCs w:val="22"/>
        </w:rPr>
        <w:t xml:space="preserve">, lo que es imposible para una molécula veintidós veces más pesada. El TbMOF-100 (Valencia, 2012) se descartó porque no es un polímero sino una estructura metal-orgánica cristalina, destinada a capturar la molécula en jaulas y no a permearla; su coeficiente es nueve órdenes de magnitud menor y daría clearance nulo.</w:t>
      </w:r>
    </w:p>
    <w:p>
      <w:pPr>
        <w:spacing w:after="130" w:line="300"/>
      </w:pPr>
      <w:r>
        <w:rPr>
          <w:rFonts w:ascii="Calibri" w:cs="Calibri" w:eastAsia="Calibri" w:hAnsi="Calibri"/>
          <w:color w:val="10333C"/>
          <w:sz w:val="22"/>
          <w:szCs w:val="22"/>
        </w:rPr>
        <w:t xml:space="preserve">El criterio de selección fue por lo tanto que la fuente midiera </w:t>
      </w:r>
      <w:r>
        <w:rPr>
          <w:rFonts w:ascii="Calibri" w:cs="Calibri" w:eastAsia="Calibri" w:hAnsi="Calibri"/>
          <w:b/>
          <w:bCs/>
          <w:color w:val="10333C"/>
          <w:sz w:val="22"/>
          <w:szCs w:val="22"/>
        </w:rPr>
        <w:t xml:space="preserve">ambos solutos sobre el mismo material</w:t>
      </w:r>
      <w:r>
        <w:rPr>
          <w:rFonts w:ascii="Calibri" w:cs="Calibri" w:eastAsia="Calibri" w:hAnsi="Calibri"/>
          <w:color w:val="10333C"/>
          <w:sz w:val="22"/>
          <w:szCs w:val="22"/>
        </w:rPr>
        <w:t xml:space="preserve">, condición que sólo cumple Colton y que es la que hace trasladable el cociente.</w:t>
      </w:r>
    </w:p>
    <w:p>
      <w:pPr>
        <w:pStyle w:val="Heading2"/>
        <w:spacing w:after="130" w:before="240"/>
      </w:pPr>
      <w:r>
        <w:rPr>
          <w:rFonts w:ascii="Cambria" w:cs="Cambria" w:eastAsia="Cambria" w:hAnsi="Cambria"/>
          <w:b/>
          <w:bCs/>
          <w:color w:val="10333C"/>
        </w:rPr>
        <w:t xml:space="preserve">4.2 Tasa de clearance</w:t>
      </w:r>
    </w:p>
    <w:p>
      <w:pPr>
        <w:spacing w:after="130" w:line="300"/>
      </w:pPr>
      <w:r>
        <w:rPr>
          <w:rFonts w:ascii="Calibri" w:cs="Calibri" w:eastAsia="Calibri" w:hAnsi="Calibri"/>
          <w:color w:val="10333C"/>
          <w:sz w:val="22"/>
          <w:szCs w:val="22"/>
        </w:rPr>
        <w:t xml:space="preserve">La membrana que simula el TP no es el Cuprophane: es una membrana genérica definida por el enunciado con </w:t>
      </w:r>
      <w:r>
        <w:rPr>
          <w:rFonts w:ascii="Consolas" w:cs="Consolas" w:eastAsia="Consolas" w:hAnsi="Consolas"/>
          <w:color w:val="097A5E"/>
          <w:sz w:val="20"/>
          <w:szCs w:val="20"/>
        </w:rPr>
        <w:t xml:space="preserve">D</w:t>
      </w:r>
      <w:r>
        <w:rPr>
          <w:rFonts w:ascii="Calibri" w:cs="Calibri" w:eastAsia="Calibri" w:hAnsi="Calibri"/>
          <w:color w:val="10333C"/>
          <w:sz w:val="22"/>
          <w:szCs w:val="22"/>
        </w:rPr>
        <w:t xml:space="preserve"> = 1 × 10⁻¹⁰ m²/s para la urea. Lo que aporta Colton, y que sí es trasladable, es el </w:t>
      </w:r>
      <w:r>
        <w:rPr>
          <w:rFonts w:ascii="Calibri" w:cs="Calibri" w:eastAsia="Calibri" w:hAnsi="Calibri"/>
          <w:b/>
          <w:bCs/>
          <w:color w:val="10333C"/>
          <w:sz w:val="22"/>
          <w:szCs w:val="22"/>
        </w:rPr>
        <w:t xml:space="preserve">cociente entre solutos</w:t>
      </w:r>
      <w:r>
        <w:rPr>
          <w:rFonts w:ascii="Calibri" w:cs="Calibri" w:eastAsia="Calibri" w:hAnsi="Calibri"/>
          <w:color w:val="10333C"/>
          <w:sz w:val="22"/>
          <w:szCs w:val="22"/>
        </w:rPr>
        <w:t xml:space="preserve">, porque ambos se midieron sobre la misma membrana y por lo tanto el espesor y el área se cancelan:</w:t>
      </w:r>
    </w:p>
    <w:p>
      <w:pPr>
        <w:spacing w:after="160" w:before="140"/>
        <w:jc w:val="center"/>
      </w:pPr>
      <w:r>
        <w:rPr>
          <w:rFonts w:ascii="Consolas" w:cs="Consolas" w:eastAsia="Consolas" w:hAnsi="Consolas"/>
          <w:b/>
          <w:bCs/>
          <w:color w:val="097A5E"/>
          <w:sz w:val="22"/>
          <w:szCs w:val="22"/>
        </w:rPr>
        <w:t xml:space="preserve">D_B12 / D_urea = R_m(urea) / R_m(B12) = 17,0 / 242 = 0,0702</w:t>
      </w:r>
    </w:p>
    <w:p>
      <w:pPr>
        <w:spacing w:after="130" w:line="300"/>
      </w:pPr>
      <w:r>
        <w:rPr>
          <w:rFonts w:ascii="Calibri" w:cs="Calibri" w:eastAsia="Calibri" w:hAnsi="Calibri"/>
          <w:color w:val="10333C"/>
          <w:sz w:val="22"/>
          <w:szCs w:val="22"/>
        </w:rPr>
        <w:t xml:space="preserve">Aplicado al coeficiente del enunciado resulta </w:t>
      </w:r>
      <w:r>
        <w:rPr>
          <w:rFonts w:ascii="Consolas" w:cs="Consolas" w:eastAsia="Consolas" w:hAnsi="Consolas"/>
          <w:color w:val="097A5E"/>
          <w:sz w:val="20"/>
          <w:szCs w:val="20"/>
        </w:rPr>
        <w:t xml:space="preserve">D_B12</w:t>
      </w:r>
      <w:r>
        <w:rPr>
          <w:rFonts w:ascii="Calibri" w:cs="Calibri" w:eastAsia="Calibri" w:hAnsi="Calibri"/>
          <w:color w:val="10333C"/>
          <w:sz w:val="22"/>
          <w:szCs w:val="22"/>
        </w:rPr>
        <w:t xml:space="preserve"> = 7,03 × 10⁻¹² m²/s, y con la geometría base (L = 50 µm, A = 1 m²):</w:t>
      </w:r>
    </w:p>
    <w:p>
      <w:pPr>
        <w:spacing w:after="160" w:before="140"/>
        <w:jc w:val="center"/>
      </w:pPr>
      <w:r>
        <w:rPr>
          <w:rFonts w:ascii="Consolas" w:cs="Consolas" w:eastAsia="Consolas" w:hAnsi="Consolas"/>
          <w:b/>
          <w:bCs/>
          <w:color w:val="097A5E"/>
          <w:sz w:val="22"/>
          <w:szCs w:val="22"/>
        </w:rPr>
        <w:t xml:space="preserve">Cl = D · A / L = 7,03×10⁻¹² · 1 / 50×10⁻⁶ = 1,41×10⁻⁷ m³/s</w:t>
      </w:r>
    </w:p>
    <w:p>
      <w:pPr>
        <w:spacing w:after="130" w:line="300"/>
      </w:pPr>
      <w:r>
        <w:rPr>
          <w:rFonts w:ascii="Calibri" w:cs="Calibri" w:eastAsia="Calibri" w:hAnsi="Calibri"/>
          <w:b/>
          <w:bCs/>
          <w:color w:val="10333C"/>
          <w:sz w:val="22"/>
          <w:szCs w:val="22"/>
        </w:rPr>
        <w:t xml:space="preserve">El clearance de la Vitamina B12 es de 8,43 mL/min</w:t>
      </w:r>
      <w:r>
        <w:rPr>
          <w:rFonts w:ascii="Calibri" w:cs="Calibri" w:eastAsia="Calibri" w:hAnsi="Calibri"/>
          <w:color w:val="10333C"/>
          <w:sz w:val="22"/>
          <w:szCs w:val="22"/>
        </w:rPr>
        <w:t xml:space="preserve">, unas 14 veces menor que el de la urea.</w:t>
      </w:r>
    </w:p>
    <w:p>
      <w:pPr>
        <w:spacing w:after="130" w:line="300"/>
      </w:pPr>
      <w:r>
        <w:rPr>
          <w:rFonts w:ascii="Calibri" w:cs="Calibri" w:eastAsia="Calibri" w:hAnsi="Calibri"/>
          <w:color w:val="10333C"/>
          <w:sz w:val="22"/>
          <w:szCs w:val="22"/>
        </w:rPr>
        <w:t xml:space="preserve">Se usa el cociente y no el valor absoluto medido porque el cociente es una propiedad del par soluto–membrana, mientras que el valor absoluto corresponde a otra membrana. Si en cambio se supusiera que la membrana del enunciado </w:t>
      </w:r>
      <w:r>
        <w:rPr>
          <w:rFonts w:ascii="Calibri" w:cs="Calibri" w:eastAsia="Calibri" w:hAnsi="Calibri"/>
          <w:b/>
          <w:bCs/>
          <w:color w:val="10333C"/>
          <w:sz w:val="22"/>
          <w:szCs w:val="22"/>
        </w:rPr>
        <w:t xml:space="preserve">es</w:t>
      </w:r>
      <w:r>
        <w:rPr>
          <w:rFonts w:ascii="Calibri" w:cs="Calibri" w:eastAsia="Calibri" w:hAnsi="Calibri"/>
          <w:color w:val="10333C"/>
          <w:sz w:val="22"/>
          <w:szCs w:val="22"/>
        </w:rPr>
        <w:t xml:space="preserve"> el Cuprophane, el clearance de la B12 sería 23,09 mL/min, pero entonces la urea daría 328,7 mL/min y no los 120 que fija la consigna: el Cuprophane real es 2,74 veces más permeable que la membrana del enunciado.</w:t>
      </w:r>
    </w:p>
    <w:p>
      <w:pPr>
        <w:pStyle w:val="Heading2"/>
        <w:spacing w:after="130" w:before="240"/>
      </w:pPr>
      <w:r>
        <w:rPr>
          <w:rFonts w:ascii="Cambria" w:cs="Cambria" w:eastAsia="Cambria" w:hAnsi="Cambria"/>
          <w:b/>
          <w:bCs/>
          <w:color w:val="10333C"/>
        </w:rPr>
        <w:t xml:space="preserve">4.3 Por qué el clearance de la B12 es tanto menor</w:t>
      </w:r>
    </w:p>
    <w:p>
      <w:pPr>
        <w:spacing w:after="130" w:line="300"/>
      </w:pPr>
      <w:r>
        <w:rPr>
          <w:rFonts w:ascii="Calibri" w:cs="Calibri" w:eastAsia="Calibri" w:hAnsi="Calibri"/>
          <w:color w:val="10333C"/>
          <w:sz w:val="22"/>
          <w:szCs w:val="22"/>
        </w:rPr>
        <w:t xml:space="preserve">Como </w:t>
      </w:r>
      <w:r>
        <w:rPr>
          <w:rFonts w:ascii="Consolas" w:cs="Consolas" w:eastAsia="Consolas" w:hAnsi="Consolas"/>
          <w:color w:val="097A5E"/>
          <w:sz w:val="20"/>
          <w:szCs w:val="20"/>
        </w:rPr>
        <w:t xml:space="preserve">Cl = D·A/L</w:t>
      </w:r>
      <w:r>
        <w:rPr>
          <w:rFonts w:ascii="Calibri" w:cs="Calibri" w:eastAsia="Calibri" w:hAnsi="Calibri"/>
          <w:color w:val="10333C"/>
          <w:sz w:val="22"/>
          <w:szCs w:val="22"/>
        </w:rPr>
        <w:t xml:space="preserve"> y la geometría es idéntica para ambos solutos, el área y el espesor se cancelan al comparar. La diferencia de clearance </w:t>
      </w:r>
      <w:r>
        <w:rPr>
          <w:rFonts w:ascii="Calibri" w:cs="Calibri" w:eastAsia="Calibri" w:hAnsi="Calibri"/>
          <w:b/>
          <w:bCs/>
          <w:color w:val="10333C"/>
          <w:sz w:val="22"/>
          <w:szCs w:val="22"/>
        </w:rPr>
        <w:t xml:space="preserve">se explica enteramente por la diferencia de coeficientes de difusión</w:t>
      </w:r>
      <w:r>
        <w:rPr>
          <w:rFonts w:ascii="Calibri" w:cs="Calibri" w:eastAsia="Calibri" w:hAnsi="Calibri"/>
          <w:color w:val="10333C"/>
          <w:sz w:val="22"/>
          <w:szCs w:val="22"/>
        </w:rPr>
        <w:t xml:space="preserve">, y ésta tiene dos causas.</w:t>
      </w:r>
    </w:p>
    <w:p>
      <w:pPr>
        <w:spacing w:after="130" w:line="300"/>
      </w:pPr>
      <w:r>
        <w:rPr>
          <w:rFonts w:ascii="Calibri" w:cs="Calibri" w:eastAsia="Calibri" w:hAnsi="Calibri"/>
          <w:b/>
          <w:bCs/>
          <w:color w:val="10333C"/>
          <w:sz w:val="22"/>
          <w:szCs w:val="22"/>
        </w:rPr>
        <w:t xml:space="preserve">Primera: el tamaño molecular.</w:t>
      </w:r>
      <w:r>
        <w:rPr>
          <w:rFonts w:ascii="Calibri" w:cs="Calibri" w:eastAsia="Calibri" w:hAnsi="Calibri"/>
          <w:color w:val="10333C"/>
          <w:sz w:val="22"/>
          <w:szCs w:val="22"/>
        </w:rPr>
        <w:t xml:space="preserve"> Según Stokes–Einstein, </w:t>
      </w:r>
      <w:r>
        <w:rPr>
          <w:rFonts w:ascii="Consolas" w:cs="Consolas" w:eastAsia="Consolas" w:hAnsi="Consolas"/>
          <w:color w:val="097A5E"/>
          <w:sz w:val="20"/>
          <w:szCs w:val="20"/>
        </w:rPr>
        <w:t xml:space="preserve">D = k_B·T / (6πη·r_h)</w:t>
      </w:r>
      <w:r>
        <w:rPr>
          <w:rFonts w:ascii="Calibri" w:cs="Calibri" w:eastAsia="Calibri" w:hAnsi="Calibri"/>
          <w:color w:val="10333C"/>
          <w:sz w:val="22"/>
          <w:szCs w:val="22"/>
        </w:rPr>
        <w:t xml:space="preserve">, es decir </w:t>
      </w:r>
      <w:r>
        <w:rPr>
          <w:rFonts w:ascii="Consolas" w:cs="Consolas" w:eastAsia="Consolas" w:hAnsi="Consolas"/>
          <w:color w:val="097A5E"/>
          <w:sz w:val="20"/>
          <w:szCs w:val="20"/>
        </w:rPr>
        <w:t xml:space="preserve">D ∝ 1/r_h</w:t>
      </w:r>
      <w:r>
        <w:rPr>
          <w:rFonts w:ascii="Calibri" w:cs="Calibri" w:eastAsia="Calibri" w:hAnsi="Calibri"/>
          <w:color w:val="10333C"/>
          <w:sz w:val="22"/>
          <w:szCs w:val="22"/>
        </w:rPr>
        <w:t xml:space="preserve">. Para una molécula compacta el radio escala como </w:t>
      </w:r>
      <w:r>
        <w:rPr>
          <w:rFonts w:ascii="Consolas" w:cs="Consolas" w:eastAsia="Consolas" w:hAnsi="Consolas"/>
          <w:color w:val="097A5E"/>
          <w:sz w:val="20"/>
          <w:szCs w:val="20"/>
        </w:rPr>
        <w:t xml:space="preserve">M^(1/3)</w:t>
      </w:r>
      <w:r>
        <w:rPr>
          <w:rFonts w:ascii="Calibri" w:cs="Calibri" w:eastAsia="Calibri" w:hAnsi="Calibri"/>
          <w:color w:val="10333C"/>
          <w:sz w:val="22"/>
          <w:szCs w:val="22"/>
        </w:rPr>
        <w:t xml:space="preserve">, de donde </w:t>
      </w:r>
      <w:r>
        <w:rPr>
          <w:rFonts w:ascii="Consolas" w:cs="Consolas" w:eastAsia="Consolas" w:hAnsi="Consolas"/>
          <w:color w:val="097A5E"/>
          <w:sz w:val="20"/>
          <w:szCs w:val="20"/>
        </w:rPr>
        <w:t xml:space="preserve">D ∝ M^(−1/3)</w:t>
      </w:r>
      <w:r>
        <w:rPr>
          <w:rFonts w:ascii="Calibri" w:cs="Calibri" w:eastAsia="Calibri" w:hAnsi="Calibri"/>
          <w:color w:val="10333C"/>
          <w:sz w:val="22"/>
          <w:szCs w:val="22"/>
        </w:rPr>
        <w:t xml:space="preserve">. Con 1355 g/mol contra 60,06 el factor previsto es </w:t>
      </w:r>
      <w:r>
        <w:rPr>
          <w:rFonts w:ascii="Consolas" w:cs="Consolas" w:eastAsia="Consolas" w:hAnsi="Consolas"/>
          <w:color w:val="097A5E"/>
          <w:sz w:val="20"/>
          <w:szCs w:val="20"/>
        </w:rPr>
        <w:t xml:space="preserve">(60,06/1355)^(1/3) = 0,354</w:t>
      </w:r>
      <w:r>
        <w:rPr>
          <w:rFonts w:ascii="Calibri" w:cs="Calibri" w:eastAsia="Calibri" w:hAnsi="Calibri"/>
          <w:color w:val="10333C"/>
          <w:sz w:val="22"/>
          <w:szCs w:val="22"/>
        </w:rPr>
        <w:t xml:space="preserve">. Los datos medidos en solución libre dan 0,209, algo menor, porque la B12 no es una esfera compacta.</w:t>
      </w:r>
    </w:p>
    <w:p>
      <w:pPr>
        <w:spacing w:after="130" w:line="300"/>
      </w:pPr>
      <w:r>
        <w:rPr>
          <w:rFonts w:ascii="Calibri" w:cs="Calibri" w:eastAsia="Calibri" w:hAnsi="Calibri"/>
          <w:b/>
          <w:bCs/>
          <w:color w:val="10333C"/>
          <w:sz w:val="22"/>
          <w:szCs w:val="22"/>
        </w:rPr>
        <w:t xml:space="preserve">Segunda, y dominante: la difusión estorbada dentro del poro.</w:t>
      </w:r>
      <w:r>
        <w:rPr>
          <w:rFonts w:ascii="Calibri" w:cs="Calibri" w:eastAsia="Calibri" w:hAnsi="Calibri"/>
          <w:color w:val="10333C"/>
          <w:sz w:val="22"/>
          <w:szCs w:val="22"/>
        </w:rPr>
        <w:t xml:space="preserve"> El cociente cae de 0,209 en solución libre a 0,070 dentro de la membrana. Esa restricción adicional aparece porque la membrana no es agua sino un sólido con poros de radio finito, e introduce dos efectos que Stokes–Einstein no contempla: la </w:t>
      </w:r>
      <w:r>
        <w:rPr>
          <w:rFonts w:ascii="Calibri" w:cs="Calibri" w:eastAsia="Calibri" w:hAnsi="Calibri"/>
          <w:b/>
          <w:bCs/>
          <w:color w:val="10333C"/>
          <w:sz w:val="22"/>
          <w:szCs w:val="22"/>
        </w:rPr>
        <w:t xml:space="preserve">exclusión estérica</w:t>
      </w:r>
      <w:r>
        <w:rPr>
          <w:rFonts w:ascii="Calibri" w:cs="Calibri" w:eastAsia="Calibri" w:hAnsi="Calibri"/>
          <w:color w:val="10333C"/>
          <w:sz w:val="22"/>
          <w:szCs w:val="22"/>
        </w:rPr>
        <w:t xml:space="preserve">, que impide al centro de la molécula acercarse a la pared más allá de su propio radio y le deja accesible sólo una fracción </w:t>
      </w:r>
      <w:r>
        <w:rPr>
          <w:rFonts w:ascii="Consolas" w:cs="Consolas" w:eastAsia="Consolas" w:hAnsi="Consolas"/>
          <w:color w:val="097A5E"/>
          <w:sz w:val="20"/>
          <w:szCs w:val="20"/>
        </w:rPr>
        <w:t xml:space="preserve">(1 − λ)²</w:t>
      </w:r>
      <w:r>
        <w:rPr>
          <w:rFonts w:ascii="Calibri" w:cs="Calibri" w:eastAsia="Calibri" w:hAnsi="Calibri"/>
          <w:color w:val="10333C"/>
          <w:sz w:val="22"/>
          <w:szCs w:val="22"/>
        </w:rPr>
        <w:t xml:space="preserve"> de la sección del poro, y el </w:t>
      </w:r>
      <w:r>
        <w:rPr>
          <w:rFonts w:ascii="Calibri" w:cs="Calibri" w:eastAsia="Calibri" w:hAnsi="Calibri"/>
          <w:b/>
          <w:bCs/>
          <w:color w:val="10333C"/>
          <w:sz w:val="22"/>
          <w:szCs w:val="22"/>
        </w:rPr>
        <w:t xml:space="preserve">impedimento hidrodinámico</w:t>
      </w:r>
      <w:r>
        <w:rPr>
          <w:rFonts w:ascii="Calibri" w:cs="Calibri" w:eastAsia="Calibri" w:hAnsi="Calibri"/>
          <w:color w:val="10333C"/>
          <w:sz w:val="22"/>
          <w:szCs w:val="22"/>
        </w:rPr>
        <w:t xml:space="preserve">, que aumenta el arrastre viscoso por la cercanía de la pared. Ambos se combinan en el factor de Renkin </w:t>
      </w:r>
      <w:r>
        <w:rPr>
          <w:rFonts w:ascii="Consolas" w:cs="Consolas" w:eastAsia="Consolas" w:hAnsi="Consolas"/>
          <w:color w:val="097A5E"/>
          <w:sz w:val="20"/>
          <w:szCs w:val="20"/>
        </w:rPr>
        <w:t xml:space="preserve">H(λ) = (1 − λ)²·(1 − 2,104λ + 2,089λ³ − 0,948λ⁵)</w:t>
      </w:r>
      <w:r>
        <w:rPr>
          <w:rFonts w:ascii="Calibri" w:cs="Calibri" w:eastAsia="Calibri" w:hAnsi="Calibri"/>
          <w:color w:val="10333C"/>
          <w:sz w:val="22"/>
          <w:szCs w:val="22"/>
        </w:rPr>
        <w:t xml:space="preserve">, con </w:t>
      </w:r>
      <w:r>
        <w:rPr>
          <w:rFonts w:ascii="Consolas" w:cs="Consolas" w:eastAsia="Consolas" w:hAnsi="Consolas"/>
          <w:color w:val="097A5E"/>
          <w:sz w:val="20"/>
          <w:szCs w:val="20"/>
        </w:rPr>
        <w:t xml:space="preserve">λ = r_soluto/r_poro</w:t>
      </w:r>
      <w:r>
        <w:rPr>
          <w:rFonts w:ascii="Calibri" w:cs="Calibri" w:eastAsia="Calibri" w:hAnsi="Calibri"/>
          <w:color w:val="10333C"/>
          <w:sz w:val="22"/>
          <w:szCs w:val="22"/>
        </w:rPr>
        <w:t xml:space="preserve">.</w:t>
      </w:r>
    </w:p>
    <w:p>
      <w:pPr>
        <w:spacing w:after="130" w:line="300"/>
      </w:pPr>
      <w:r>
        <w:rPr>
          <w:rFonts w:ascii="Calibri" w:cs="Calibri" w:eastAsia="Calibri" w:hAnsi="Calibri"/>
          <w:color w:val="10333C"/>
          <w:sz w:val="22"/>
          <w:szCs w:val="22"/>
        </w:rPr>
        <w:t xml:space="preserve">En síntesis: el escalado por tamaño molecular sobreestima el clearance de la B12 en un factor 5, y la caída real es mucho más abrupta que </w:t>
      </w:r>
      <w:r>
        <w:rPr>
          <w:rFonts w:ascii="Consolas" w:cs="Consolas" w:eastAsia="Consolas" w:hAnsi="Consolas"/>
          <w:color w:val="097A5E"/>
          <w:sz w:val="20"/>
          <w:szCs w:val="20"/>
        </w:rPr>
        <w:t xml:space="preserve">M^(−1/3)</w:t>
      </w:r>
      <w:r>
        <w:rPr>
          <w:rFonts w:ascii="Calibri" w:cs="Calibri" w:eastAsia="Calibri" w:hAnsi="Calibri"/>
          <w:color w:val="10333C"/>
          <w:sz w:val="22"/>
          <w:szCs w:val="22"/>
        </w:rPr>
        <w:t xml:space="preserve"> porque la membrana discrimina activamente por tamaño. Es esa discriminación la que define el </w:t>
      </w:r>
      <w:r>
        <w:rPr>
          <w:rFonts w:ascii="Calibri" w:cs="Calibri" w:eastAsia="Calibri" w:hAnsi="Calibri"/>
          <w:i/>
          <w:iCs/>
          <w:color w:val="10333C"/>
          <w:sz w:val="22"/>
          <w:szCs w:val="22"/>
        </w:rPr>
        <w:t xml:space="preserve">cut-off</w:t>
      </w:r>
      <w:r>
        <w:rPr>
          <w:rFonts w:ascii="Calibri" w:cs="Calibri" w:eastAsia="Calibri" w:hAnsi="Calibri"/>
          <w:color w:val="10333C"/>
          <w:sz w:val="22"/>
          <w:szCs w:val="22"/>
        </w:rPr>
        <w:t xml:space="preserve"> de la membrana y la que permite depurar moléculas pequeñas y medias reteniendo las proteínas plasmáticas.</w:t>
      </w:r>
    </w:p>
    <w:p>
      <w:pPr>
        <w:pStyle w:val="Heading1"/>
        <w:spacing w:after="130" w:before="340"/>
      </w:pPr>
      <w:r>
        <w:rPr>
          <w:rFonts w:ascii="Cambria" w:cs="Cambria" w:eastAsia="Cambria" w:hAnsi="Cambria"/>
          <w:b/>
          <w:bCs/>
          <w:color w:val="10333C"/>
        </w:rPr>
        <w:t xml:space="preserve">Bibliografía</w:t>
      </w:r>
    </w:p>
    <w:p>
      <w:pPr>
        <w:spacing w:after="130" w:line="300"/>
      </w:pPr>
      <w:r>
        <w:rPr>
          <w:rFonts w:ascii="Calibri" w:cs="Calibri" w:eastAsia="Calibri" w:hAnsi="Calibri"/>
          <w:color w:val="10333C"/>
          <w:sz w:val="22"/>
          <w:szCs w:val="22"/>
        </w:rPr>
        <w:t xml:space="preserve">Colton, C. K., Smith, K. A., Merrill, E. W. &amp; Farrell, P. C. (1971). Permeability Studies with Cellulosic Membranes. </w:t>
      </w:r>
      <w:r>
        <w:rPr>
          <w:rFonts w:ascii="Calibri" w:cs="Calibri" w:eastAsia="Calibri" w:hAnsi="Calibri"/>
          <w:i/>
          <w:iCs/>
          <w:color w:val="10333C"/>
          <w:sz w:val="22"/>
          <w:szCs w:val="22"/>
        </w:rPr>
        <w:t xml:space="preserve">Journal of Biomedical Materials Research</w:t>
      </w:r>
      <w:r>
        <w:rPr>
          <w:rFonts w:ascii="Calibri" w:cs="Calibri" w:eastAsia="Calibri" w:hAnsi="Calibri"/>
          <w:color w:val="10333C"/>
          <w:sz w:val="22"/>
          <w:szCs w:val="22"/>
        </w:rPr>
        <w:t xml:space="preserve">, 5(6), 459–488.</w:t>
      </w:r>
    </w:p>
    <w:p>
      <w:pPr>
        <w:spacing w:after="130" w:line="300"/>
      </w:pPr>
      <w:r>
        <w:rPr>
          <w:rFonts w:ascii="Calibri" w:cs="Calibri" w:eastAsia="Calibri" w:hAnsi="Calibri"/>
          <w:color w:val="10333C"/>
          <w:sz w:val="22"/>
          <w:szCs w:val="22"/>
        </w:rPr>
        <w:t xml:space="preserve">Ratner, B. D. &amp; Hoffman, A. S. (2020). </w:t>
      </w:r>
      <w:r>
        <w:rPr>
          <w:rFonts w:ascii="Calibri" w:cs="Calibri" w:eastAsia="Calibri" w:hAnsi="Calibri"/>
          <w:i/>
          <w:iCs/>
          <w:color w:val="10333C"/>
          <w:sz w:val="22"/>
          <w:szCs w:val="22"/>
        </w:rPr>
        <w:t xml:space="preserve">Biomaterials Science: An Introduction to Materials in Medicine</w:t>
      </w:r>
      <w:r>
        <w:rPr>
          <w:rFonts w:ascii="Calibri" w:cs="Calibri" w:eastAsia="Calibri" w:hAnsi="Calibri"/>
          <w:color w:val="10333C"/>
          <w:sz w:val="22"/>
          <w:szCs w:val="22"/>
        </w:rPr>
        <w:t xml:space="preserve"> (4.ª ed.). Academic Press.</w:t>
      </w:r>
    </w:p>
    <w:p>
      <w:pPr>
        <w:spacing w:after="130" w:line="300"/>
      </w:pPr>
      <w:r>
        <w:rPr>
          <w:rFonts w:ascii="Calibri" w:cs="Calibri" w:eastAsia="Calibri" w:hAnsi="Calibri"/>
          <w:color w:val="10333C"/>
          <w:sz w:val="22"/>
          <w:szCs w:val="22"/>
        </w:rPr>
        <w:t xml:space="preserve">Ferris, C. J. &amp; in het Panhuis, M. (2010). Diffusion of vitamin B12 in gellan gum-carbon nanotube hydrogels. </w:t>
      </w:r>
      <w:r>
        <w:rPr>
          <w:rFonts w:ascii="Calibri" w:cs="Calibri" w:eastAsia="Calibri" w:hAnsi="Calibri"/>
          <w:i/>
          <w:iCs/>
          <w:color w:val="10333C"/>
          <w:sz w:val="22"/>
          <w:szCs w:val="22"/>
        </w:rPr>
        <w:t xml:space="preserve">2010 International Conference on Nanoscience and Nanotechnology (ICONN)</w:t>
      </w:r>
      <w:r>
        <w:rPr>
          <w:rFonts w:ascii="Calibri" w:cs="Calibri" w:eastAsia="Calibri" w:hAnsi="Calibri"/>
          <w:color w:val="10333C"/>
          <w:sz w:val="22"/>
          <w:szCs w:val="22"/>
        </w:rPr>
        <w:t xml:space="preserve">, Sydney. DOI: 10.1109/ICONN.2010.6045180.</w:t>
      </w:r>
    </w:p>
    <w:p>
      <w:pPr>
        <w:spacing w:after="130" w:line="300"/>
      </w:pPr>
      <w:r>
        <w:rPr>
          <w:rFonts w:ascii="Calibri" w:cs="Calibri" w:eastAsia="Calibri" w:hAnsi="Calibri"/>
          <w:color w:val="10333C"/>
          <w:sz w:val="22"/>
          <w:szCs w:val="22"/>
        </w:rPr>
        <w:t xml:space="preserve">Renkin, E. M. (1954). Filtration, diffusion and molecular sieving through porous cellulose membranes. </w:t>
      </w:r>
      <w:r>
        <w:rPr>
          <w:rFonts w:ascii="Calibri" w:cs="Calibri" w:eastAsia="Calibri" w:hAnsi="Calibri"/>
          <w:i/>
          <w:iCs/>
          <w:color w:val="10333C"/>
          <w:sz w:val="22"/>
          <w:szCs w:val="22"/>
        </w:rPr>
        <w:t xml:space="preserve">The Journal of General Physiology</w:t>
      </w:r>
      <w:r>
        <w:rPr>
          <w:rFonts w:ascii="Calibri" w:cs="Calibri" w:eastAsia="Calibri" w:hAnsi="Calibri"/>
          <w:color w:val="10333C"/>
          <w:sz w:val="22"/>
          <w:szCs w:val="22"/>
        </w:rPr>
        <w:t xml:space="preserve">, 38(2), 225–243.</w:t>
      </w:r>
    </w:p>
    <w:p>
      <w:pPr>
        <w:spacing w:after="0" w:line="300"/>
      </w:pPr>
      <w:r>
        <w:rPr>
          <w:rFonts w:ascii="Calibri" w:cs="Calibri" w:eastAsia="Calibri" w:hAnsi="Calibri"/>
          <w:color w:val="10333C"/>
          <w:sz w:val="22"/>
          <w:szCs w:val="22"/>
        </w:rPr>
        <w:t xml:space="preserve">Valencia, V. (2013). Diffusion of Vitamin B12 Across a Mesoporous Metal Organic Framework. </w:t>
      </w:r>
      <w:r>
        <w:rPr>
          <w:rFonts w:ascii="Calibri" w:cs="Calibri" w:eastAsia="Calibri" w:hAnsi="Calibri"/>
          <w:i/>
          <w:iCs/>
          <w:color w:val="10333C"/>
          <w:sz w:val="22"/>
          <w:szCs w:val="22"/>
        </w:rPr>
        <w:t xml:space="preserve">Undergraduate Journal of Mathematical Modeling: One + Two</w:t>
      </w:r>
      <w:r>
        <w:rPr>
          <w:rFonts w:ascii="Calibri" w:cs="Calibri" w:eastAsia="Calibri" w:hAnsi="Calibri"/>
          <w:color w:val="10333C"/>
          <w:sz w:val="22"/>
          <w:szCs w:val="22"/>
        </w:rPr>
        <w:t xml:space="preserve">, 5(1), Art. 3.</w:t>
      </w:r>
    </w:p>
    <w:sectPr>
      <w:pgSz w:w="11906" w:h="16838" w:orient="portrait"/>
      <w:pgMar w:top="1400" w:right="1400" w:bottom="14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2026-08-27T23:45:18.811Z</dcterms:created>
  <dcterms:modified xsi:type="dcterms:W3CDTF">2026-08-27T23:45:18.835Z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