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97A5E"/>
          <w:spacing w:val="30"/>
          <w:sz w:val="17"/>
          <w:szCs w:val="17"/>
        </w:rPr>
        <w:t xml:space="preserve">ITBA · DEPARTAMENTO DE CIENCIAS DE LA VIDA · ÓRGANOS ARTIFICIALES</w:t>
      </w:r>
    </w:p>
    <w:p>
      <w:pPr>
        <w:spacing w:after="100"/>
      </w:pPr>
      <w:r>
        <w:rPr>
          <w:rFonts w:ascii="Cambria" w:cs="Cambria" w:eastAsia="Cambria" w:hAnsi="Cambria"/>
          <w:b/>
          <w:bCs/>
          <w:color w:val="10333C"/>
          <w:sz w:val="46"/>
          <w:szCs w:val="46"/>
        </w:rPr>
        <w:t xml:space="preserve">Fundamentos físicos y discusión</w:t>
      </w:r>
    </w:p>
    <w:p>
      <w:pPr>
        <w:spacing w:after="260"/>
      </w:pPr>
      <w:r>
        <w:rPr>
          <w:rFonts w:ascii="Cambria" w:cs="Cambria" w:eastAsia="Cambria" w:hAnsi="Cambria"/>
          <w:i/>
          <w:iCs/>
          <w:color w:val="5A6A6E"/>
          <w:sz w:val="26"/>
          <w:szCs w:val="26"/>
        </w:rPr>
        <w:t xml:space="preserve">TP N°1 — Diseño y Simulación del Rendimiento de un Dializador</w:t>
      </w:r>
    </w:p>
    <w:p>
      <w:pPr>
        <w:pBdr>
          <w:bottom w:val="single" w:color="B8C8C6" w:sz="6"/>
        </w:pBdr>
        <w:spacing w:after="240" w:before="60"/>
      </w:pPr>
      <w:r>
        <w:t xml:space="preserve"/>
      </w:r>
    </w:p>
    <w:p>
      <w:pPr>
        <w:spacing w:after="140" w:line="300"/>
      </w:pPr>
      <w:r>
        <w:rPr>
          <w:rFonts w:ascii="Calibri" w:cs="Calibri" w:eastAsia="Calibri" w:hAnsi="Calibri"/>
          <w:color w:val="10333C"/>
          <w:sz w:val="22"/>
          <w:szCs w:val="22"/>
        </w:rPr>
        <w:t xml:space="preserve">Este documento reúne el desarrollo teórico que respalda cada una de las simulaciones del trabajo práctico. Está organizado siguiendo los pasos de la consigna, y cada sección justifica el resultado numérico correspondiente y discute los límites del modelo empleado.</w:t>
      </w:r>
    </w:p>
    <w:p>
      <w:pPr>
        <w:pStyle w:val="Heading1"/>
        <w:spacing w:after="140" w:before="360"/>
      </w:pPr>
      <w:r>
        <w:rPr>
          <w:rFonts w:ascii="Cambria" w:cs="Cambria" w:eastAsia="Cambria" w:hAnsi="Cambria"/>
          <w:b/>
          <w:bCs/>
          <w:color w:val="10333C"/>
        </w:rPr>
        <w:t xml:space="preserve">1. El modelo y sus hipótesis</w:t>
      </w:r>
    </w:p>
    <w:p>
      <w:pPr>
        <w:spacing w:after="140" w:line="300"/>
      </w:pPr>
      <w:r>
        <w:rPr>
          <w:rFonts w:ascii="Calibri" w:cs="Calibri" w:eastAsia="Calibri" w:hAnsi="Calibri"/>
          <w:color w:val="10333C"/>
          <w:sz w:val="22"/>
          <w:szCs w:val="22"/>
        </w:rPr>
        <w:t xml:space="preserve">El transporte de soluto a través de la membrana se describe con la Primera Ley de Fick de la difusión. Bajo la hipótesis de estado estacionario y gradiente lineal a través del espesor, la derivada se reemplaza por un cociente de diferencias finitas:</w:t>
      </w:r>
    </w:p>
    <w:p>
      <w:pPr>
        <w:spacing w:after="180" w:before="160"/>
        <w:jc w:val="center"/>
      </w:pPr>
      <w:r>
        <w:rPr>
          <w:rFonts w:ascii="Consolas" w:cs="Consolas" w:eastAsia="Consolas" w:hAnsi="Consolas"/>
          <w:b/>
          <w:bCs/>
          <w:color w:val="097A5E"/>
          <w:sz w:val="22"/>
          <w:szCs w:val="22"/>
        </w:rPr>
        <w:t xml:space="preserve">J = D · (C − C_d) / L        [mol/(m²·s)]</w:t>
      </w:r>
    </w:p>
    <w:p>
      <w:pPr>
        <w:spacing w:after="140" w:line="300"/>
      </w:pPr>
      <w:r>
        <w:rPr>
          <w:rFonts w:ascii="Calibri" w:cs="Calibri" w:eastAsia="Calibri" w:hAnsi="Calibri"/>
          <w:color w:val="10333C"/>
          <w:sz w:val="22"/>
          <w:szCs w:val="22"/>
        </w:rPr>
        <w:t xml:space="preserve">El flujo total de masa que atraviesa toda el área de intercambio es simplemente el flujo por unidad de área multiplicado por el área:</w:t>
      </w:r>
    </w:p>
    <w:p>
      <w:pPr>
        <w:spacing w:after="180" w:before="160"/>
        <w:jc w:val="center"/>
      </w:pPr>
      <w:r>
        <w:rPr>
          <w:rFonts w:ascii="Consolas" w:cs="Consolas" w:eastAsia="Consolas" w:hAnsi="Consolas"/>
          <w:b/>
          <w:bCs/>
          <w:color w:val="097A5E"/>
          <w:sz w:val="22"/>
          <w:szCs w:val="22"/>
        </w:rPr>
        <w:t xml:space="preserve">ṁ = J · A        [mol/s]</w:t>
      </w:r>
    </w:p>
    <w:p>
      <w:pPr>
        <w:spacing w:after="140" w:line="300"/>
      </w:pPr>
      <w:r>
        <w:rPr>
          <w:rFonts w:ascii="Calibri" w:cs="Calibri" w:eastAsia="Calibri" w:hAnsi="Calibri"/>
          <w:color w:val="10333C"/>
          <w:sz w:val="22"/>
          <w:szCs w:val="22"/>
        </w:rPr>
        <w:t xml:space="preserve">El clearance o aclaramiento se define como el volumen de sangre depurado por unidad de tiempo, es decir el flujo de masa dividido por la concentración en sangre:</w:t>
      </w:r>
    </w:p>
    <w:p>
      <w:pPr>
        <w:spacing w:after="180" w:before="160"/>
        <w:jc w:val="center"/>
      </w:pPr>
      <w:r>
        <w:rPr>
          <w:rFonts w:ascii="Consolas" w:cs="Consolas" w:eastAsia="Consolas" w:hAnsi="Consolas"/>
          <w:b/>
          <w:bCs/>
          <w:color w:val="097A5E"/>
          <w:sz w:val="22"/>
          <w:szCs w:val="22"/>
        </w:rPr>
        <w:t xml:space="preserve">Cl = ṁ / C = (D · A / L) · (1 − C_d/C)        [m³/s]</w:t>
      </w:r>
    </w:p>
    <w:p>
      <w:pPr>
        <w:spacing w:after="140" w:line="300"/>
      </w:pPr>
      <w:r>
        <w:rPr>
          <w:rFonts w:ascii="Calibri" w:cs="Calibri" w:eastAsia="Calibri" w:hAnsi="Calibri"/>
          <w:color w:val="10333C"/>
          <w:sz w:val="22"/>
          <w:szCs w:val="22"/>
        </w:rPr>
        <w:t xml:space="preserve">Con la hipótesis del Anexo I de dializado como sumidero perfecto (</w:t>
      </w:r>
      <w:r>
        <w:rPr>
          <w:rFonts w:ascii="Consolas" w:cs="Consolas" w:eastAsia="Consolas" w:hAnsi="Consolas"/>
          <w:color w:val="097A5E"/>
          <w:sz w:val="20"/>
          <w:szCs w:val="20"/>
        </w:rPr>
        <w:t xml:space="preserve">C_d = 0</w:t>
      </w:r>
      <w:r>
        <w:rPr>
          <w:rFonts w:ascii="Calibri" w:cs="Calibri" w:eastAsia="Calibri" w:hAnsi="Calibri"/>
          <w:color w:val="10333C"/>
          <w:sz w:val="22"/>
          <w:szCs w:val="22"/>
        </w:rPr>
        <w:t xml:space="preserve">), el factor entre paréntesis vale 1 y la expresión se reduce a </w:t>
      </w:r>
      <w:r>
        <w:rPr>
          <w:rFonts w:ascii="Consolas" w:cs="Consolas" w:eastAsia="Consolas" w:hAnsi="Consolas"/>
          <w:color w:val="097A5E"/>
          <w:sz w:val="20"/>
          <w:szCs w:val="20"/>
        </w:rPr>
        <w:t xml:space="preserve">Cl = D·A/L</w:t>
      </w:r>
      <w:r>
        <w:rPr>
          <w:rFonts w:ascii="Calibri" w:cs="Calibri" w:eastAsia="Calibri" w:hAnsi="Calibri"/>
          <w:color w:val="10333C"/>
          <w:sz w:val="22"/>
          <w:szCs w:val="22"/>
        </w:rPr>
        <w:t xml:space="preserve">.</w:t>
      </w:r>
    </w:p>
    <w:p>
      <w:pPr>
        <w:spacing w:after="140" w:line="300"/>
      </w:pPr>
      <w:r>
        <w:rPr>
          <w:rFonts w:ascii="Calibri" w:cs="Calibri" w:eastAsia="Calibri" w:hAnsi="Calibri"/>
          <w:b/>
          <w:bCs/>
          <w:color w:val="10333C"/>
          <w:sz w:val="22"/>
          <w:szCs w:val="22"/>
        </w:rPr>
        <w:t xml:space="preserve">Hipótesis asumidas</w:t>
      </w:r>
      <w:r>
        <w:rPr>
          <w:rFonts w:ascii="Calibri" w:cs="Calibri" w:eastAsia="Calibri" w:hAnsi="Calibri"/>
          <w:color w:val="10333C"/>
          <w:sz w:val="22"/>
          <w:szCs w:val="22"/>
        </w:rPr>
        <w:t xml:space="preserve">, según el Anexo I:</w:t>
      </w:r>
    </w:p>
    <w:p>
      <w:pPr>
        <w:pStyle w:val="ListParagraph"/>
        <w:numPr>
          <w:ilvl w:val="0"/>
          <w:numId w:val="2"/>
        </w:numPr>
        <w:spacing w:after="90" w:line="290"/>
      </w:pPr>
      <w:r>
        <w:rPr>
          <w:rFonts w:ascii="Calibri" w:cs="Calibri" w:eastAsia="Calibri" w:hAnsi="Calibri"/>
          <w:color w:val="10333C"/>
          <w:sz w:val="22"/>
          <w:szCs w:val="22"/>
        </w:rPr>
        <w:t xml:space="preserve">La membrana es una placa plana de espesor constante </w:t>
      </w:r>
      <w:r>
        <w:rPr>
          <w:rFonts w:ascii="Consolas" w:cs="Consolas" w:eastAsia="Consolas" w:hAnsi="Consolas"/>
          <w:color w:val="097A5E"/>
          <w:sz w:val="20"/>
          <w:szCs w:val="20"/>
        </w:rPr>
        <w:t xml:space="preserve">L</w:t>
      </w:r>
      <w:r>
        <w:rPr>
          <w:rFonts w:ascii="Calibri" w:cs="Calibri" w:eastAsia="Calibri" w:hAnsi="Calibri"/>
          <w:color w:val="10333C"/>
          <w:sz w:val="22"/>
          <w:szCs w:val="22"/>
        </w:rPr>
        <w:t xml:space="preserve">.</w:t>
      </w:r>
    </w:p>
    <w:p>
      <w:pPr>
        <w:pStyle w:val="ListParagraph"/>
        <w:numPr>
          <w:ilvl w:val="0"/>
          <w:numId w:val="2"/>
        </w:numPr>
        <w:spacing w:after="90" w:line="290"/>
      </w:pPr>
      <w:r>
        <w:rPr>
          <w:rFonts w:ascii="Calibri" w:cs="Calibri" w:eastAsia="Calibri" w:hAnsi="Calibri"/>
          <w:color w:val="10333C"/>
          <w:sz w:val="22"/>
          <w:szCs w:val="22"/>
        </w:rPr>
        <w:t xml:space="preserve">El transporte es puramente difusivo: no hay convección ni ultrafiltración.</w:t>
      </w:r>
    </w:p>
    <w:p>
      <w:pPr>
        <w:pStyle w:val="ListParagraph"/>
        <w:numPr>
          <w:ilvl w:val="0"/>
          <w:numId w:val="2"/>
        </w:numPr>
        <w:spacing w:after="90" w:line="290"/>
      </w:pPr>
      <w:r>
        <w:rPr>
          <w:rFonts w:ascii="Calibri" w:cs="Calibri" w:eastAsia="Calibri" w:hAnsi="Calibri"/>
          <w:color w:val="10333C"/>
          <w:sz w:val="22"/>
          <w:szCs w:val="22"/>
        </w:rPr>
        <w:t xml:space="preserve">El sistema está en estado estacionario: el perfil de concentración no cambia con el tiempo.</w:t>
      </w:r>
    </w:p>
    <w:p>
      <w:pPr>
        <w:pStyle w:val="ListParagraph"/>
        <w:numPr>
          <w:ilvl w:val="0"/>
          <w:numId w:val="2"/>
        </w:numPr>
        <w:spacing w:after="90" w:line="290"/>
      </w:pPr>
      <w:r>
        <w:rPr>
          <w:rFonts w:ascii="Calibri" w:cs="Calibri" w:eastAsia="Calibri" w:hAnsi="Calibri"/>
          <w:color w:val="10333C"/>
          <w:sz w:val="22"/>
          <w:szCs w:val="22"/>
        </w:rPr>
        <w:t xml:space="preserve">El gradiente de concentración a través del espesor es lineal.</w:t>
      </w:r>
    </w:p>
    <w:p>
      <w:pPr>
        <w:pStyle w:val="ListParagraph"/>
        <w:numPr>
          <w:ilvl w:val="0"/>
          <w:numId w:val="2"/>
        </w:numPr>
        <w:spacing w:after="90" w:line="290"/>
      </w:pPr>
      <w:r>
        <w:rPr>
          <w:rFonts w:ascii="Calibri" w:cs="Calibri" w:eastAsia="Calibri" w:hAnsi="Calibri"/>
          <w:color w:val="10333C"/>
          <w:sz w:val="22"/>
          <w:szCs w:val="22"/>
        </w:rPr>
        <w:t xml:space="preserve">La concentración es constante del lado de la sangre y nula del lado del dializado.</w:t>
      </w:r>
    </w:p>
    <w:p>
      <w:pPr>
        <w:pStyle w:val="Heading1"/>
        <w:spacing w:after="140" w:before="360"/>
      </w:pPr>
      <w:r>
        <w:rPr>
          <w:rFonts w:ascii="Cambria" w:cs="Cambria" w:eastAsia="Cambria" w:hAnsi="Cambria"/>
          <w:b/>
          <w:bCs/>
          <w:color w:val="10333C"/>
        </w:rPr>
        <w:t xml:space="preserve">2. Paso 1 — Verificación del modelo base</w:t>
      </w:r>
    </w:p>
    <w:p>
      <w:pPr>
        <w:pStyle w:val="Heading2"/>
        <w:spacing w:after="140" w:before="280"/>
      </w:pPr>
      <w:r>
        <w:rPr>
          <w:rFonts w:ascii="Cambria" w:cs="Cambria" w:eastAsia="Cambria" w:hAnsi="Cambria"/>
          <w:b/>
          <w:bCs/>
          <w:color w:val="10333C"/>
        </w:rPr>
        <w:t xml:space="preserve">2.1 La equivalencia de unidades que hace cerrar el cálculo</w:t>
      </w:r>
    </w:p>
    <w:p>
      <w:pPr>
        <w:spacing w:after="140" w:line="300"/>
      </w:pPr>
      <w:r>
        <w:rPr>
          <w:rFonts w:ascii="Calibri" w:cs="Calibri" w:eastAsia="Calibri" w:hAnsi="Calibri"/>
          <w:color w:val="10333C"/>
          <w:sz w:val="22"/>
          <w:szCs w:val="22"/>
        </w:rPr>
        <w:t xml:space="preserve">En el código del Anexo I la línea </w:t>
      </w:r>
      <w:r>
        <w:rPr>
          <w:rFonts w:ascii="Consolas" w:cs="Consolas" w:eastAsia="Consolas" w:hAnsi="Consolas"/>
          <w:color w:val="097A5E"/>
          <w:sz w:val="20"/>
          <w:szCs w:val="20"/>
        </w:rPr>
        <w:t xml:space="preserve">C_sangre_mol_m3 = C_sangre_mM</w:t>
      </w:r>
      <w:r>
        <w:rPr>
          <w:rFonts w:ascii="Calibri" w:cs="Calibri" w:eastAsia="Calibri" w:hAnsi="Calibri"/>
          <w:color w:val="10333C"/>
          <w:sz w:val="22"/>
          <w:szCs w:val="22"/>
        </w:rPr>
        <w:t xml:space="preserve"> no lleva factor de conversión. A primera vista parece un error, pero es correcto, y conviene explicitarlo porque es la única equivalencia que permite que todo el cálculo cierre en unidades del Sistema Internacional:</w:t>
      </w:r>
    </w:p>
    <w:p>
      <w:pPr>
        <w:spacing w:after="180" w:before="160"/>
        <w:jc w:val="center"/>
      </w:pPr>
      <w:r>
        <w:rPr>
          <w:rFonts w:ascii="Consolas" w:cs="Consolas" w:eastAsia="Consolas" w:hAnsi="Consolas"/>
          <w:b/>
          <w:bCs/>
          <w:color w:val="097A5E"/>
          <w:sz w:val="22"/>
          <w:szCs w:val="22"/>
        </w:rPr>
        <w:t xml:space="preserve">1 mM = 1 mmol/L = 10⁻³ mol / 10⁻³ m³ = 1 mol/m³</w:t>
      </w:r>
    </w:p>
    <w:p>
      <w:pPr>
        <w:spacing w:after="140" w:line="300"/>
      </w:pPr>
      <w:r>
        <w:rPr>
          <w:rFonts w:ascii="Calibri" w:cs="Calibri" w:eastAsia="Calibri" w:hAnsi="Calibri"/>
          <w:color w:val="10333C"/>
          <w:sz w:val="22"/>
          <w:szCs w:val="22"/>
        </w:rPr>
        <w:t xml:space="preserve">Con </w:t>
      </w:r>
      <w:r>
        <w:rPr>
          <w:rFonts w:ascii="Consolas" w:cs="Consolas" w:eastAsia="Consolas" w:hAnsi="Consolas"/>
          <w:color w:val="097A5E"/>
          <w:sz w:val="20"/>
          <w:szCs w:val="20"/>
        </w:rPr>
        <w:t xml:space="preserve">C = 5 mol/m³</w:t>
      </w:r>
      <w:r>
        <w:rPr>
          <w:rFonts w:ascii="Calibri" w:cs="Calibri" w:eastAsia="Calibri" w:hAnsi="Calibri"/>
          <w:color w:val="10333C"/>
          <w:sz w:val="22"/>
          <w:szCs w:val="22"/>
        </w:rPr>
        <w:t xml:space="preserve">, </w:t>
      </w:r>
      <w:r>
        <w:rPr>
          <w:rFonts w:ascii="Consolas" w:cs="Consolas" w:eastAsia="Consolas" w:hAnsi="Consolas"/>
          <w:color w:val="097A5E"/>
          <w:sz w:val="20"/>
          <w:szCs w:val="20"/>
        </w:rPr>
        <w:t xml:space="preserve">D = 1×10⁻¹⁰ m²/s</w:t>
      </w:r>
      <w:r>
        <w:rPr>
          <w:rFonts w:ascii="Calibri" w:cs="Calibri" w:eastAsia="Calibri" w:hAnsi="Calibri"/>
          <w:color w:val="10333C"/>
          <w:sz w:val="22"/>
          <w:szCs w:val="22"/>
        </w:rPr>
        <w:t xml:space="preserve">, </w:t>
      </w:r>
      <w:r>
        <w:rPr>
          <w:rFonts w:ascii="Consolas" w:cs="Consolas" w:eastAsia="Consolas" w:hAnsi="Consolas"/>
          <w:color w:val="097A5E"/>
          <w:sz w:val="20"/>
          <w:szCs w:val="20"/>
        </w:rPr>
        <w:t xml:space="preserve">L = 50×10⁻⁶ m</w:t>
      </w:r>
      <w:r>
        <w:rPr>
          <w:rFonts w:ascii="Calibri" w:cs="Calibri" w:eastAsia="Calibri" w:hAnsi="Calibri"/>
          <w:color w:val="10333C"/>
          <w:sz w:val="22"/>
          <w:szCs w:val="22"/>
        </w:rPr>
        <w:t xml:space="preserve"> y </w:t>
      </w:r>
      <w:r>
        <w:rPr>
          <w:rFonts w:ascii="Consolas" w:cs="Consolas" w:eastAsia="Consolas" w:hAnsi="Consolas"/>
          <w:color w:val="097A5E"/>
          <w:sz w:val="20"/>
          <w:szCs w:val="20"/>
        </w:rPr>
        <w:t xml:space="preserve">A = 1 m²</w:t>
      </w:r>
      <w:r>
        <w:rPr>
          <w:rFonts w:ascii="Calibri" w:cs="Calibri" w:eastAsia="Calibri" w:hAnsi="Calibri"/>
          <w:color w:val="10333C"/>
          <w:sz w:val="22"/>
          <w:szCs w:val="22"/>
        </w:rPr>
        <w:t xml:space="preserve"> se obtiene </w:t>
      </w:r>
      <w:r>
        <w:rPr>
          <w:rFonts w:ascii="Consolas" w:cs="Consolas" w:eastAsia="Consolas" w:hAnsi="Consolas"/>
          <w:color w:val="097A5E"/>
          <w:sz w:val="20"/>
          <w:szCs w:val="20"/>
        </w:rPr>
        <w:t xml:space="preserve">J = 1,0000×10⁻⁵ mol/(m²·s)</w:t>
      </w:r>
      <w:r>
        <w:rPr>
          <w:rFonts w:ascii="Calibri" w:cs="Calibri" w:eastAsia="Calibri" w:hAnsi="Calibri"/>
          <w:color w:val="10333C"/>
          <w:sz w:val="22"/>
          <w:szCs w:val="22"/>
        </w:rPr>
        <w:t xml:space="preserve">, </w:t>
      </w:r>
      <w:r>
        <w:rPr>
          <w:rFonts w:ascii="Consolas" w:cs="Consolas" w:eastAsia="Consolas" w:hAnsi="Consolas"/>
          <w:color w:val="097A5E"/>
          <w:sz w:val="20"/>
          <w:szCs w:val="20"/>
        </w:rPr>
        <w:t xml:space="preserve">ṁ = 1,0000×10⁻⁵ mol/s</w:t>
      </w:r>
      <w:r>
        <w:rPr>
          <w:rFonts w:ascii="Calibri" w:cs="Calibri" w:eastAsia="Calibri" w:hAnsi="Calibri"/>
          <w:color w:val="10333C"/>
          <w:sz w:val="22"/>
          <w:szCs w:val="22"/>
        </w:rPr>
        <w:t xml:space="preserve"> y </w:t>
      </w:r>
      <w:r>
        <w:rPr>
          <w:rFonts w:ascii="Consolas" w:cs="Consolas" w:eastAsia="Consolas" w:hAnsi="Consolas"/>
          <w:color w:val="097A5E"/>
          <w:sz w:val="20"/>
          <w:szCs w:val="20"/>
        </w:rPr>
        <w:t xml:space="preserve">Cl = 2,0000×10⁻⁶ m³/s</w:t>
      </w:r>
      <w:r>
        <w:rPr>
          <w:rFonts w:ascii="Calibri" w:cs="Calibri" w:eastAsia="Calibri" w:hAnsi="Calibri"/>
          <w:color w:val="10333C"/>
          <w:sz w:val="22"/>
          <w:szCs w:val="22"/>
        </w:rPr>
        <w:t xml:space="preserve">. Convertido a unidades clínicas, multiplicando por 10⁶ mL/m³ y por 60 s/min, resulta </w:t>
      </w:r>
      <w:r>
        <w:rPr>
          <w:rFonts w:ascii="Calibri" w:cs="Calibri" w:eastAsia="Calibri" w:hAnsi="Calibri"/>
          <w:b/>
          <w:bCs/>
          <w:color w:val="10333C"/>
          <w:sz w:val="22"/>
          <w:szCs w:val="22"/>
        </w:rPr>
        <w:t xml:space="preserve">120,00 mL/min</w:t>
      </w:r>
      <w:r>
        <w:rPr>
          <w:rFonts w:ascii="Calibri" w:cs="Calibri" w:eastAsia="Calibri" w:hAnsi="Calibri"/>
          <w:color w:val="10333C"/>
          <w:sz w:val="22"/>
          <w:szCs w:val="22"/>
        </w:rPr>
        <w:t xml:space="preserve">, que coincide con el valor esperado por la consigna.</w:t>
      </w:r>
    </w:p>
    <w:p>
      <w:pPr>
        <w:pStyle w:val="Heading2"/>
        <w:spacing w:after="140" w:before="280"/>
      </w:pPr>
      <w:r>
        <w:rPr>
          <w:rFonts w:ascii="Cambria" w:cs="Cambria" w:eastAsia="Cambria" w:hAnsi="Cambria"/>
          <w:b/>
          <w:bCs/>
          <w:color w:val="10333C"/>
        </w:rPr>
        <w:t xml:space="preserve">2.2 Por qué el clearance no depende de la concentración</w:t>
      </w:r>
    </w:p>
    <w:p>
      <w:pPr>
        <w:spacing w:after="140" w:line="300"/>
      </w:pPr>
      <w:r>
        <w:rPr>
          <w:rFonts w:ascii="Calibri" w:cs="Calibri" w:eastAsia="Calibri" w:hAnsi="Calibri"/>
          <w:color w:val="10333C"/>
          <w:sz w:val="22"/>
          <w:szCs w:val="22"/>
        </w:rPr>
        <w:t xml:space="preserve">El flujo total </w:t>
      </w:r>
      <w:r>
        <w:rPr>
          <w:rFonts w:ascii="Consolas" w:cs="Consolas" w:eastAsia="Consolas" w:hAnsi="Consolas"/>
          <w:color w:val="097A5E"/>
          <w:sz w:val="20"/>
          <w:szCs w:val="20"/>
        </w:rPr>
        <w:t xml:space="preserve">ṁ = D·A·C/L</w:t>
      </w:r>
      <w:r>
        <w:rPr>
          <w:rFonts w:ascii="Calibri" w:cs="Calibri" w:eastAsia="Calibri" w:hAnsi="Calibri"/>
          <w:color w:val="10333C"/>
          <w:sz w:val="22"/>
          <w:szCs w:val="22"/>
        </w:rPr>
        <w:t xml:space="preserve"> sí crece con la uremia del paciente: cuanta más urea hay en sangre, más moles se transfieren por segundo. Sin embargo, el clearance se define como </w:t>
      </w:r>
      <w:r>
        <w:rPr>
          <w:rFonts w:ascii="Consolas" w:cs="Consolas" w:eastAsia="Consolas" w:hAnsi="Consolas"/>
          <w:color w:val="097A5E"/>
          <w:sz w:val="20"/>
          <w:szCs w:val="20"/>
        </w:rPr>
        <w:t xml:space="preserve">ṁ/C</w:t>
      </w:r>
      <w:r>
        <w:rPr>
          <w:rFonts w:ascii="Calibri" w:cs="Calibri" w:eastAsia="Calibri" w:hAnsi="Calibri"/>
          <w:color w:val="10333C"/>
          <w:sz w:val="22"/>
          <w:szCs w:val="22"/>
        </w:rPr>
        <w:t xml:space="preserve">, y en ese cociente </w:t>
      </w:r>
      <w:r>
        <w:rPr>
          <w:rFonts w:ascii="Calibri" w:cs="Calibri" w:eastAsia="Calibri" w:hAnsi="Calibri"/>
          <w:b/>
          <w:bCs/>
          <w:color w:val="10333C"/>
          <w:sz w:val="22"/>
          <w:szCs w:val="22"/>
        </w:rPr>
        <w:t xml:space="preserve">la concentración se cancela</w:t>
      </w:r>
      <w:r>
        <w:rPr>
          <w:rFonts w:ascii="Calibri" w:cs="Calibri" w:eastAsia="Calibri" w:hAnsi="Calibri"/>
          <w:color w:val="10333C"/>
          <w:sz w:val="22"/>
          <w:szCs w:val="22"/>
        </w:rPr>
        <w:t xml:space="preserve">, quedando </w:t>
      </w:r>
      <w:r>
        <w:rPr>
          <w:rFonts w:ascii="Consolas" w:cs="Consolas" w:eastAsia="Consolas" w:hAnsi="Consolas"/>
          <w:color w:val="097A5E"/>
          <w:sz w:val="20"/>
          <w:szCs w:val="20"/>
        </w:rPr>
        <w:t xml:space="preserve">Cl = D·A/L</w:t>
      </w:r>
      <w:r>
        <w:rPr>
          <w:rFonts w:ascii="Calibri" w:cs="Calibri" w:eastAsia="Calibri" w:hAnsi="Calibri"/>
          <w:color w:val="10333C"/>
          <w:sz w:val="22"/>
          <w:szCs w:val="22"/>
        </w:rPr>
        <w:t xml:space="preserve">.</w:t>
      </w:r>
    </w:p>
    <w:p>
      <w:pPr>
        <w:spacing w:after="140" w:line="300"/>
      </w:pPr>
      <w:r>
        <w:rPr>
          <w:rFonts w:ascii="Calibri" w:cs="Calibri" w:eastAsia="Calibri" w:hAnsi="Calibri"/>
          <w:color w:val="10333C"/>
          <w:sz w:val="22"/>
          <w:szCs w:val="22"/>
        </w:rPr>
        <w:t xml:space="preserve">La consecuencia conceptual es importante: el clearance </w:t>
      </w:r>
      <w:r>
        <w:rPr>
          <w:rFonts w:ascii="Calibri" w:cs="Calibri" w:eastAsia="Calibri" w:hAnsi="Calibri"/>
          <w:b/>
          <w:bCs/>
          <w:color w:val="10333C"/>
          <w:sz w:val="22"/>
          <w:szCs w:val="22"/>
        </w:rPr>
        <w:t xml:space="preserve">no es una propiedad del paciente sino de la membrana</w:t>
      </w:r>
      <w:r>
        <w:rPr>
          <w:rFonts w:ascii="Calibri" w:cs="Calibri" w:eastAsia="Calibri" w:hAnsi="Calibri"/>
          <w:color w:val="10333C"/>
          <w:sz w:val="22"/>
          <w:szCs w:val="22"/>
        </w:rPr>
        <w:t xml:space="preserve">. Mide qué volumen de sangre queda completamente depurado por unidad de tiempo, no cuánto soluto se extrae. Dos pacientes con uremias muy distintas, dializados con el mismo cartucho, tienen el mismo clearance aunque las masas transferidas difieran.</w:t>
      </w:r>
    </w:p>
    <w:p>
      <w:pPr>
        <w:pStyle w:val="Heading2"/>
        <w:spacing w:after="140" w:before="280"/>
      </w:pPr>
      <w:r>
        <w:rPr>
          <w:rFonts w:ascii="Cambria" w:cs="Cambria" w:eastAsia="Cambria" w:hAnsi="Cambria"/>
          <w:b/>
          <w:bCs/>
          <w:color w:val="10333C"/>
        </w:rPr>
        <w:t xml:space="preserve">2.3 ¿Está bien asumir el dializado en cero?</w:t>
      </w:r>
    </w:p>
    <w:p>
      <w:pPr>
        <w:spacing w:after="140" w:line="300"/>
      </w:pPr>
      <w:r>
        <w:rPr>
          <w:rFonts w:ascii="Calibri" w:cs="Calibri" w:eastAsia="Calibri" w:hAnsi="Calibri"/>
          <w:color w:val="10333C"/>
          <w:sz w:val="22"/>
          <w:szCs w:val="22"/>
        </w:rPr>
        <w:t xml:space="preserve">Es una </w:t>
      </w:r>
      <w:r>
        <w:rPr>
          <w:rFonts w:ascii="Calibri" w:cs="Calibri" w:eastAsia="Calibri" w:hAnsi="Calibri"/>
          <w:b/>
          <w:bCs/>
          <w:color w:val="10333C"/>
          <w:sz w:val="22"/>
          <w:szCs w:val="22"/>
        </w:rPr>
        <w:t xml:space="preserve">hipótesis de sumidero perfecto</w:t>
      </w:r>
      <w:r>
        <w:rPr>
          <w:rFonts w:ascii="Calibri" w:cs="Calibri" w:eastAsia="Calibri" w:hAnsi="Calibri"/>
          <w:color w:val="10333C"/>
          <w:sz w:val="22"/>
          <w:szCs w:val="22"/>
        </w:rPr>
        <w:t xml:space="preserve">, y es la que fija el Anexo I. No significa que la concentración del dializado sea realmente nula: el líquido que sale del dializador lleva urea, y por eso se descarta. Lo que se supone es que el dializado se renueva tan rápido que, en cada punto de la membrana, la sangre lo ve como si fuera cero.</w:t>
      </w:r>
    </w:p>
    <w:p>
      <w:pPr>
        <w:spacing w:after="140" w:line="300"/>
      </w:pPr>
      <w:r>
        <w:rPr>
          <w:rFonts w:ascii="Calibri" w:cs="Calibri" w:eastAsia="Calibri" w:hAnsi="Calibri"/>
          <w:color w:val="10333C"/>
          <w:sz w:val="22"/>
          <w:szCs w:val="22"/>
        </w:rPr>
        <w:t xml:space="preserve">La aproximación se sostiene por dos razones operativas. Primero, el caudal de dializado es mayor que el de sangre: típicamente </w:t>
      </w:r>
      <w:r>
        <w:rPr>
          <w:rFonts w:ascii="Calibri" w:cs="Calibri" w:eastAsia="Calibri" w:hAnsi="Calibri"/>
          <w:b/>
          <w:bCs/>
          <w:color w:val="10333C"/>
          <w:sz w:val="22"/>
          <w:szCs w:val="22"/>
        </w:rPr>
        <w:t xml:space="preserve">Qd ≈ 500 mL/min contra Qb ≈ 300 mL/min</w:t>
      </w:r>
      <w:r>
        <w:rPr>
          <w:rFonts w:ascii="Calibri" w:cs="Calibri" w:eastAsia="Calibri" w:hAnsi="Calibri"/>
          <w:color w:val="10333C"/>
          <w:sz w:val="22"/>
          <w:szCs w:val="22"/>
        </w:rPr>
        <w:t xml:space="preserve">. Segundo, y más importante, los dos fluidos circulan </w:t>
      </w:r>
      <w:r>
        <w:rPr>
          <w:rFonts w:ascii="Calibri" w:cs="Calibri" w:eastAsia="Calibri" w:hAnsi="Calibri"/>
          <w:b/>
          <w:bCs/>
          <w:color w:val="10333C"/>
          <w:sz w:val="22"/>
          <w:szCs w:val="22"/>
        </w:rPr>
        <w:t xml:space="preserve">en contracorriente</w:t>
      </w:r>
      <w:r>
        <w:rPr>
          <w:rFonts w:ascii="Calibri" w:cs="Calibri" w:eastAsia="Calibri" w:hAnsi="Calibri"/>
          <w:color w:val="10333C"/>
          <w:sz w:val="22"/>
          <w:szCs w:val="22"/>
        </w:rPr>
        <w:t xml:space="preserve">: el dializado más limpio se cruza con la sangre ya depurada, lo que mantiene un gradiente aproximadamente constante a lo largo de toda la fibra en vez de agotarlo progresivamente.</w:t>
      </w:r>
    </w:p>
    <w:p>
      <w:pPr>
        <w:spacing w:after="140" w:line="300"/>
      </w:pPr>
      <w:r>
        <w:rPr>
          <w:rFonts w:ascii="Calibri" w:cs="Calibri" w:eastAsia="Calibri" w:hAnsi="Calibri"/>
          <w:color w:val="10333C"/>
          <w:sz w:val="22"/>
          <w:szCs w:val="22"/>
        </w:rPr>
        <w:t xml:space="preserve">Aun así, se trata de un </w:t>
      </w:r>
      <w:r>
        <w:rPr>
          <w:rFonts w:ascii="Calibri" w:cs="Calibri" w:eastAsia="Calibri" w:hAnsi="Calibri"/>
          <w:b/>
          <w:bCs/>
          <w:color w:val="10333C"/>
          <w:sz w:val="22"/>
          <w:szCs w:val="22"/>
        </w:rPr>
        <w:t xml:space="preserve">límite optimista</w:t>
      </w:r>
      <w:r>
        <w:rPr>
          <w:rFonts w:ascii="Calibri" w:cs="Calibri" w:eastAsia="Calibri" w:hAnsi="Calibri"/>
          <w:color w:val="10333C"/>
          <w:sz w:val="22"/>
          <w:szCs w:val="22"/>
        </w:rPr>
        <w:t xml:space="preserve">. Con dializado real el gradiente efectivo es </w:t>
      </w:r>
      <w:r>
        <w:rPr>
          <w:rFonts w:ascii="Consolas" w:cs="Consolas" w:eastAsia="Consolas" w:hAnsi="Consolas"/>
          <w:color w:val="097A5E"/>
          <w:sz w:val="20"/>
          <w:szCs w:val="20"/>
        </w:rPr>
        <w:t xml:space="preserve">C − C_d</w:t>
      </w:r>
      <w:r>
        <w:rPr>
          <w:rFonts w:ascii="Calibri" w:cs="Calibri" w:eastAsia="Calibri" w:hAnsi="Calibri"/>
          <w:color w:val="10333C"/>
          <w:sz w:val="22"/>
          <w:szCs w:val="22"/>
        </w:rPr>
        <w:t xml:space="preserve"> y el clearance cae en el factor </w:t>
      </w:r>
      <w:r>
        <w:rPr>
          <w:rFonts w:ascii="Consolas" w:cs="Consolas" w:eastAsia="Consolas" w:hAnsi="Consolas"/>
          <w:color w:val="097A5E"/>
          <w:sz w:val="20"/>
          <w:szCs w:val="20"/>
        </w:rPr>
        <w:t xml:space="preserve">(1 − C_d/C)</w:t>
      </w:r>
      <w:r>
        <w:rPr>
          <w:rFonts w:ascii="Calibri" w:cs="Calibri" w:eastAsia="Calibri" w:hAnsi="Calibri"/>
          <w:color w:val="10333C"/>
          <w:sz w:val="22"/>
          <w:szCs w:val="22"/>
        </w:rPr>
        <w:t xml:space="preserve">. Si el dializado alcanzara la mitad de la concentración de la sangre, el clearance se reduciría exactamente a la mitad: de 120 a 60 mL/min. Reconocer esto es reconocer que la hipótesis </w:t>
      </w:r>
      <w:r>
        <w:rPr>
          <w:rFonts w:ascii="Calibri" w:cs="Calibri" w:eastAsia="Calibri" w:hAnsi="Calibri"/>
          <w:b/>
          <w:bCs/>
          <w:color w:val="10333C"/>
          <w:sz w:val="22"/>
          <w:szCs w:val="22"/>
        </w:rPr>
        <w:t xml:space="preserve">acota</w:t>
      </w:r>
      <w:r>
        <w:rPr>
          <w:rFonts w:ascii="Calibri" w:cs="Calibri" w:eastAsia="Calibri" w:hAnsi="Calibri"/>
          <w:color w:val="10333C"/>
          <w:sz w:val="22"/>
          <w:szCs w:val="22"/>
        </w:rPr>
        <w:t xml:space="preserve"> el resultado por arriba, en lugar de ser un dato del problema.</w:t>
      </w:r>
    </w:p>
    <w:p>
      <w:pPr>
        <w:pStyle w:val="Heading1"/>
        <w:spacing w:after="140" w:before="360"/>
      </w:pPr>
      <w:r>
        <w:rPr>
          <w:rFonts w:ascii="Cambria" w:cs="Cambria" w:eastAsia="Cambria" w:hAnsi="Cambria"/>
          <w:b/>
          <w:bCs/>
          <w:color w:val="10333C"/>
        </w:rPr>
        <w:t xml:space="preserve">3. Paso 2 — Sensibilidad al espesor</w:t>
      </w:r>
    </w:p>
    <w:p>
      <w:pPr>
        <w:pStyle w:val="Heading2"/>
        <w:spacing w:after="140" w:before="280"/>
      </w:pPr>
      <w:r>
        <w:rPr>
          <w:rFonts w:ascii="Cambria" w:cs="Cambria" w:eastAsia="Cambria" w:hAnsi="Cambria"/>
          <w:b/>
          <w:bCs/>
          <w:color w:val="10333C"/>
        </w:rPr>
        <w:t xml:space="preserve">3.1 La relación es hiperbólica, no lineal</w:t>
      </w:r>
    </w:p>
    <w:p>
      <w:pPr>
        <w:spacing w:after="140" w:line="300"/>
      </w:pPr>
      <w:r>
        <w:rPr>
          <w:rFonts w:ascii="Calibri" w:cs="Calibri" w:eastAsia="Calibri" w:hAnsi="Calibri"/>
          <w:color w:val="10333C"/>
          <w:sz w:val="22"/>
          <w:szCs w:val="22"/>
        </w:rPr>
        <w:t xml:space="preserve">Con el área fija, </w:t>
      </w:r>
      <w:r>
        <w:rPr>
          <w:rFonts w:ascii="Consolas" w:cs="Consolas" w:eastAsia="Consolas" w:hAnsi="Consolas"/>
          <w:color w:val="097A5E"/>
          <w:sz w:val="20"/>
          <w:szCs w:val="20"/>
        </w:rPr>
        <w:t xml:space="preserve">Cl = (D·A)·(1/L)</w:t>
      </w:r>
      <w:r>
        <w:rPr>
          <w:rFonts w:ascii="Calibri" w:cs="Calibri" w:eastAsia="Calibri" w:hAnsi="Calibri"/>
          <w:color w:val="10333C"/>
          <w:sz w:val="22"/>
          <w:szCs w:val="22"/>
        </w:rPr>
        <w:t xml:space="preserve">, de modo que el clearance es </w:t>
      </w:r>
      <w:r>
        <w:rPr>
          <w:rFonts w:ascii="Calibri" w:cs="Calibri" w:eastAsia="Calibri" w:hAnsi="Calibri"/>
          <w:b/>
          <w:bCs/>
          <w:color w:val="10333C"/>
          <w:sz w:val="22"/>
          <w:szCs w:val="22"/>
        </w:rPr>
        <w:t xml:space="preserve">inversamente proporcional</w:t>
      </w:r>
      <w:r>
        <w:rPr>
          <w:rFonts w:ascii="Calibri" w:cs="Calibri" w:eastAsia="Calibri" w:hAnsi="Calibri"/>
          <w:color w:val="10333C"/>
          <w:sz w:val="22"/>
          <w:szCs w:val="22"/>
        </w:rPr>
        <w:t xml:space="preserve"> al espesor. Esto no es un detalle menor: duplicar el espesor no resta una cantidad fija de clearance, lo divide por dos.</w:t>
      </w:r>
    </w:p>
    <w:tbl>
      <w:tblPr>
        <w:tblW w:type="dxa" w:w="8600"/>
        <w:tblBorders>
          <w:top w:val="single" w:color="B8C8C6" w:sz="4"/>
          <w:left w:val="none"/>
          <w:bottom w:val="single" w:color="B8C8C6" w:sz="4"/>
          <w:right w:val="none"/>
          <w:insideH w:val="single" w:color="D6E2DF" w:sz="2"/>
          <w:insideV w:val="none"/>
        </w:tblBorders>
      </w:tblPr>
      <w:tblGrid>
        <w:gridCol w:w="1900"/>
        <w:gridCol w:w="2100"/>
        <w:gridCol w:w="2100"/>
        <w:gridCol w:w="2500"/>
      </w:tblGrid>
      <w:tr>
        <w:trPr>
          <w:tblHeader/>
        </w:trPr>
        <w:tc>
          <w:tcPr>
            <w:tcW w:type="dxa" w:w="19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Espesor L (µm)</w:t>
            </w:r>
          </w:p>
        </w:tc>
        <w:tc>
          <w:tcPr>
            <w:tcW w:type="dxa" w:w="21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Clearance (mL/min)</w:t>
            </w:r>
          </w:p>
        </w:tc>
        <w:tc>
          <w:tcPr>
            <w:tcW w:type="dxa" w:w="21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Relativo a 50 µm</w:t>
            </w:r>
          </w:p>
        </w:tc>
        <w:tc>
          <w:tcPr>
            <w:tcW w:type="dxa" w:w="25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Lectura</w:t>
            </w:r>
          </w:p>
        </w:tc>
      </w:tr>
      <w:tr>
        <w:tc>
          <w:tcPr>
            <w:tcW w:type="dxa" w:w="19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25</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240,00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 2,00</w:t>
            </w:r>
          </w:p>
        </w:tc>
        <w:tc>
          <w:tcPr>
            <w:tcW w:type="dxa" w:w="25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Más fina, más depura</w:t>
            </w:r>
          </w:p>
        </w:tc>
      </w:tr>
      <w:tr>
        <w:tc>
          <w:tcPr>
            <w:tcW w:type="dxa" w:w="19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50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120,00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 1,00</w:t>
            </w:r>
          </w:p>
        </w:tc>
        <w:tc>
          <w:tcPr>
            <w:tcW w:type="dxa" w:w="25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Parámetro del Anexo I</w:t>
            </w:r>
          </w:p>
        </w:tc>
      </w:tr>
      <w:tr>
        <w:tc>
          <w:tcPr>
            <w:tcW w:type="dxa" w:w="19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75</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80,00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 0,67</w:t>
            </w:r>
          </w:p>
        </w:tc>
        <w:tc>
          <w:tcPr>
            <w:tcW w:type="dxa" w:w="25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Más gruesa, menos depura</w:t>
            </w:r>
          </w:p>
        </w:tc>
      </w:tr>
      <w:tr>
        <w:tc>
          <w:tcPr>
            <w:tcW w:type="dxa" w:w="19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100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60,00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 0,50</w:t>
            </w:r>
          </w:p>
        </w:tc>
        <w:tc>
          <w:tcPr>
            <w:tcW w:type="dxa" w:w="25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Más gruesa, menos depura</w:t>
            </w:r>
          </w:p>
        </w:tc>
      </w:tr>
      <w:tr>
        <w:tc>
          <w:tcPr>
            <w:tcW w:type="dxa" w:w="19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150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40,00</w:t>
            </w:r>
          </w:p>
        </w:tc>
        <w:tc>
          <w:tcPr>
            <w:tcW w:type="dxa" w:w="21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 0,33</w:t>
            </w:r>
          </w:p>
        </w:tc>
        <w:tc>
          <w:tcPr>
            <w:tcW w:type="dxa" w:w="25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Más gruesa, menos depura</w:t>
            </w:r>
          </w:p>
        </w:tc>
      </w:tr>
    </w:tbl>
    <w:p>
      <w:pPr>
        <w:spacing w:after="200" w:line="300"/>
      </w:pPr>
    </w:p>
    <w:p>
      <w:pPr>
        <w:spacing w:after="140" w:line="300"/>
      </w:pPr>
      <w:r>
        <w:rPr>
          <w:rFonts w:ascii="Calibri" w:cs="Calibri" w:eastAsia="Calibri" w:hAnsi="Calibri"/>
          <w:color w:val="10333C"/>
          <w:sz w:val="22"/>
          <w:szCs w:val="22"/>
        </w:rPr>
        <w:t xml:space="preserve">El rendimiento se degrada rápidamente al engrosar la pared y mejora con rendimientos decrecientes al afinarla. Por eso la industria de las membranas de hemodiálisis empujó históricamente hacia espesores cada vez menores.</w:t>
      </w:r>
    </w:p>
    <w:p>
      <w:pPr>
        <w:pStyle w:val="Heading2"/>
        <w:spacing w:after="140" w:before="280"/>
      </w:pPr>
      <w:r>
        <w:rPr>
          <w:rFonts w:ascii="Cambria" w:cs="Cambria" w:eastAsia="Cambria" w:hAnsi="Cambria"/>
          <w:b/>
          <w:bCs/>
          <w:color w:val="10333C"/>
        </w:rPr>
        <w:t xml:space="preserve">3.2 Los límites que el modelo no ve</w:t>
      </w:r>
    </w:p>
    <w:p>
      <w:pPr>
        <w:spacing w:after="140" w:line="300"/>
      </w:pPr>
      <w:r>
        <w:rPr>
          <w:rFonts w:ascii="Calibri" w:cs="Calibri" w:eastAsia="Calibri" w:hAnsi="Calibri"/>
          <w:color w:val="10333C"/>
          <w:sz w:val="22"/>
          <w:szCs w:val="22"/>
        </w:rPr>
        <w:t xml:space="preserve">La curva sugiere que afinando indefinidamente la membrana el clearance crecería sin techo, y eso es falso por dos razones que el modelo no contempla.</w:t>
      </w:r>
    </w:p>
    <w:p>
      <w:pPr>
        <w:spacing w:after="140" w:line="300"/>
      </w:pPr>
      <w:r>
        <w:rPr>
          <w:rFonts w:ascii="Calibri" w:cs="Calibri" w:eastAsia="Calibri" w:hAnsi="Calibri"/>
          <w:b/>
          <w:bCs/>
          <w:color w:val="10333C"/>
          <w:sz w:val="22"/>
          <w:szCs w:val="22"/>
        </w:rPr>
        <w:t xml:space="preserve">El límite por caudal.</w:t>
      </w:r>
      <w:r>
        <w:rPr>
          <w:rFonts w:ascii="Calibri" w:cs="Calibri" w:eastAsia="Calibri" w:hAnsi="Calibri"/>
          <w:color w:val="10333C"/>
          <w:sz w:val="22"/>
          <w:szCs w:val="22"/>
        </w:rPr>
        <w:t xml:space="preserve"> En un dializador real el clearance está acotado por el caudal de sangre: no se puede depurar más sangre por minuto que la que entra al cartucho. Por eficiente que sea la membrana, </w:t>
      </w:r>
      <w:r>
        <w:rPr>
          <w:rFonts w:ascii="Consolas" w:cs="Consolas" w:eastAsia="Consolas" w:hAnsi="Consolas"/>
          <w:color w:val="097A5E"/>
          <w:sz w:val="20"/>
          <w:szCs w:val="20"/>
        </w:rPr>
        <w:t xml:space="preserve">Cl ≤ Qb</w:t>
      </w:r>
      <w:r>
        <w:rPr>
          <w:rFonts w:ascii="Calibri" w:cs="Calibri" w:eastAsia="Calibri" w:hAnsi="Calibri"/>
          <w:color w:val="10333C"/>
          <w:sz w:val="22"/>
          <w:szCs w:val="22"/>
        </w:rPr>
        <w:t xml:space="preserve">. El modelo difusivo puro no tiene ese techo porque no modela el circuito, sólo la pared.</w:t>
      </w:r>
    </w:p>
    <w:p>
      <w:pPr>
        <w:spacing w:after="140" w:line="300"/>
      </w:pPr>
      <w:r>
        <w:rPr>
          <w:rFonts w:ascii="Calibri" w:cs="Calibri" w:eastAsia="Calibri" w:hAnsi="Calibri"/>
          <w:b/>
          <w:bCs/>
          <w:color w:val="10333C"/>
          <w:sz w:val="22"/>
          <w:szCs w:val="22"/>
        </w:rPr>
        <w:t xml:space="preserve">El límite mecánico.</w:t>
      </w:r>
      <w:r>
        <w:rPr>
          <w:rFonts w:ascii="Calibri" w:cs="Calibri" w:eastAsia="Calibri" w:hAnsi="Calibri"/>
          <w:color w:val="10333C"/>
          <w:sz w:val="22"/>
          <w:szCs w:val="22"/>
        </w:rPr>
        <w:t xml:space="preserve"> Menos espesor implica menos resistencia frente a la presión transmembrana. Una fibra que colapsa o se rompe deja pasar sangre al compartimento del dializado, lo que constituye una falla clínica grave. El compromiso entre transporte y resistencia mecánica es precisamente el problema de biomateriales que subyace al diseño de la membrana, y es el que conecta este TP con el objetivo declarado de la materia.</w:t>
      </w:r>
    </w:p>
    <w:p>
      <w:pPr>
        <w:pStyle w:val="Heading1"/>
        <w:spacing w:after="140" w:before="360"/>
      </w:pPr>
      <w:r>
        <w:rPr>
          <w:rFonts w:ascii="Cambria" w:cs="Cambria" w:eastAsia="Cambria" w:hAnsi="Cambria"/>
          <w:b/>
          <w:bCs/>
          <w:color w:val="10333C"/>
        </w:rPr>
        <w:t xml:space="preserve">4. Paso 3 — Optimización del área</w:t>
      </w:r>
    </w:p>
    <w:p>
      <w:pPr>
        <w:pStyle w:val="Heading2"/>
        <w:spacing w:after="140" w:before="280"/>
      </w:pPr>
      <w:r>
        <w:rPr>
          <w:rFonts w:ascii="Cambria" w:cs="Cambria" w:eastAsia="Cambria" w:hAnsi="Cambria"/>
          <w:b/>
          <w:bCs/>
          <w:color w:val="10333C"/>
        </w:rPr>
        <w:t xml:space="preserve">4.1 El área entra linealmente</w:t>
      </w:r>
    </w:p>
    <w:p>
      <w:pPr>
        <w:spacing w:after="140" w:line="300"/>
      </w:pPr>
      <w:r>
        <w:rPr>
          <w:rFonts w:ascii="Calibri" w:cs="Calibri" w:eastAsia="Calibri" w:hAnsi="Calibri"/>
          <w:color w:val="10333C"/>
          <w:sz w:val="22"/>
          <w:szCs w:val="22"/>
        </w:rPr>
        <w:t xml:space="preserve">A diferencia del espesor, el área aparece en el numerador y de forma lineal. La relación </w:t>
      </w:r>
      <w:r>
        <w:rPr>
          <w:rFonts w:ascii="Consolas" w:cs="Consolas" w:eastAsia="Consolas" w:hAnsi="Consolas"/>
          <w:color w:val="097A5E"/>
          <w:sz w:val="20"/>
          <w:szCs w:val="20"/>
        </w:rPr>
        <w:t xml:space="preserve">Cl</w:t>
      </w:r>
      <w:r>
        <w:rPr>
          <w:rFonts w:ascii="Calibri" w:cs="Calibri" w:eastAsia="Calibri" w:hAnsi="Calibri"/>
          <w:color w:val="10333C"/>
          <w:sz w:val="22"/>
          <w:szCs w:val="22"/>
        </w:rPr>
        <w:t xml:space="preserve"> contra </w:t>
      </w:r>
      <w:r>
        <w:rPr>
          <w:rFonts w:ascii="Consolas" w:cs="Consolas" w:eastAsia="Consolas" w:hAnsi="Consolas"/>
          <w:color w:val="097A5E"/>
          <w:sz w:val="20"/>
          <w:szCs w:val="20"/>
        </w:rPr>
        <w:t xml:space="preserve">A</w:t>
      </w:r>
      <w:r>
        <w:rPr>
          <w:rFonts w:ascii="Calibri" w:cs="Calibri" w:eastAsia="Calibri" w:hAnsi="Calibri"/>
          <w:color w:val="10333C"/>
          <w:sz w:val="22"/>
          <w:szCs w:val="22"/>
        </w:rPr>
        <w:t xml:space="preserve"> es una recta que pasa por el origen y cuya pendiente es </w:t>
      </w:r>
      <w:r>
        <w:rPr>
          <w:rFonts w:ascii="Consolas" w:cs="Consolas" w:eastAsia="Consolas" w:hAnsi="Consolas"/>
          <w:color w:val="097A5E"/>
          <w:sz w:val="20"/>
          <w:szCs w:val="20"/>
        </w:rPr>
        <w:t xml:space="preserve">D/L</w:t>
      </w:r>
      <w:r>
        <w:rPr>
          <w:rFonts w:ascii="Calibri" w:cs="Calibri" w:eastAsia="Calibri" w:hAnsi="Calibri"/>
          <w:color w:val="10333C"/>
          <w:sz w:val="22"/>
          <w:szCs w:val="22"/>
        </w:rPr>
        <w:t xml:space="preserve">. Duplicar el área duplica el clearance, sin rendimientos decrecientes.</w:t>
      </w:r>
    </w:p>
    <w:p>
      <w:pPr>
        <w:spacing w:after="140" w:line="300"/>
      </w:pPr>
      <w:r>
        <w:rPr>
          <w:rFonts w:ascii="Calibri" w:cs="Calibri" w:eastAsia="Calibri" w:hAnsi="Calibri"/>
          <w:color w:val="10333C"/>
          <w:sz w:val="22"/>
          <w:szCs w:val="22"/>
        </w:rPr>
        <w:t xml:space="preserve">Invirtiendo la expresión para despejar el área necesaria:</w:t>
      </w:r>
    </w:p>
    <w:p>
      <w:pPr>
        <w:spacing w:after="180" w:before="160"/>
        <w:jc w:val="center"/>
      </w:pPr>
      <w:r>
        <w:rPr>
          <w:rFonts w:ascii="Consolas" w:cs="Consolas" w:eastAsia="Consolas" w:hAnsi="Consolas"/>
          <w:b/>
          <w:bCs/>
          <w:color w:val="097A5E"/>
          <w:sz w:val="22"/>
          <w:szCs w:val="22"/>
        </w:rPr>
        <w:t xml:space="preserve">A = Cl · L / D</w:t>
      </w:r>
    </w:p>
    <w:p>
      <w:pPr>
        <w:spacing w:after="140" w:line="300"/>
      </w:pPr>
      <w:r>
        <w:rPr>
          <w:rFonts w:ascii="Calibri" w:cs="Calibri" w:eastAsia="Calibri" w:hAnsi="Calibri"/>
          <w:color w:val="10333C"/>
          <w:sz w:val="22"/>
          <w:szCs w:val="22"/>
        </w:rPr>
        <w:t xml:space="preserve">Para el objetivo de </w:t>
      </w:r>
      <w:r>
        <w:rPr>
          <w:rFonts w:ascii="Calibri" w:cs="Calibri" w:eastAsia="Calibri" w:hAnsi="Calibri"/>
          <w:b/>
          <w:bCs/>
          <w:color w:val="10333C"/>
          <w:sz w:val="22"/>
          <w:szCs w:val="22"/>
        </w:rPr>
        <w:t xml:space="preserve">150 mL/min</w:t>
      </w:r>
      <w:r>
        <w:rPr>
          <w:rFonts w:ascii="Calibri" w:cs="Calibri" w:eastAsia="Calibri" w:hAnsi="Calibri"/>
          <w:color w:val="10333C"/>
          <w:sz w:val="22"/>
          <w:szCs w:val="22"/>
        </w:rPr>
        <w:t xml:space="preserve"> manteniendo </w:t>
      </w:r>
      <w:r>
        <w:rPr>
          <w:rFonts w:ascii="Consolas" w:cs="Consolas" w:eastAsia="Consolas" w:hAnsi="Consolas"/>
          <w:color w:val="097A5E"/>
          <w:sz w:val="20"/>
          <w:szCs w:val="20"/>
        </w:rPr>
        <w:t xml:space="preserve">L = 50 µm</w:t>
      </w:r>
      <w:r>
        <w:rPr>
          <w:rFonts w:ascii="Calibri" w:cs="Calibri" w:eastAsia="Calibri" w:hAnsi="Calibri"/>
          <w:color w:val="10333C"/>
          <w:sz w:val="22"/>
          <w:szCs w:val="22"/>
        </w:rPr>
        <w:t xml:space="preserve"> y </w:t>
      </w:r>
      <w:r>
        <w:rPr>
          <w:rFonts w:ascii="Consolas" w:cs="Consolas" w:eastAsia="Consolas" w:hAnsi="Consolas"/>
          <w:color w:val="097A5E"/>
          <w:sz w:val="20"/>
          <w:szCs w:val="20"/>
        </w:rPr>
        <w:t xml:space="preserve">D = 1×10⁻¹⁰ m²/s</w:t>
      </w:r>
      <w:r>
        <w:rPr>
          <w:rFonts w:ascii="Calibri" w:cs="Calibri" w:eastAsia="Calibri" w:hAnsi="Calibri"/>
          <w:color w:val="10333C"/>
          <w:sz w:val="22"/>
          <w:szCs w:val="22"/>
        </w:rPr>
        <w:t xml:space="preserve">:</w:t>
      </w:r>
    </w:p>
    <w:p>
      <w:pPr>
        <w:spacing w:after="180" w:before="160"/>
        <w:jc w:val="center"/>
      </w:pPr>
      <w:r>
        <w:rPr>
          <w:rFonts w:ascii="Consolas" w:cs="Consolas" w:eastAsia="Consolas" w:hAnsi="Consolas"/>
          <w:b/>
          <w:bCs/>
          <w:color w:val="097A5E"/>
          <w:sz w:val="22"/>
          <w:szCs w:val="22"/>
        </w:rPr>
        <w:t xml:space="preserve">A = (150 / 6×10⁷ m³/s) · (50×10⁻⁶ m) / (1×10⁻¹⁰ m²/s) = 1,25 m²</w:t>
      </w:r>
    </w:p>
    <w:p>
      <w:pPr>
        <w:spacing w:after="140" w:line="300"/>
      </w:pPr>
      <w:r>
        <w:rPr>
          <w:rFonts w:ascii="Calibri" w:cs="Calibri" w:eastAsia="Calibri" w:hAnsi="Calibri"/>
          <w:color w:val="10333C"/>
          <w:sz w:val="22"/>
          <w:szCs w:val="22"/>
        </w:rPr>
        <w:t xml:space="preserve">El resultado es </w:t>
      </w:r>
      <w:r>
        <w:rPr>
          <w:rFonts w:ascii="Calibri" w:cs="Calibri" w:eastAsia="Calibri" w:hAnsi="Calibri"/>
          <w:b/>
          <w:bCs/>
          <w:color w:val="10333C"/>
          <w:sz w:val="22"/>
          <w:szCs w:val="22"/>
        </w:rPr>
        <w:t xml:space="preserve">1,25 m²</w:t>
      </w:r>
      <w:r>
        <w:rPr>
          <w:rFonts w:ascii="Calibri" w:cs="Calibri" w:eastAsia="Calibri" w:hAnsi="Calibri"/>
          <w:color w:val="10333C"/>
          <w:sz w:val="22"/>
          <w:szCs w:val="22"/>
        </w:rPr>
        <w:t xml:space="preserve">, un 25 % más de superficie que el caso base, exactamente en la proporción en que se quiere aumentar el clearance (150/120 = 1,25).</w:t>
      </w:r>
    </w:p>
    <w:p>
      <w:pPr>
        <w:pStyle w:val="Heading2"/>
        <w:spacing w:after="140" w:before="280"/>
      </w:pPr>
      <w:r>
        <w:rPr>
          <w:rFonts w:ascii="Cambria" w:cs="Cambria" w:eastAsia="Cambria" w:hAnsi="Cambria"/>
          <w:b/>
          <w:bCs/>
          <w:color w:val="10333C"/>
        </w:rPr>
        <w:t xml:space="preserve">4.2 Cómo se materializa esa área en la práctica</w:t>
      </w:r>
    </w:p>
    <w:p>
      <w:pPr>
        <w:spacing w:after="140" w:line="300"/>
      </w:pPr>
      <w:r>
        <w:rPr>
          <w:rFonts w:ascii="Calibri" w:cs="Calibri" w:eastAsia="Calibri" w:hAnsi="Calibri"/>
          <w:color w:val="10333C"/>
          <w:sz w:val="22"/>
          <w:szCs w:val="22"/>
        </w:rPr>
        <w:t xml:space="preserve">Un metro y cuarto de superficie de intercambio no es una lámina plana de 1,25 m². En un dializador comercial se consigue mediante un haz de entre </w:t>
      </w:r>
      <w:r>
        <w:rPr>
          <w:rFonts w:ascii="Calibri" w:cs="Calibri" w:eastAsia="Calibri" w:hAnsi="Calibri"/>
          <w:b/>
          <w:bCs/>
          <w:color w:val="10333C"/>
          <w:sz w:val="22"/>
          <w:szCs w:val="22"/>
        </w:rPr>
        <w:t xml:space="preserve">10.000 y 15.000 fibras huecas</w:t>
      </w:r>
      <w:r>
        <w:rPr>
          <w:rFonts w:ascii="Calibri" w:cs="Calibri" w:eastAsia="Calibri" w:hAnsi="Calibri"/>
          <w:color w:val="10333C"/>
          <w:sz w:val="22"/>
          <w:szCs w:val="22"/>
        </w:rPr>
        <w:t xml:space="preserve"> de aproximadamente 200 µm de diámetro interno, empaquetadas en un cartucho del tamaño de un vaso.</w:t>
      </w:r>
    </w:p>
    <w:p>
      <w:pPr>
        <w:spacing w:after="140" w:line="300"/>
      </w:pPr>
      <w:r>
        <w:rPr>
          <w:rFonts w:ascii="Calibri" w:cs="Calibri" w:eastAsia="Calibri" w:hAnsi="Calibri"/>
          <w:color w:val="10333C"/>
          <w:sz w:val="22"/>
          <w:szCs w:val="22"/>
        </w:rPr>
        <w:t xml:space="preserve">La geometría de placa plana del modelo es entonces una simplificación geométrica. Lo que se conserva, y lo que gobierna el transporte, es el producto entre el área y la inversa del espesor. Mientras ese producto se mantenga, la predicción del modelo sigue siendo válida en orden de magnitud.</w:t>
      </w:r>
    </w:p>
    <w:p>
      <w:pPr>
        <w:pStyle w:val="Heading1"/>
        <w:spacing w:after="140" w:before="360"/>
      </w:pPr>
      <w:r>
        <w:rPr>
          <w:rFonts w:ascii="Cambria" w:cs="Cambria" w:eastAsia="Cambria" w:hAnsi="Cambria"/>
          <w:b/>
          <w:bCs/>
          <w:color w:val="10333C"/>
        </w:rPr>
        <w:t xml:space="preserve">5. Paso 4 — Cut-off de la membrana y Vitamina B12</w:t>
      </w:r>
    </w:p>
    <w:p>
      <w:pPr>
        <w:spacing w:after="140" w:line="300"/>
      </w:pPr>
      <w:r>
        <w:rPr>
          <w:rFonts w:ascii="Calibri" w:cs="Calibri" w:eastAsia="Calibri" w:hAnsi="Calibri"/>
          <w:color w:val="10333C"/>
          <w:sz w:val="22"/>
          <w:szCs w:val="22"/>
        </w:rPr>
        <w:t xml:space="preserve">Como </w:t>
      </w:r>
      <w:r>
        <w:rPr>
          <w:rFonts w:ascii="Consolas" w:cs="Consolas" w:eastAsia="Consolas" w:hAnsi="Consolas"/>
          <w:color w:val="097A5E"/>
          <w:sz w:val="20"/>
          <w:szCs w:val="20"/>
        </w:rPr>
        <w:t xml:space="preserve">Cl = D·A/L</w:t>
      </w:r>
      <w:r>
        <w:rPr>
          <w:rFonts w:ascii="Calibri" w:cs="Calibri" w:eastAsia="Calibri" w:hAnsi="Calibri"/>
          <w:color w:val="10333C"/>
          <w:sz w:val="22"/>
          <w:szCs w:val="22"/>
        </w:rPr>
        <w:t xml:space="preserve"> y la geometría es idéntica para todos los solutos, el cociente de clearances entre dos especies </w:t>
      </w:r>
      <w:r>
        <w:rPr>
          <w:rFonts w:ascii="Calibri" w:cs="Calibri" w:eastAsia="Calibri" w:hAnsi="Calibri"/>
          <w:b/>
          <w:bCs/>
          <w:color w:val="10333C"/>
          <w:sz w:val="22"/>
          <w:szCs w:val="22"/>
        </w:rPr>
        <w:t xml:space="preserve">es exactamente el cociente de sus difusividades efectivas en la membrana</w:t>
      </w:r>
      <w:r>
        <w:rPr>
          <w:rFonts w:ascii="Calibri" w:cs="Calibri" w:eastAsia="Calibri" w:hAnsi="Calibri"/>
          <w:color w:val="10333C"/>
          <w:sz w:val="22"/>
          <w:szCs w:val="22"/>
        </w:rPr>
        <w:t xml:space="preserve">. Todo el problema se reduce entonces a estimar, o mejor, a medir ese coeficiente.</w:t>
      </w:r>
    </w:p>
    <w:p>
      <w:pPr>
        <w:pStyle w:val="Heading2"/>
        <w:spacing w:after="140" w:before="280"/>
      </w:pPr>
      <w:r>
        <w:rPr>
          <w:rFonts w:ascii="Cambria" w:cs="Cambria" w:eastAsia="Cambria" w:hAnsi="Cambria"/>
          <w:b/>
          <w:bCs/>
          <w:color w:val="10333C"/>
        </w:rPr>
        <w:t xml:space="preserve">5.1 Lo que predice el escalado de Stokes–Einstein</w:t>
      </w:r>
    </w:p>
    <w:p>
      <w:pPr>
        <w:spacing w:after="140" w:line="300"/>
      </w:pPr>
      <w:r>
        <w:rPr>
          <w:rFonts w:ascii="Calibri" w:cs="Calibri" w:eastAsia="Calibri" w:hAnsi="Calibri"/>
          <w:color w:val="10333C"/>
          <w:sz w:val="22"/>
          <w:szCs w:val="22"/>
        </w:rPr>
        <w:t xml:space="preserve">La relación de Stokes–Einstein vincula la difusividad con el radio hidrodinámico de la molécula:</w:t>
      </w:r>
    </w:p>
    <w:p>
      <w:pPr>
        <w:spacing w:after="180" w:before="160"/>
        <w:jc w:val="center"/>
      </w:pPr>
      <w:r>
        <w:rPr>
          <w:rFonts w:ascii="Consolas" w:cs="Consolas" w:eastAsia="Consolas" w:hAnsi="Consolas"/>
          <w:b/>
          <w:bCs/>
          <w:color w:val="097A5E"/>
          <w:sz w:val="22"/>
          <w:szCs w:val="22"/>
        </w:rPr>
        <w:t xml:space="preserve">D = k_B · T / (6 · π · η · r_h)</w:t>
      </w:r>
    </w:p>
    <w:p>
      <w:pPr>
        <w:spacing w:after="140" w:line="300"/>
      </w:pPr>
      <w:r>
        <w:rPr>
          <w:rFonts w:ascii="Calibri" w:cs="Calibri" w:eastAsia="Calibri" w:hAnsi="Calibri"/>
          <w:color w:val="10333C"/>
          <w:sz w:val="22"/>
          <w:szCs w:val="22"/>
        </w:rPr>
        <w:t xml:space="preserve">Para una molécula compacta de densidad aproximadamente constante, el radio escala con la raíz cúbica de la masa, </w:t>
      </w:r>
      <w:r>
        <w:rPr>
          <w:rFonts w:ascii="Consolas" w:cs="Consolas" w:eastAsia="Consolas" w:hAnsi="Consolas"/>
          <w:color w:val="097A5E"/>
          <w:sz w:val="20"/>
          <w:szCs w:val="20"/>
        </w:rPr>
        <w:t xml:space="preserve">r_h ∝ M^(1/3)</w:t>
      </w:r>
      <w:r>
        <w:rPr>
          <w:rFonts w:ascii="Calibri" w:cs="Calibri" w:eastAsia="Calibri" w:hAnsi="Calibri"/>
          <w:color w:val="10333C"/>
          <w:sz w:val="22"/>
          <w:szCs w:val="22"/>
        </w:rPr>
        <w:t xml:space="preserve">, de donde </w:t>
      </w:r>
      <w:r>
        <w:rPr>
          <w:rFonts w:ascii="Consolas" w:cs="Consolas" w:eastAsia="Consolas" w:hAnsi="Consolas"/>
          <w:color w:val="097A5E"/>
          <w:sz w:val="20"/>
          <w:szCs w:val="20"/>
        </w:rPr>
        <w:t xml:space="preserve">D ∝ M^(−1/3)</w:t>
      </w:r>
      <w:r>
        <w:rPr>
          <w:rFonts w:ascii="Calibri" w:cs="Calibri" w:eastAsia="Calibri" w:hAnsi="Calibri"/>
          <w:color w:val="10333C"/>
          <w:sz w:val="22"/>
          <w:szCs w:val="22"/>
        </w:rPr>
        <w:t xml:space="preserve">. Aplicado al par B12–urea:</w:t>
      </w:r>
    </w:p>
    <w:p>
      <w:pPr>
        <w:spacing w:after="180" w:before="160"/>
        <w:jc w:val="center"/>
      </w:pPr>
      <w:r>
        <w:rPr>
          <w:rFonts w:ascii="Consolas" w:cs="Consolas" w:eastAsia="Consolas" w:hAnsi="Consolas"/>
          <w:b/>
          <w:bCs/>
          <w:color w:val="097A5E"/>
          <w:sz w:val="22"/>
          <w:szCs w:val="22"/>
        </w:rPr>
        <w:t xml:space="preserve">D_B12 / D_urea = (60,06 / 1355)^(1/3) = 0,354</w:t>
      </w:r>
    </w:p>
    <w:p>
      <w:pPr>
        <w:spacing w:after="140" w:line="300"/>
      </w:pPr>
      <w:r>
        <w:rPr>
          <w:rFonts w:ascii="Calibri" w:cs="Calibri" w:eastAsia="Calibri" w:hAnsi="Calibri"/>
          <w:color w:val="10333C"/>
          <w:sz w:val="22"/>
          <w:szCs w:val="22"/>
        </w:rPr>
        <w:t xml:space="preserve">Es decir: la Vitamina B12 pesa 22 veces más que la urea pero, según este modelo, difundiría apenas unas 3 veces más lento, porque la dependencia con la masa es débil. Con la geometría base esto daría un clearance de unos </w:t>
      </w:r>
      <w:r>
        <w:rPr>
          <w:rFonts w:ascii="Calibri" w:cs="Calibri" w:eastAsia="Calibri" w:hAnsi="Calibri"/>
          <w:b/>
          <w:bCs/>
          <w:color w:val="10333C"/>
          <w:sz w:val="22"/>
          <w:szCs w:val="22"/>
        </w:rPr>
        <w:t xml:space="preserve">42,5 mL/min</w:t>
      </w:r>
      <w:r>
        <w:rPr>
          <w:rFonts w:ascii="Calibri" w:cs="Calibri" w:eastAsia="Calibri" w:hAnsi="Calibri"/>
          <w:color w:val="10333C"/>
          <w:sz w:val="22"/>
          <w:szCs w:val="22"/>
        </w:rPr>
        <w:t xml:space="preserve">.</w:t>
      </w:r>
    </w:p>
    <w:p>
      <w:pPr>
        <w:pStyle w:val="Heading2"/>
        <w:spacing w:after="140" w:before="280"/>
      </w:pPr>
      <w:r>
        <w:rPr>
          <w:rFonts w:ascii="Cambria" w:cs="Cambria" w:eastAsia="Cambria" w:hAnsi="Cambria"/>
          <w:b/>
          <w:bCs/>
          <w:color w:val="10333C"/>
        </w:rPr>
        <w:t xml:space="preserve">5.2 Lo que efectivamente se mide</w:t>
      </w:r>
    </w:p>
    <w:p>
      <w:pPr>
        <w:spacing w:after="140" w:line="300"/>
      </w:pPr>
      <w:r>
        <w:rPr>
          <w:rFonts w:ascii="Calibri" w:cs="Calibri" w:eastAsia="Calibri" w:hAnsi="Calibri"/>
          <w:color w:val="10333C"/>
          <w:sz w:val="22"/>
          <w:szCs w:val="22"/>
        </w:rPr>
        <w:t xml:space="preserve">Colton, Smith, Merrill y Farrell (1971) midieron las permeabilidades difusivas verdaderas de membranas de celulosa regenerada con 15 solutos de peso molecular entre 58 y 68.000, empleando un dializador de tipo batch. Sus resultados permiten reemplazar la estimación por un dato experimental.</w:t>
      </w:r>
    </w:p>
    <w:p>
      <w:pPr>
        <w:spacing w:after="140" w:line="300"/>
      </w:pPr>
      <w:r>
        <w:rPr>
          <w:rFonts w:ascii="Calibri" w:cs="Calibri" w:eastAsia="Calibri" w:hAnsi="Calibri"/>
          <w:color w:val="10333C"/>
          <w:sz w:val="22"/>
          <w:szCs w:val="22"/>
        </w:rPr>
        <w:t xml:space="preserve">La Tabla III de ese trabajo reporta las resistencias de membrana </w:t>
      </w:r>
      <w:r>
        <w:rPr>
          <w:rFonts w:ascii="Consolas" w:cs="Consolas" w:eastAsia="Consolas" w:hAnsi="Consolas"/>
          <w:color w:val="097A5E"/>
          <w:sz w:val="20"/>
          <w:szCs w:val="20"/>
        </w:rPr>
        <w:t xml:space="preserve">R_m</w:t>
      </w:r>
      <w:r>
        <w:rPr>
          <w:rFonts w:ascii="Calibri" w:cs="Calibri" w:eastAsia="Calibri" w:hAnsi="Calibri"/>
          <w:color w:val="10333C"/>
          <w:sz w:val="22"/>
          <w:szCs w:val="22"/>
        </w:rPr>
        <w:t xml:space="preserve"> en Cuprophane PT-150 a 37 °C. Como </w:t>
      </w:r>
      <w:r>
        <w:rPr>
          <w:rFonts w:ascii="Calibri" w:cs="Calibri" w:eastAsia="Calibri" w:hAnsi="Calibri"/>
          <w:b/>
          <w:bCs/>
          <w:color w:val="10333C"/>
          <w:sz w:val="22"/>
          <w:szCs w:val="22"/>
        </w:rPr>
        <w:t xml:space="preserve">todos los solutos se midieron sobre la misma membrana</w:t>
      </w:r>
      <w:r>
        <w:rPr>
          <w:rFonts w:ascii="Calibri" w:cs="Calibri" w:eastAsia="Calibri" w:hAnsi="Calibri"/>
          <w:color w:val="10333C"/>
          <w:sz w:val="22"/>
          <w:szCs w:val="22"/>
        </w:rPr>
        <w:t xml:space="preserve">, el espesor y el área se cancelan, y el cociente de resistencias da directamente el cociente de permeabilidades y por lo tanto de clearances:</w:t>
      </w:r>
    </w:p>
    <w:p>
      <w:pPr>
        <w:spacing w:after="180" w:before="160"/>
        <w:jc w:val="center"/>
      </w:pPr>
      <w:r>
        <w:rPr>
          <w:rFonts w:ascii="Consolas" w:cs="Consolas" w:eastAsia="Consolas" w:hAnsi="Consolas"/>
          <w:b/>
          <w:bCs/>
          <w:color w:val="097A5E"/>
          <w:sz w:val="22"/>
          <w:szCs w:val="22"/>
        </w:rPr>
        <w:t xml:space="preserve">Cl(soluto) / Cl(urea) = R_m(urea) / R_m(soluto)</w:t>
      </w:r>
    </w:p>
    <w:tbl>
      <w:tblPr>
        <w:tblW w:type="dxa" w:w="9200"/>
        <w:tblBorders>
          <w:top w:val="single" w:color="B8C8C6" w:sz="4"/>
          <w:left w:val="none"/>
          <w:bottom w:val="single" w:color="B8C8C6" w:sz="4"/>
          <w:right w:val="none"/>
          <w:insideH w:val="single" w:color="D6E2DF" w:sz="2"/>
          <w:insideV w:val="none"/>
        </w:tblBorders>
      </w:tblPr>
      <w:tblGrid>
        <w:gridCol w:w="2400"/>
        <w:gridCol w:w="1700"/>
        <w:gridCol w:w="1700"/>
        <w:gridCol w:w="1700"/>
        <w:gridCol w:w="1700"/>
      </w:tblGrid>
      <w:tr>
        <w:trPr>
          <w:tblHeader/>
        </w:trPr>
        <w:tc>
          <w:tcPr>
            <w:tcW w:type="dxa" w:w="24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Soluto</w:t>
            </w:r>
          </w:p>
        </w:tc>
        <w:tc>
          <w:tcPr>
            <w:tcW w:type="dxa" w:w="17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M (g/mol)</w:t>
            </w:r>
          </w:p>
        </w:tc>
        <w:tc>
          <w:tcPr>
            <w:tcW w:type="dxa" w:w="17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R_m (min/cm)</w:t>
            </w:r>
          </w:p>
        </w:tc>
        <w:tc>
          <w:tcPr>
            <w:tcW w:type="dxa" w:w="17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Cl/Cl urea</w:t>
            </w:r>
          </w:p>
        </w:tc>
        <w:tc>
          <w:tcPr>
            <w:tcW w:type="dxa" w:w="17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Cl (mL/min)</w:t>
            </w:r>
          </w:p>
        </w:tc>
      </w:tr>
      <w:tr>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Urea</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60,06</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17,0 ± 1,1</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1,0000</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120,00</w:t>
            </w:r>
          </w:p>
        </w:tc>
      </w:tr>
      <w:tr>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Creatinina</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113,1</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30,8 ± 1,3</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0,5519</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66,23</w:t>
            </w:r>
          </w:p>
        </w:tc>
      </w:tr>
      <w:tr>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Vitamina B12</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1355</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242 ± 10</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0,0702</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8,43</w:t>
            </w:r>
          </w:p>
        </w:tc>
      </w:tr>
      <w:tr>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Albúmina</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66.000</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5,9 × 10⁵</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2,88 × 10⁻⁵</w:t>
            </w:r>
          </w:p>
        </w:tc>
        <w:tc>
          <w:tcPr>
            <w:tcW w:type="dxa" w:w="17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0,0035</w:t>
            </w:r>
          </w:p>
        </w:tc>
      </w:tr>
    </w:tbl>
    <w:p>
      <w:pPr>
        <w:spacing w:after="200" w:line="300"/>
      </w:pPr>
    </w:p>
    <w:p>
      <w:pPr>
        <w:spacing w:after="140" w:line="300"/>
      </w:pPr>
      <w:r>
        <w:rPr>
          <w:rFonts w:ascii="Calibri" w:cs="Calibri" w:eastAsia="Calibri" w:hAnsi="Calibri"/>
          <w:color w:val="10333C"/>
          <w:sz w:val="22"/>
          <w:szCs w:val="22"/>
        </w:rPr>
        <w:t xml:space="preserve">El clearance medido de la Vitamina B12 resulta entonces de </w:t>
      </w:r>
      <w:r>
        <w:rPr>
          <w:rFonts w:ascii="Calibri" w:cs="Calibri" w:eastAsia="Calibri" w:hAnsi="Calibri"/>
          <w:b/>
          <w:bCs/>
          <w:color w:val="10333C"/>
          <w:sz w:val="22"/>
          <w:szCs w:val="22"/>
        </w:rPr>
        <w:t xml:space="preserve">8,43 mL/min</w:t>
      </w:r>
      <w:r>
        <w:rPr>
          <w:rFonts w:ascii="Calibri" w:cs="Calibri" w:eastAsia="Calibri" w:hAnsi="Calibri"/>
          <w:color w:val="10333C"/>
          <w:sz w:val="22"/>
          <w:szCs w:val="22"/>
        </w:rPr>
        <w:t xml:space="preserve">, un factor </w:t>
      </w:r>
      <w:r>
        <w:rPr>
          <w:rFonts w:ascii="Calibri" w:cs="Calibri" w:eastAsia="Calibri" w:hAnsi="Calibri"/>
          <w:b/>
          <w:bCs/>
          <w:color w:val="10333C"/>
          <w:sz w:val="22"/>
          <w:szCs w:val="22"/>
        </w:rPr>
        <w:t xml:space="preserve">14 veces menor</w:t>
      </w:r>
      <w:r>
        <w:rPr>
          <w:rFonts w:ascii="Calibri" w:cs="Calibri" w:eastAsia="Calibri" w:hAnsi="Calibri"/>
          <w:color w:val="10333C"/>
          <w:sz w:val="22"/>
          <w:szCs w:val="22"/>
        </w:rPr>
        <w:t xml:space="preserve"> que el de la urea. La resistencia de la albúmina se midió a 27 °C (Tabla V del mismo trabajo) y su determinación con Cuprophane requirió 96 horas de ensayo, lo que ilustra hasta qué punto queda excluida.</w:t>
      </w:r>
    </w:p>
    <w:p>
      <w:pPr>
        <w:pStyle w:val="Heading2"/>
        <w:spacing w:after="140" w:before="280"/>
      </w:pPr>
      <w:r>
        <w:rPr>
          <w:rFonts w:ascii="Cambria" w:cs="Cambria" w:eastAsia="Cambria" w:hAnsi="Cambria"/>
          <w:b/>
          <w:bCs/>
          <w:color w:val="10333C"/>
        </w:rPr>
        <w:t xml:space="preserve">5.3 Por qué Stokes–Einstein no alcanza como explicación</w:t>
      </w:r>
    </w:p>
    <w:p>
      <w:pPr>
        <w:spacing w:after="140" w:line="300"/>
      </w:pPr>
      <w:r>
        <w:rPr>
          <w:rFonts w:ascii="Calibri" w:cs="Calibri" w:eastAsia="Calibri" w:hAnsi="Calibri"/>
          <w:color w:val="10333C"/>
          <w:sz w:val="22"/>
          <w:szCs w:val="22"/>
        </w:rPr>
        <w:t xml:space="preserve">La comparación entre lo predicho y lo medido es el resultado más instructivo de todo el trabajo práctico:</w:t>
      </w:r>
    </w:p>
    <w:tbl>
      <w:tblPr>
        <w:tblW w:type="dxa" w:w="7800"/>
        <w:tblBorders>
          <w:top w:val="single" w:color="B8C8C6" w:sz="4"/>
          <w:left w:val="none"/>
          <w:bottom w:val="single" w:color="B8C8C6" w:sz="4"/>
          <w:right w:val="none"/>
          <w:insideH w:val="single" w:color="D6E2DF" w:sz="2"/>
          <w:insideV w:val="none"/>
        </w:tblBorders>
      </w:tblPr>
      <w:tblGrid>
        <w:gridCol w:w="3400"/>
        <w:gridCol w:w="2000"/>
        <w:gridCol w:w="2400"/>
      </w:tblGrid>
      <w:tr>
        <w:trPr>
          <w:tblHeader/>
        </w:trPr>
        <w:tc>
          <w:tcPr>
            <w:tcW w:type="dxa" w:w="34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Cociente D_B12 / D_urea</w:t>
            </w:r>
          </w:p>
        </w:tc>
        <w:tc>
          <w:tcPr>
            <w:tcW w:type="dxa" w:w="20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Valor</w:t>
            </w:r>
          </w:p>
        </w:tc>
        <w:tc>
          <w:tcPr>
            <w:tcW w:type="dxa" w:w="24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Origen</w:t>
            </w:r>
          </w:p>
        </w:tc>
      </w:tr>
      <w:tr>
        <w:tc>
          <w:tcPr>
            <w:tcW w:type="dxa" w:w="3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Escalado M^(−1/3)</w:t>
            </w:r>
          </w:p>
        </w:tc>
        <w:tc>
          <w:tcPr>
            <w:tcW w:type="dxa" w:w="2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0,354</w:t>
            </w:r>
          </w:p>
        </w:tc>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Stokes–Einstein</w:t>
            </w:r>
          </w:p>
        </w:tc>
      </w:tr>
      <w:tr>
        <w:tc>
          <w:tcPr>
            <w:tcW w:type="dxa" w:w="3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En solución libre, 37 °C</w:t>
            </w:r>
          </w:p>
        </w:tc>
        <w:tc>
          <w:tcPr>
            <w:tcW w:type="dxa" w:w="2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0,209</w:t>
            </w:r>
          </w:p>
        </w:tc>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Colton 1971, Tabla I</w:t>
            </w:r>
          </w:p>
        </w:tc>
      </w:tr>
      <w:tr>
        <w:tc>
          <w:tcPr>
            <w:tcW w:type="dxa" w:w="3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Dentro de la membrana</w:t>
            </w:r>
          </w:p>
        </w:tc>
        <w:tc>
          <w:tcPr>
            <w:tcW w:type="dxa" w:w="2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0,070</w:t>
            </w:r>
          </w:p>
        </w:tc>
        <w:tc>
          <w:tcPr>
            <w:tcW w:type="dxa" w:w="24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Colton 1971, Tabla III</w:t>
            </w:r>
          </w:p>
        </w:tc>
      </w:tr>
    </w:tbl>
    <w:p>
      <w:pPr>
        <w:spacing w:after="200" w:line="300"/>
      </w:pPr>
    </w:p>
    <w:p>
      <w:pPr>
        <w:spacing w:after="140" w:line="300"/>
      </w:pPr>
      <w:r>
        <w:rPr>
          <w:rFonts w:ascii="Calibri" w:cs="Calibri" w:eastAsia="Calibri" w:hAnsi="Calibri"/>
          <w:color w:val="10333C"/>
          <w:sz w:val="22"/>
          <w:szCs w:val="22"/>
        </w:rPr>
        <w:t xml:space="preserve">El escalado por tamaño </w:t>
      </w:r>
      <w:r>
        <w:rPr>
          <w:rFonts w:ascii="Calibri" w:cs="Calibri" w:eastAsia="Calibri" w:hAnsi="Calibri"/>
          <w:b/>
          <w:bCs/>
          <w:color w:val="10333C"/>
          <w:sz w:val="22"/>
          <w:szCs w:val="22"/>
        </w:rPr>
        <w:t xml:space="preserve">sobreestima el clearance de la B12 en un factor 5</w:t>
      </w:r>
      <w:r>
        <w:rPr>
          <w:rFonts w:ascii="Calibri" w:cs="Calibri" w:eastAsia="Calibri" w:hAnsi="Calibri"/>
          <w:color w:val="10333C"/>
          <w:sz w:val="22"/>
          <w:szCs w:val="22"/>
        </w:rPr>
        <w:t xml:space="preserve">. El error se descompone en dos contribuciones bien diferenciadas.</w:t>
      </w:r>
    </w:p>
    <w:p>
      <w:pPr>
        <w:spacing w:after="140" w:line="300"/>
      </w:pPr>
      <w:r>
        <w:rPr>
          <w:rFonts w:ascii="Calibri" w:cs="Calibri" w:eastAsia="Calibri" w:hAnsi="Calibri"/>
          <w:b/>
          <w:bCs/>
          <w:color w:val="10333C"/>
          <w:sz w:val="22"/>
          <w:szCs w:val="22"/>
        </w:rPr>
        <w:t xml:space="preserve">Primera: la B12 no es una esfera compacta.</w:t>
      </w:r>
      <w:r>
        <w:rPr>
          <w:rFonts w:ascii="Calibri" w:cs="Calibri" w:eastAsia="Calibri" w:hAnsi="Calibri"/>
          <w:color w:val="10333C"/>
          <w:sz w:val="22"/>
          <w:szCs w:val="22"/>
        </w:rPr>
        <w:t xml:space="preserve"> Ya en solución libre, sin membrana de por medio, el cociente medido es 0,209 y no 0,354. La hipótesis </w:t>
      </w:r>
      <w:r>
        <w:rPr>
          <w:rFonts w:ascii="Consolas" w:cs="Consolas" w:eastAsia="Consolas" w:hAnsi="Consolas"/>
          <w:color w:val="097A5E"/>
          <w:sz w:val="20"/>
          <w:szCs w:val="20"/>
        </w:rPr>
        <w:t xml:space="preserve">r_h ∝ M^(1/3)</w:t>
      </w:r>
      <w:r>
        <w:rPr>
          <w:rFonts w:ascii="Calibri" w:cs="Calibri" w:eastAsia="Calibri" w:hAnsi="Calibri"/>
          <w:color w:val="10333C"/>
          <w:sz w:val="22"/>
          <w:szCs w:val="22"/>
        </w:rPr>
        <w:t xml:space="preserve"> supone densidad constante y forma esférica, y la Vitamina B12 no cumple ninguna de las dos.</w:t>
      </w:r>
    </w:p>
    <w:p>
      <w:pPr>
        <w:spacing w:after="140" w:line="300"/>
      </w:pPr>
      <w:r>
        <w:rPr>
          <w:rFonts w:ascii="Calibri" w:cs="Calibri" w:eastAsia="Calibri" w:hAnsi="Calibri"/>
          <w:b/>
          <w:bCs/>
          <w:color w:val="10333C"/>
          <w:sz w:val="22"/>
          <w:szCs w:val="22"/>
        </w:rPr>
        <w:t xml:space="preserve">Segunda, y dominante: la membrana no es agua.</w:t>
      </w:r>
      <w:r>
        <w:rPr>
          <w:rFonts w:ascii="Calibri" w:cs="Calibri" w:eastAsia="Calibri" w:hAnsi="Calibri"/>
          <w:color w:val="10333C"/>
          <w:sz w:val="22"/>
          <w:szCs w:val="22"/>
        </w:rPr>
        <w:t xml:space="preserve"> El cociente cae de 0,209 en solución libre a 0,070 dentro del polímero, es decir, la membrana impone una restricción adicional de un factor 0,335 que Stokes–Einstein no contempla en absoluto. Ese factor extra tiene dos causas físicas:</w:t>
      </w:r>
    </w:p>
    <w:p>
      <w:pPr>
        <w:pStyle w:val="ListParagraph"/>
        <w:numPr>
          <w:ilvl w:val="0"/>
          <w:numId w:val="2"/>
        </w:numPr>
        <w:spacing w:after="90" w:line="290"/>
      </w:pPr>
      <w:r>
        <w:rPr>
          <w:rFonts w:ascii="Calibri" w:cs="Calibri" w:eastAsia="Calibri" w:hAnsi="Calibri"/>
          <w:b/>
          <w:bCs/>
          <w:color w:val="10333C"/>
          <w:sz w:val="22"/>
          <w:szCs w:val="22"/>
        </w:rPr>
        <w:t xml:space="preserve">Exclusión estérica.</w:t>
      </w:r>
      <w:r>
        <w:rPr>
          <w:rFonts w:ascii="Calibri" w:cs="Calibri" w:eastAsia="Calibri" w:hAnsi="Calibri"/>
          <w:color w:val="10333C"/>
          <w:sz w:val="22"/>
          <w:szCs w:val="22"/>
        </w:rPr>
        <w:t xml:space="preserve"> El centro de la molécula no puede acercarse a la pared del poro más allá de su propio radio, de modo que sólo una fracción </w:t>
      </w:r>
      <w:r>
        <w:rPr>
          <w:rFonts w:ascii="Consolas" w:cs="Consolas" w:eastAsia="Consolas" w:hAnsi="Consolas"/>
          <w:color w:val="097A5E"/>
          <w:sz w:val="20"/>
          <w:szCs w:val="20"/>
        </w:rPr>
        <w:t xml:space="preserve">(1 − λ)²</w:t>
      </w:r>
      <w:r>
        <w:rPr>
          <w:rFonts w:ascii="Calibri" w:cs="Calibri" w:eastAsia="Calibri" w:hAnsi="Calibri"/>
          <w:color w:val="10333C"/>
          <w:sz w:val="22"/>
          <w:szCs w:val="22"/>
        </w:rPr>
        <w:t xml:space="preserve"> de la sección del poro le resulta accesible, con </w:t>
      </w:r>
      <w:r>
        <w:rPr>
          <w:rFonts w:ascii="Consolas" w:cs="Consolas" w:eastAsia="Consolas" w:hAnsi="Consolas"/>
          <w:color w:val="097A5E"/>
          <w:sz w:val="20"/>
          <w:szCs w:val="20"/>
        </w:rPr>
        <w:t xml:space="preserve">λ = r_soluto / r_poro</w:t>
      </w:r>
      <w:r>
        <w:rPr>
          <w:rFonts w:ascii="Calibri" w:cs="Calibri" w:eastAsia="Calibri" w:hAnsi="Calibri"/>
          <w:color w:val="10333C"/>
          <w:sz w:val="22"/>
          <w:szCs w:val="22"/>
        </w:rPr>
        <w:t xml:space="preserve">.</w:t>
      </w:r>
    </w:p>
    <w:p>
      <w:pPr>
        <w:pStyle w:val="ListParagraph"/>
        <w:numPr>
          <w:ilvl w:val="0"/>
          <w:numId w:val="2"/>
        </w:numPr>
        <w:spacing w:after="90" w:line="290"/>
      </w:pPr>
      <w:r>
        <w:rPr>
          <w:rFonts w:ascii="Calibri" w:cs="Calibri" w:eastAsia="Calibri" w:hAnsi="Calibri"/>
          <w:b/>
          <w:bCs/>
          <w:color w:val="10333C"/>
          <w:sz w:val="22"/>
          <w:szCs w:val="22"/>
        </w:rPr>
        <w:t xml:space="preserve">Impedimento hidrodinámico.</w:t>
      </w:r>
      <w:r>
        <w:rPr>
          <w:rFonts w:ascii="Calibri" w:cs="Calibri" w:eastAsia="Calibri" w:hAnsi="Calibri"/>
          <w:color w:val="10333C"/>
          <w:sz w:val="22"/>
          <w:szCs w:val="22"/>
        </w:rPr>
        <w:t xml:space="preserve"> La proximidad de la pared aumenta el arrastre viscoso sobre la molécula, reduciendo su movilidad respecto de la que tendría en el seno del fluido.</w:t>
      </w:r>
    </w:p>
    <w:p>
      <w:pPr>
        <w:spacing w:after="140" w:line="300"/>
      </w:pPr>
      <w:r>
        <w:rPr>
          <w:rFonts w:ascii="Calibri" w:cs="Calibri" w:eastAsia="Calibri" w:hAnsi="Calibri"/>
          <w:color w:val="10333C"/>
          <w:sz w:val="22"/>
          <w:szCs w:val="22"/>
        </w:rPr>
        <w:t xml:space="preserve">El modelo de Renkin combina ambos efectos en un único factor de estorbo </w:t>
      </w:r>
      <w:r>
        <w:rPr>
          <w:rFonts w:ascii="Consolas" w:cs="Consolas" w:eastAsia="Consolas" w:hAnsi="Consolas"/>
          <w:color w:val="097A5E"/>
          <w:sz w:val="20"/>
          <w:szCs w:val="20"/>
        </w:rPr>
        <w:t xml:space="preserve">H(λ) = (1 − λ)² · (1 − 2,104λ + 2,089λ³ − 0,948λ⁵)</w:t>
      </w:r>
      <w:r>
        <w:rPr>
          <w:rFonts w:ascii="Calibri" w:cs="Calibri" w:eastAsia="Calibri" w:hAnsi="Calibri"/>
          <w:color w:val="10333C"/>
          <w:sz w:val="22"/>
          <w:szCs w:val="22"/>
        </w:rPr>
        <w:t xml:space="preserve">. Los propios autores lo resumen así: la razón entre el coeficiente de difusión en la membrana y en solución libre </w:t>
      </w:r>
      <w:r>
        <w:rPr>
          <w:rFonts w:ascii="Calibri" w:cs="Calibri" w:eastAsia="Calibri" w:hAnsi="Calibri"/>
          <w:b/>
          <w:bCs/>
          <w:color w:val="10333C"/>
          <w:sz w:val="22"/>
          <w:szCs w:val="22"/>
        </w:rPr>
        <w:t xml:space="preserve">decrece exponencialmente al aumentar el tamaño del soluto</w:t>
      </w:r>
      <w:r>
        <w:rPr>
          <w:rFonts w:ascii="Calibri" w:cs="Calibri" w:eastAsia="Calibri" w:hAnsi="Calibri"/>
          <w:color w:val="10333C"/>
          <w:sz w:val="22"/>
          <w:szCs w:val="22"/>
        </w:rPr>
        <w:t xml:space="preserve">. Es esa caída abrupta, y no la suave dependencia </w:t>
      </w:r>
      <w:r>
        <w:rPr>
          <w:rFonts w:ascii="Consolas" w:cs="Consolas" w:eastAsia="Consolas" w:hAnsi="Consolas"/>
          <w:color w:val="097A5E"/>
          <w:sz w:val="20"/>
          <w:szCs w:val="20"/>
        </w:rPr>
        <w:t xml:space="preserve">M^(−1/3)</w:t>
      </w:r>
      <w:r>
        <w:rPr>
          <w:rFonts w:ascii="Calibri" w:cs="Calibri" w:eastAsia="Calibri" w:hAnsi="Calibri"/>
          <w:color w:val="10333C"/>
          <w:sz w:val="22"/>
          <w:szCs w:val="22"/>
        </w:rPr>
        <w:t xml:space="preserve">, la que define el </w:t>
      </w:r>
      <w:r>
        <w:rPr>
          <w:rFonts w:ascii="Calibri" w:cs="Calibri" w:eastAsia="Calibri" w:hAnsi="Calibri"/>
          <w:i/>
          <w:iCs/>
          <w:color w:val="10333C"/>
          <w:sz w:val="22"/>
          <w:szCs w:val="22"/>
        </w:rPr>
        <w:t xml:space="preserve">cut-off</w:t>
      </w:r>
      <w:r>
        <w:rPr>
          <w:rFonts w:ascii="Calibri" w:cs="Calibri" w:eastAsia="Calibri" w:hAnsi="Calibri"/>
          <w:color w:val="10333C"/>
          <w:sz w:val="22"/>
          <w:szCs w:val="22"/>
        </w:rPr>
        <w:t xml:space="preserve"> de la membrana.</w:t>
      </w:r>
    </w:p>
    <w:p>
      <w:pPr>
        <w:pStyle w:val="Heading2"/>
        <w:spacing w:after="140" w:before="280"/>
      </w:pPr>
      <w:r>
        <w:rPr>
          <w:rFonts w:ascii="Cambria" w:cs="Cambria" w:eastAsia="Cambria" w:hAnsi="Cambria"/>
          <w:b/>
          <w:bCs/>
          <w:color w:val="10333C"/>
        </w:rPr>
        <w:t xml:space="preserve">5.4 El caso de la albúmina y el sentido clínico del cut-off</w:t>
      </w:r>
    </w:p>
    <w:p>
      <w:pPr>
        <w:spacing w:after="140" w:line="300"/>
      </w:pPr>
      <w:r>
        <w:rPr>
          <w:rFonts w:ascii="Calibri" w:cs="Calibri" w:eastAsia="Calibri" w:hAnsi="Calibri"/>
          <w:color w:val="10333C"/>
          <w:sz w:val="22"/>
          <w:szCs w:val="22"/>
        </w:rPr>
        <w:t xml:space="preserve">Si se aplicara el escalado de Stokes–Einstein a la albúmina se obtendría un clearance de aproximadamente 11,6 mL/min, lo cual es </w:t>
      </w:r>
      <w:r>
        <w:rPr>
          <w:rFonts w:ascii="Calibri" w:cs="Calibri" w:eastAsia="Calibri" w:hAnsi="Calibri"/>
          <w:b/>
          <w:bCs/>
          <w:color w:val="10333C"/>
          <w:sz w:val="22"/>
          <w:szCs w:val="22"/>
        </w:rPr>
        <w:t xml:space="preserve">físicamente falso y clínicamente inaceptable</w:t>
      </w:r>
      <w:r>
        <w:rPr>
          <w:rFonts w:ascii="Calibri" w:cs="Calibri" w:eastAsia="Calibri" w:hAnsi="Calibri"/>
          <w:color w:val="10333C"/>
          <w:sz w:val="22"/>
          <w:szCs w:val="22"/>
        </w:rPr>
        <w:t xml:space="preserve">: una membrana que deja pasar albúmina es una membrana defectuosa, porque su pérdida sostenida produce hipoalbuminemia.</w:t>
      </w:r>
    </w:p>
    <w:p>
      <w:pPr>
        <w:spacing w:after="140" w:line="300"/>
      </w:pPr>
      <w:r>
        <w:rPr>
          <w:rFonts w:ascii="Calibri" w:cs="Calibri" w:eastAsia="Calibri" w:hAnsi="Calibri"/>
          <w:color w:val="10333C"/>
          <w:sz w:val="22"/>
          <w:szCs w:val="22"/>
        </w:rPr>
        <w:t xml:space="preserve">Los datos medidos dan 0,0035 mL/min, cuatro órdenes de magnitud por debajo de la urea. Esa diferencia entre lo que predice el modelo simple y lo que ocurre en realidad es exactamente la razón por la cual el diseño de membranas de hemodiálisis se formula en términos de </w:t>
      </w:r>
      <w:r>
        <w:rPr>
          <w:rFonts w:ascii="Calibri" w:cs="Calibri" w:eastAsia="Calibri" w:hAnsi="Calibri"/>
          <w:i/>
          <w:iCs/>
          <w:color w:val="10333C"/>
          <w:sz w:val="22"/>
          <w:szCs w:val="22"/>
        </w:rPr>
        <w:t xml:space="preserve">cut-off</w:t>
      </w:r>
      <w:r>
        <w:rPr>
          <w:rFonts w:ascii="Calibri" w:cs="Calibri" w:eastAsia="Calibri" w:hAnsi="Calibri"/>
          <w:color w:val="10333C"/>
          <w:sz w:val="22"/>
          <w:szCs w:val="22"/>
        </w:rPr>
        <w:t xml:space="preserve">: se busca la distribución de tamaño de poro que maximice la depuración de moléculas pequeñas y medias mientras retiene las proteínas plasmáticas. Es, en definitiva, un problema de estructura del material.</w:t>
      </w:r>
    </w:p>
    <w:p>
      <w:pPr>
        <w:pStyle w:val="Heading1"/>
        <w:spacing w:after="140" w:before="360"/>
      </w:pPr>
      <w:r>
        <w:rPr>
          <w:rFonts w:ascii="Cambria" w:cs="Cambria" w:eastAsia="Cambria" w:hAnsi="Cambria"/>
          <w:b/>
          <w:bCs/>
          <w:color w:val="10333C"/>
        </w:rPr>
        <w:t xml:space="preserve">6. Paso 5 — Contraste con dializadores comerciales</w:t>
      </w:r>
    </w:p>
    <w:p>
      <w:pPr>
        <w:spacing w:after="140" w:line="300"/>
      </w:pPr>
      <w:r>
        <w:rPr>
          <w:rFonts w:ascii="Calibri" w:cs="Calibri" w:eastAsia="Calibri" w:hAnsi="Calibri"/>
          <w:color w:val="10333C"/>
          <w:sz w:val="22"/>
          <w:szCs w:val="22"/>
        </w:rPr>
        <w:t xml:space="preserve">Evaluado al área de cartuchos comerciales, el modelo predice clearances de urea sistemáticamente menores que los publicados por los fabricantes. La diferencia es informativa, porque cada una de sus causas es una de las hipótesis que el propio Anexo I enumera.</w:t>
      </w:r>
    </w:p>
    <w:p>
      <w:pPr>
        <w:spacing w:after="140" w:line="300"/>
      </w:pPr>
      <w:r>
        <w:rPr>
          <w:rFonts w:ascii="Calibri" w:cs="Calibri" w:eastAsia="Calibri" w:hAnsi="Calibri"/>
          <w:b/>
          <w:bCs/>
          <w:color w:val="10333C"/>
          <w:sz w:val="22"/>
          <w:szCs w:val="22"/>
        </w:rPr>
        <w:t xml:space="preserve">Falta la convección.</w:t>
      </w:r>
      <w:r>
        <w:rPr>
          <w:rFonts w:ascii="Calibri" w:cs="Calibri" w:eastAsia="Calibri" w:hAnsi="Calibri"/>
          <w:color w:val="10333C"/>
          <w:sz w:val="22"/>
          <w:szCs w:val="22"/>
        </w:rPr>
        <w:t xml:space="preserve"> En hemodiálisis real existe ultrafiltración, y el soluto no sólo difunde sino que además es arrastrado por el solvente que atraviesa la membrana. Ese aporte convectivo es despreciable para la urea pero se vuelve dominante para las moléculas medias.</w:t>
      </w:r>
    </w:p>
    <w:p>
      <w:pPr>
        <w:spacing w:after="140" w:line="300"/>
      </w:pPr>
      <w:r>
        <w:rPr>
          <w:rFonts w:ascii="Calibri" w:cs="Calibri" w:eastAsia="Calibri" w:hAnsi="Calibri"/>
          <w:b/>
          <w:bCs/>
          <w:color w:val="10333C"/>
          <w:sz w:val="22"/>
          <w:szCs w:val="22"/>
        </w:rPr>
        <w:t xml:space="preserve">Falta la difusividad real del polímero.</w:t>
      </w:r>
      <w:r>
        <w:rPr>
          <w:rFonts w:ascii="Calibri" w:cs="Calibri" w:eastAsia="Calibri" w:hAnsi="Calibri"/>
          <w:color w:val="10333C"/>
          <w:sz w:val="22"/>
          <w:szCs w:val="22"/>
        </w:rPr>
        <w:t xml:space="preserve"> El valor </w:t>
      </w:r>
      <w:r>
        <w:rPr>
          <w:rFonts w:ascii="Consolas" w:cs="Consolas" w:eastAsia="Consolas" w:hAnsi="Consolas"/>
          <w:color w:val="097A5E"/>
          <w:sz w:val="20"/>
          <w:szCs w:val="20"/>
        </w:rPr>
        <w:t xml:space="preserve">D = 1×10⁻¹⁰ m²/s</w:t>
      </w:r>
      <w:r>
        <w:rPr>
          <w:rFonts w:ascii="Calibri" w:cs="Calibri" w:eastAsia="Calibri" w:hAnsi="Calibri"/>
          <w:color w:val="10333C"/>
          <w:sz w:val="22"/>
          <w:szCs w:val="22"/>
        </w:rPr>
        <w:t xml:space="preserve"> de la consigna corresponde a una membrana genérica. Las membranas sintéticas modernas de polisulfona o polietersulfona tienen porosidades y espesores distintos de la celulosa regenerada de los años setenta.</w:t>
      </w:r>
    </w:p>
    <w:p>
      <w:pPr>
        <w:spacing w:after="140" w:line="300"/>
      </w:pPr>
      <w:r>
        <w:rPr>
          <w:rFonts w:ascii="Calibri" w:cs="Calibri" w:eastAsia="Calibri" w:hAnsi="Calibri"/>
          <w:b/>
          <w:bCs/>
          <w:color w:val="10333C"/>
          <w:sz w:val="22"/>
          <w:szCs w:val="22"/>
        </w:rPr>
        <w:t xml:space="preserve">Falta el contracorriente.</w:t>
      </w:r>
      <w:r>
        <w:rPr>
          <w:rFonts w:ascii="Calibri" w:cs="Calibri" w:eastAsia="Calibri" w:hAnsi="Calibri"/>
          <w:color w:val="10333C"/>
          <w:sz w:val="22"/>
          <w:szCs w:val="22"/>
        </w:rPr>
        <w:t xml:space="preserve"> El modelo asume dializado con concentración nula a lo largo de toda la fibra, cuando en realidad el dializado se va cargando progresivamente. Este efecto opera en sentido contrario a los anteriores: reduce el clearance real respecto del ideal.</w:t>
      </w:r>
    </w:p>
    <w:p>
      <w:pPr>
        <w:spacing w:after="140" w:line="300"/>
      </w:pPr>
      <w:r>
        <w:rPr>
          <w:rFonts w:ascii="Calibri" w:cs="Calibri" w:eastAsia="Calibri" w:hAnsi="Calibri"/>
          <w:color w:val="10333C"/>
          <w:sz w:val="22"/>
          <w:szCs w:val="22"/>
        </w:rPr>
        <w:t xml:space="preserve">Del otro lado, el modelo tampoco ve el techo impuesto por el caudal: ningún dializador puede depurar más sangre por minuto que la que lo atraviesa. Tomando todo en conjunto, </w:t>
      </w:r>
      <w:r>
        <w:rPr>
          <w:rFonts w:ascii="Calibri" w:cs="Calibri" w:eastAsia="Calibri" w:hAnsi="Calibri"/>
          <w:b/>
          <w:bCs/>
          <w:color w:val="10333C"/>
          <w:sz w:val="22"/>
          <w:szCs w:val="22"/>
        </w:rPr>
        <w:t xml:space="preserve">el modelo difusivo puro debe leerse como una cota inferior razonable del rendimiento real</w:t>
      </w:r>
      <w:r>
        <w:rPr>
          <w:rFonts w:ascii="Calibri" w:cs="Calibri" w:eastAsia="Calibri" w:hAnsi="Calibri"/>
          <w:color w:val="10333C"/>
          <w:sz w:val="22"/>
          <w:szCs w:val="22"/>
        </w:rPr>
        <w:t xml:space="preserve">, útil para dimensionar y comparar, no para predecir el valor exacto de catálogo.</w:t>
      </w:r>
    </w:p>
    <w:p>
      <w:r>
        <w:br w:type="page"/>
      </w:r>
    </w:p>
    <w:p>
      <w:pPr>
        <w:pStyle w:val="Heading1"/>
        <w:spacing w:after="140" w:before="360"/>
      </w:pPr>
      <w:r>
        <w:rPr>
          <w:rFonts w:ascii="Cambria" w:cs="Cambria" w:eastAsia="Cambria" w:hAnsi="Cambria"/>
          <w:b/>
          <w:bCs/>
          <w:color w:val="10333C"/>
        </w:rPr>
        <w:t xml:space="preserve">7. Resumen de resultados</w:t>
      </w:r>
    </w:p>
    <w:tbl>
      <w:tblPr>
        <w:tblW w:type="dxa" w:w="8500"/>
        <w:tblBorders>
          <w:top w:val="single" w:color="B8C8C6" w:sz="4"/>
          <w:left w:val="none"/>
          <w:bottom w:val="single" w:color="B8C8C6" w:sz="4"/>
          <w:right w:val="none"/>
          <w:insideH w:val="single" w:color="D6E2DF" w:sz="2"/>
          <w:insideV w:val="none"/>
        </w:tblBorders>
      </w:tblPr>
      <w:tblGrid>
        <w:gridCol w:w="3000"/>
        <w:gridCol w:w="3300"/>
        <w:gridCol w:w="2200"/>
      </w:tblGrid>
      <w:tr>
        <w:trPr>
          <w:tblHeader/>
        </w:trPr>
        <w:tc>
          <w:tcPr>
            <w:tcW w:type="dxa" w:w="30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Magnitud</w:t>
            </w:r>
          </w:p>
        </w:tc>
        <w:tc>
          <w:tcPr>
            <w:tcW w:type="dxa" w:w="33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Resultado</w:t>
            </w:r>
          </w:p>
        </w:tc>
        <w:tc>
          <w:tcPr>
            <w:tcW w:type="dxa" w:w="2200"/>
            <w:shd w:fill="E3ECE9" w:val="clear"/>
            <w:tcMar>
              <w:top w:type="dxa" w:w="90"/>
              <w:left w:type="dxa" w:w="120"/>
              <w:bottom w:type="dxa" w:w="90"/>
              <w:right w:type="dxa" w:w="120"/>
            </w:tcMar>
          </w:tcPr>
          <w:p>
            <w:pPr>
              <w:spacing w:after="0"/>
            </w:pPr>
            <w:r>
              <w:rPr>
                <w:rFonts w:ascii="Calibri" w:cs="Calibri" w:eastAsia="Calibri" w:hAnsi="Calibri"/>
                <w:b/>
                <w:bCs/>
                <w:color w:val="5A6A6E"/>
                <w:sz w:val="19"/>
                <w:szCs w:val="19"/>
              </w:rPr>
              <w:t xml:space="preserve">Referencia</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Flujo de masa J (base)</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1,0000 × 10⁻⁵ mol/(m²·s)</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1</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Flujo total ṁ (base)</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1,0000 × 10⁻⁵ mol/s</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1</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Clearance (base)</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2,0000 × 10⁻⁶ m³/s = 120,00 mL/min</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1</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Clearance a 25 µm</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240,00 mL/min</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2</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Clearance a 100 µm</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60,00 mL/min</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2</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Área para 150 mL/min</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1,25 m²</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3</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Clearance Vitamina B12</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8,43 mL/min</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4</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Cociente B12 / urea</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0,0702</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4</w:t>
            </w:r>
          </w:p>
        </w:tc>
      </w:tr>
      <w:tr>
        <w:tc>
          <w:tcPr>
            <w:tcW w:type="dxa" w:w="30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Clearance albúmina</w:t>
            </w:r>
          </w:p>
        </w:tc>
        <w:tc>
          <w:tcPr>
            <w:tcW w:type="dxa" w:w="33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0,0035 mL/min</w:t>
            </w:r>
          </w:p>
        </w:tc>
        <w:tc>
          <w:tcPr>
            <w:tcW w:type="dxa" w:w="2200"/>
            <w:tcMar>
              <w:top w:type="dxa" w:w="90"/>
              <w:left w:type="dxa" w:w="120"/>
              <w:bottom w:type="dxa" w:w="90"/>
              <w:right w:type="dxa" w:w="120"/>
            </w:tcMar>
          </w:tcPr>
          <w:p>
            <w:pPr>
              <w:spacing w:after="0"/>
            </w:pPr>
            <w:r>
              <w:rPr>
                <w:rFonts w:ascii="Consolas" w:cs="Consolas" w:eastAsia="Consolas" w:hAnsi="Consolas"/>
                <w:b w:val="false"/>
                <w:bCs w:val="false"/>
                <w:color w:val="10333C"/>
                <w:sz w:val="19"/>
                <w:szCs w:val="19"/>
              </w:rPr>
              <w:t xml:space="preserve">Paso 4</w:t>
            </w:r>
          </w:p>
        </w:tc>
      </w:tr>
    </w:tbl>
    <w:p>
      <w:pPr>
        <w:pStyle w:val="Heading1"/>
        <w:spacing w:after="140" w:before="360"/>
      </w:pPr>
      <w:r>
        <w:rPr>
          <w:rFonts w:ascii="Cambria" w:cs="Cambria" w:eastAsia="Cambria" w:hAnsi="Cambria"/>
          <w:b/>
          <w:bCs/>
          <w:color w:val="10333C"/>
        </w:rPr>
        <w:t xml:space="preserve">8. Bibliografía</w:t>
      </w:r>
    </w:p>
    <w:p>
      <w:pPr>
        <w:spacing w:after="140" w:line="300"/>
      </w:pPr>
      <w:r>
        <w:rPr>
          <w:rFonts w:ascii="Calibri" w:cs="Calibri" w:eastAsia="Calibri" w:hAnsi="Calibri"/>
          <w:color w:val="10333C"/>
          <w:sz w:val="22"/>
          <w:szCs w:val="22"/>
        </w:rPr>
        <w:t xml:space="preserve">Colton, C. K., Smith, K. A., Merrill, E. W. &amp; Farrell, P. C. (1971). Permeability Studies with Cellulosic Membranes. </w:t>
      </w:r>
      <w:r>
        <w:rPr>
          <w:rFonts w:ascii="Calibri" w:cs="Calibri" w:eastAsia="Calibri" w:hAnsi="Calibri"/>
          <w:i/>
          <w:iCs/>
          <w:color w:val="10333C"/>
          <w:sz w:val="22"/>
          <w:szCs w:val="22"/>
        </w:rPr>
        <w:t xml:space="preserve">Journal of Biomedical Materials Research</w:t>
      </w:r>
      <w:r>
        <w:rPr>
          <w:rFonts w:ascii="Calibri" w:cs="Calibri" w:eastAsia="Calibri" w:hAnsi="Calibri"/>
          <w:color w:val="10333C"/>
          <w:sz w:val="22"/>
          <w:szCs w:val="22"/>
        </w:rPr>
        <w:t xml:space="preserve">, 5(6), 459–488.</w:t>
      </w:r>
    </w:p>
    <w:p>
      <w:pPr>
        <w:spacing w:after="140" w:line="300"/>
      </w:pPr>
      <w:r>
        <w:rPr>
          <w:rFonts w:ascii="Calibri" w:cs="Calibri" w:eastAsia="Calibri" w:hAnsi="Calibri"/>
          <w:color w:val="10333C"/>
          <w:sz w:val="22"/>
          <w:szCs w:val="22"/>
        </w:rPr>
        <w:t xml:space="preserve">Ratner, B. D. &amp; Hoffman, A. S. (2020). </w:t>
      </w:r>
      <w:r>
        <w:rPr>
          <w:rFonts w:ascii="Calibri" w:cs="Calibri" w:eastAsia="Calibri" w:hAnsi="Calibri"/>
          <w:i/>
          <w:iCs/>
          <w:color w:val="10333C"/>
          <w:sz w:val="22"/>
          <w:szCs w:val="22"/>
        </w:rPr>
        <w:t xml:space="preserve">Biomaterials Science: An Introduction to Materials in Medicine</w:t>
      </w:r>
      <w:r>
        <w:rPr>
          <w:rFonts w:ascii="Calibri" w:cs="Calibri" w:eastAsia="Calibri" w:hAnsi="Calibri"/>
          <w:color w:val="10333C"/>
          <w:sz w:val="22"/>
          <w:szCs w:val="22"/>
        </w:rPr>
        <w:t xml:space="preserve"> (4.ª ed.). Academic Press.</w:t>
      </w:r>
    </w:p>
    <w:p>
      <w:pPr>
        <w:spacing w:after="140" w:line="300"/>
      </w:pPr>
      <w:r>
        <w:rPr>
          <w:rFonts w:ascii="Calibri" w:cs="Calibri" w:eastAsia="Calibri" w:hAnsi="Calibri"/>
          <w:color w:val="10333C"/>
          <w:sz w:val="22"/>
          <w:szCs w:val="22"/>
        </w:rPr>
        <w:t xml:space="preserve">Renkin, E. M. (1954). Filtration, diffusion and molecular sieving through porous cellulose membranes. </w:t>
      </w:r>
      <w:r>
        <w:rPr>
          <w:rFonts w:ascii="Calibri" w:cs="Calibri" w:eastAsia="Calibri" w:hAnsi="Calibri"/>
          <w:i/>
          <w:iCs/>
          <w:color w:val="10333C"/>
          <w:sz w:val="22"/>
          <w:szCs w:val="22"/>
        </w:rPr>
        <w:t xml:space="preserve">The Journal of General Physiology</w:t>
      </w:r>
      <w:r>
        <w:rPr>
          <w:rFonts w:ascii="Calibri" w:cs="Calibri" w:eastAsia="Calibri" w:hAnsi="Calibri"/>
          <w:color w:val="10333C"/>
          <w:sz w:val="22"/>
          <w:szCs w:val="22"/>
        </w:rPr>
        <w:t xml:space="preserve">, 38(2), 225–243.</w:t>
      </w:r>
    </w:p>
    <w:p>
      <w:pPr>
        <w:pBdr>
          <w:bottom w:val="single" w:color="B8C8C6" w:sz="6"/>
        </w:pBdr>
        <w:spacing w:after="240" w:before="60"/>
      </w:pPr>
      <w:r>
        <w:t xml:space="preserve"/>
      </w:r>
    </w:p>
    <w:p>
      <w:pPr>
        <w:spacing w:after="0" w:line="300"/>
      </w:pPr>
      <w:r>
        <w:rPr>
          <w:rFonts w:ascii="Calibri" w:cs="Calibri" w:eastAsia="Calibri" w:hAnsi="Calibri"/>
          <w:color w:val="10333C"/>
          <w:sz w:val="22"/>
          <w:szCs w:val="22"/>
        </w:rPr>
        <w:t xml:space="preserve">Simulador interactivo: github.com/lpires211002/tp1-dializador</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2026-08-27T22:26:04.410Z</dcterms:created>
  <dcterms:modified xsi:type="dcterms:W3CDTF">2026-08-27T22:26:04.414Z</dcterms:modified>
</cp:coreProperties>
</file>

<file path=docProps/custom.xml><?xml version="1.0" encoding="utf-8"?>
<Properties xmlns="http://schemas.openxmlformats.org/officeDocument/2006/custom-properties" xmlns:vt="http://schemas.openxmlformats.org/officeDocument/2006/docPropsVTypes"/>
</file>