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pPr>
      <w:r w:rsidDel="00000000" w:rsidR="00000000" w:rsidRPr="00000000">
        <w:rPr>
          <w:rFonts w:ascii="Arial Unicode MS" w:cs="Arial Unicode MS" w:eastAsia="Arial Unicode MS" w:hAnsi="Arial Unicode MS"/>
          <w:rtl w:val="0"/>
        </w:rPr>
        <w:t xml:space="preserve">1993 出生於台灣彰化，畢業於國立台灣藝術大學美術學系碩士班。</w:t>
      </w:r>
    </w:p>
    <w:p w:rsidR="00000000" w:rsidDel="00000000" w:rsidP="00000000" w:rsidRDefault="00000000" w:rsidRPr="00000000" w14:paraId="00000002">
      <w:pPr>
        <w:spacing w:after="240" w:before="240" w:line="360" w:lineRule="auto"/>
        <w:rPr/>
      </w:pPr>
      <w:r w:rsidDel="00000000" w:rsidR="00000000" w:rsidRPr="00000000">
        <w:rPr>
          <w:rFonts w:ascii="Arial Unicode MS" w:cs="Arial Unicode MS" w:eastAsia="Arial Unicode MS" w:hAnsi="Arial Unicode MS"/>
          <w:rtl w:val="0"/>
        </w:rPr>
        <w:t xml:space="preserve">藝術家遊走於光影的調子變化和相互作用所產生繪畫的特性之間，在光影兩者之間嘗試以及表達，虛實之間，以唯心的、手屬的，感實著自然和神祕的事物。</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276"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1993 born in Changhua,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Helvetica Neue" w:cs="Helvetica Neue" w:eastAsia="Helvetica Neue" w:hAnsi="Helvetica Neue"/>
          <w:sz w:val="26"/>
          <w:szCs w:val="26"/>
          <w:rtl w:val="0"/>
        </w:rPr>
        <w:t xml:space="preserve">Taiwan</w:t>
      </w:r>
    </w:p>
    <w:p w:rsidR="00000000" w:rsidDel="00000000" w:rsidP="00000000" w:rsidRDefault="00000000" w:rsidRPr="00000000" w14:paraId="00000006">
      <w:pPr>
        <w:spacing w:after="240" w:before="24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 Fine Arts, National Taiwan University of Arts</w:t>
      </w:r>
    </w:p>
    <w:p w:rsidR="00000000" w:rsidDel="00000000" w:rsidP="00000000" w:rsidRDefault="00000000" w:rsidRPr="00000000" w14:paraId="00000007">
      <w:pPr>
        <w:spacing w:after="240" w:before="24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artist wanders between the tonal changes of the light and the shadow and their aesthetic expression. He attempts to express, with all his heart and hands, the natural and mysterious things as well as feelings between the light and the shadow the virtual and the real.</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