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startsupplementary-materials"/>
    <w:p>
      <w:pPr>
        <w:pStyle w:val="Title"/>
      </w:pPr>
      <w:r>
        <w:t>Supplementary Materials</w:t>
      </w:r>
    </w:p>
    <w:bookmarkEnd w:id="9"/>
    <w:bookmarkStart w:id="10" w:name="Xfec05afa5fdd50ccd08b395df8877118aa6a1fb"/>
    <w:p>
      <w:pPr>
        <w:pStyle w:val="Subtitle"/>
      </w:pPr>
      <w:r>
        <w:t>Auditable Evidence Binding for Large Language Model-Assisted Post-Alarm Diagnosis in Industrial Sensor Time Series</w:t>
      </w:r>
    </w:p>
    <w:p>
      <w:pPr>
        <w:pStyle w:val="FirstParagraph"/>
        <w:spacing w:after="60"/>
        <w:jc w:val="left"/>
      </w:pPr>
      <w:r>
        <w:rPr>
          <w:sz w:val="19"/>
        </w:rPr>
        <w:t xml:space="preserve">Wu Zhang</w:t>
      </w:r>
      <w:r>
        <w:rPr>
          <w:sz w:val="19"/>
        </w:rPr>
        <w:t xml:space="preserve"> </w:t>
      </w:r>
      <w:r>
        <w:rPr>
          <w:sz w:val="19"/>
          <w:vertAlign w:val="superscript"/>
        </w:rPr>
        <w:t>1,†</w:t>
      </w:r>
      <w:r>
        <w:rPr>
          <w:sz w:val="19"/>
        </w:rPr>
        <w:t xml:space="preserve">, Tianwu Lei</w:t>
      </w:r>
      <w:r>
        <w:rPr>
          <w:sz w:val="19"/>
        </w:rPr>
        <w:t xml:space="preserve"> </w:t>
      </w:r>
      <w:r>
        <w:rPr>
          <w:sz w:val="19"/>
          <w:vertAlign w:val="superscript"/>
        </w:rPr>
        <w:t>1,†</w:t>
      </w:r>
      <w:r>
        <w:rPr>
          <w:sz w:val="19"/>
        </w:rPr>
        <w:t xml:space="preserve">, Luo Xiao</w:t>
      </w:r>
      <w:r>
        <w:rPr>
          <w:sz w:val="19"/>
        </w:rPr>
        <w:t xml:space="preserve"> </w:t>
      </w:r>
      <w:r>
        <w:rPr>
          <w:sz w:val="19"/>
          <w:vertAlign w:val="superscript"/>
        </w:rPr>
        <w:t>1,†</w:t>
      </w:r>
      <w:r>
        <w:rPr>
          <w:sz w:val="19"/>
        </w:rPr>
        <w:t xml:space="preserve"> </w:t>
      </w:r>
      <w:r>
        <w:rPr>
          <w:sz w:val="19"/>
        </w:rPr>
        <w:t xml:space="preserve">and Yong Yang</w:t>
      </w:r>
      <w:r>
        <w:rPr>
          <w:sz w:val="19"/>
        </w:rPr>
        <w:t xml:space="preserve"> </w:t>
      </w:r>
      <w:r>
        <w:rPr>
          <w:sz w:val="19"/>
          <w:vertAlign w:val="superscript"/>
        </w:rPr>
        <w:t>2,*</w:t>
      </w:r>
    </w:p>
    <w:p>
      <w:pPr>
        <w:pStyle w:val="BodyText"/>
        <w:spacing w:after="60"/>
        <w:jc w:val="left"/>
      </w:pPr>
      <w:r>
        <w:rPr>
          <w:sz w:val="19"/>
          <w:vertAlign w:val="superscript"/>
        </w:rPr>
        <w:t>1</w:t>
      </w:r>
      <w:r>
        <w:rPr>
          <w:sz w:val="19"/>
        </w:rPr>
        <w:t xml:space="preserve"> </w:t>
      </w:r>
      <w:r>
        <w:rPr>
          <w:sz w:val="19"/>
        </w:rPr>
        <w:t xml:space="preserve">LAPLACE Renewable Energy Technology Co., Ltd., 20th Floor, Building A, Kaiwo Building, No. 2 Litian Road, Kengzi Street, Pingshan District, Shenzhen 518118, China; john.jiang@laplace-tech.com (W.Z.); tianwu.lei@laplace-tech.com (T.L.); roy@laplace-tech.com (L.X.)</w:t>
      </w:r>
      <w:r>
        <w:rPr>
          <w:sz w:val="19"/>
        </w:rPr>
        <w:br/>
      </w:r>
      <w:r>
        <w:rPr>
          <w:sz w:val="19"/>
          <w:vertAlign w:val="superscript"/>
        </w:rPr>
        <w:t>2</w:t>
      </w:r>
      <w:r>
        <w:rPr>
          <w:sz w:val="19"/>
        </w:rPr>
        <w:t xml:space="preserve"> </w:t>
      </w:r>
      <w:r>
        <w:rPr>
          <w:sz w:val="19"/>
        </w:rPr>
        <w:t xml:space="preserve">School of Electronics and Information Engineering, Tiangong University, Tianjin 300387, China; yangyong@tiangong.edu.cn (Y.Y.)</w:t>
      </w:r>
    </w:p>
    <w:p>
      <w:pPr>
        <w:pStyle w:val="BodyText"/>
        <w:spacing w:after="60"/>
        <w:jc w:val="left"/>
      </w:pPr>
      <w:r>
        <w:rPr>
          <w:sz w:val="19"/>
        </w:rPr>
        <w:t xml:space="preserve">* Correspondence: yangyong@tiangong.edu.cn</w:t>
      </w:r>
    </w:p>
    <w:p>
      <w:pPr>
        <w:pStyle w:val="BodyText"/>
        <w:spacing w:after="60"/>
        <w:jc w:val="left"/>
      </w:pPr>
      <w:r>
        <w:rPr>
          <w:sz w:val="19"/>
          <w:vertAlign w:val="superscript"/>
        </w:rPr>
        <w:t>†</w:t>
      </w:r>
      <w:r>
        <w:rPr>
          <w:sz w:val="19"/>
        </w:rPr>
        <w:t xml:space="preserve"> </w:t>
      </w:r>
      <w:r>
        <w:rPr>
          <w:sz w:val="19"/>
        </w:rPr>
        <w:t xml:space="preserve">These authors contributed equally to this work.</w:t>
      </w:r>
    </w:p>
    <w:bookmarkEnd w:id="10"/>
    <w:bookmarkStart w:id="14" w:name="s1.-schema-fields-and-validation-rules"/>
    <w:p>
      <w:pPr>
        <w:pStyle w:val="Heading1"/>
      </w:pPr>
      <w:r>
        <w:t xml:space="preserve">S1. Schema Fields and Validation Rules</w:t>
      </w:r>
    </w:p>
    <w:p>
      <w:pPr>
        <w:pStyle w:val="FirstParagraph"/>
      </w:pPr>
      <w:r>
        <w:t xml:space="preserve">The machine-executable schema contains only</w:t>
      </w:r>
      <w:r>
        <w:t xml:space="preserve"> </w:t>
      </w:r>
      <w:r>
        <w:rPr>
          <w:rStyle w:val="VerbatimChar"/>
        </w:rPr>
        <w:t xml:space="preserve">schema_version</w:t>
      </w:r>
      <w:r>
        <w:t xml:space="preserve">,</w:t>
      </w:r>
      <w:r>
        <w:t xml:space="preserve"> </w:t>
      </w:r>
      <w:r>
        <w:rPr>
          <w:rStyle w:val="VerbatimChar"/>
        </w:rPr>
        <w:t xml:space="preserve">event_id</w:t>
      </w:r>
      <w:r>
        <w:t xml:space="preserve">, and</w:t>
      </w:r>
      <w:r>
        <w:t xml:space="preserve"> </w:t>
      </w:r>
      <w:r>
        <w:rPr>
          <w:rStyle w:val="VerbatimChar"/>
        </w:rPr>
        <w:t xml:space="preserve">candidate_explanations</w:t>
      </w:r>
      <w:r>
        <w:t xml:space="preserve"> </w:t>
      </w:r>
      <w:r>
        <w:t xml:space="preserve">at the top level and sets</w:t>
      </w:r>
      <w:r>
        <w:t xml:space="preserve"> </w:t>
      </w:r>
      <w:r>
        <w:rPr>
          <w:rStyle w:val="VerbatimChar"/>
        </w:rPr>
        <w:t xml:space="preserve">additionalProperties: false</w:t>
      </w:r>
      <w:r>
        <w:t xml:space="preserve">. Each record contains one to three candidates ordered by non-increasing confidence. Every candidate must include a claim identifier, diagnostic label, text, variables, supporting evidence, contradicting evidence, missing information, confidence in</w:t>
      </w:r>
      <w:r>
        <w:t xml:space="preserve"> </w:t>
      </w:r>
      <m:oMath>
        <m:r>
          <m:rPr>
            <m:sty m:val="p"/>
          </m:rPr>
          <w:rPr>
            <w:rFonts w:ascii="Cambria Math" w:hAnsi="Cambria Math" w:cs="Cambria Math" w:eastAsia="Cambria Math"/>
          </w:rPr>
          <m:t>[</m:t>
        </m:r>
        <m:r>
          <w:rPr>
            <w:rFonts w:ascii="Cambria Math" w:hAnsi="Cambria Math" w:cs="Cambria Math" w:eastAsia="Cambria Math"/>
          </w:rPr>
          <m:t>0</m:t>
        </m:r>
        <m:r>
          <m:rPr>
            <m:sty m:val="p"/>
          </m:rPr>
          <w:rPr>
            <w:rFonts w:ascii="Cambria Math" w:hAnsi="Cambria Math" w:cs="Cambria Math" w:eastAsia="Cambria Math"/>
          </w:rPr>
          <m:t>,</m:t>
        </m:r>
        <m:r>
          <w:rPr>
            <w:rFonts w:ascii="Cambria Math" w:hAnsi="Cambria Math" w:cs="Cambria Math" w:eastAsia="Cambria Math"/>
          </w:rPr>
          <m:t>1</m:t>
        </m:r>
        <m:r>
          <m:rPr>
            <m:sty m:val="p"/>
          </m:rPr>
          <w:rPr>
            <w:rFonts w:ascii="Cambria Math" w:hAnsi="Cambria Math" w:cs="Cambria Math" w:eastAsia="Cambria Math"/>
          </w:rPr>
          <m:t>]</m:t>
        </m:r>
      </m:oMath>
      <w:r>
        <w:t xml:space="preserve">, and a whitelisted recommended action. An abbreviated, nonexperimental instance is shown below.</w:t>
      </w:r>
    </w:p>
    <w:p>
      <w:pPr>
        <w:pStyle w:val="SourceCode"/>
        <w:keepLines/>
        <w:spacing w:line="240" w:lineRule="auto" w:before="80" w:after="160"/>
        <w:jc w:val="left"/>
      </w:pPr>
      <w:r>
        <w:rPr>
          <w:rStyle w:val="VerbatimChar"/>
          <w:rFonts w:ascii="Consolas" w:hAnsi="Consolas"/>
          <w:sz w:val="17"/>
        </w:rPr>
        <w:t xml:space="preserve">{</w:t>
      </w:r>
      <w:r>
        <w:rPr>
          <w:rFonts w:ascii="Consolas" w:hAnsi="Consolas"/>
          <w:sz w:val="17"/>
        </w:rPr>
        <w:br/>
      </w:r>
      <w:r>
        <w:rPr>
          <w:rStyle w:val="VerbatimChar"/>
          <w:rFonts w:ascii="Consolas" w:hAnsi="Consolas"/>
          <w:sz w:val="17"/>
        </w:rPr>
        <w:t xml:space="preserve">  "schema_version": "1.0",</w:t>
      </w:r>
      <w:r>
        <w:rPr>
          <w:rFonts w:ascii="Consolas" w:hAnsi="Consolas"/>
          <w:sz w:val="17"/>
        </w:rPr>
        <w:br/>
      </w:r>
      <w:r>
        <w:rPr>
          <w:rStyle w:val="VerbatimChar"/>
          <w:rFonts w:ascii="Consolas" w:hAnsi="Consolas"/>
          <w:sz w:val="17"/>
        </w:rPr>
        <w:t xml:space="preserve">  "event_id": "EVT-0123456789AB",</w:t>
      </w:r>
      <w:r>
        <w:rPr>
          <w:rFonts w:ascii="Consolas" w:hAnsi="Consolas"/>
          <w:sz w:val="17"/>
        </w:rPr>
        <w:br/>
      </w:r>
      <w:r>
        <w:rPr>
          <w:rStyle w:val="VerbatimChar"/>
          <w:rFonts w:ascii="Consolas" w:hAnsi="Consolas"/>
          <w:sz w:val="17"/>
        </w:rPr>
        <w:t xml:space="preserve">  "candidate_explanations": [</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"claim_id": "C1",</w:t>
      </w:r>
      <w:r>
        <w:rPr>
          <w:rFonts w:ascii="Consolas" w:hAnsi="Consolas"/>
          <w:sz w:val="17"/>
        </w:rPr>
        <w:br/>
      </w:r>
      <w:r>
        <w:rPr>
          <w:rStyle w:val="VerbatimChar"/>
          <w:rFonts w:ascii="Consolas" w:hAnsi="Consolas"/>
          <w:sz w:val="17"/>
        </w:rPr>
        <w:t xml:space="preserve">      "diagnostic_label": "ANOMALOUS_PROCESS_STATE",</w:t>
      </w:r>
      <w:r>
        <w:rPr>
          <w:rFonts w:ascii="Consolas" w:hAnsi="Consolas"/>
          <w:sz w:val="17"/>
        </w:rPr>
        <w:br/>
      </w:r>
      <w:r>
        <w:rPr>
          <w:rStyle w:val="VerbatimChar"/>
          <w:rFonts w:ascii="Consolas" w:hAnsi="Consolas"/>
          <w:sz w:val="17"/>
        </w:rPr>
        <w:t xml:space="preserve">      "text": "Illustrative explanation; not an experimental output.",</w:t>
      </w:r>
      <w:r>
        <w:rPr>
          <w:rFonts w:ascii="Consolas" w:hAnsi="Consolas"/>
          <w:sz w:val="17"/>
        </w:rPr>
        <w:br/>
      </w:r>
      <w:r>
        <w:rPr>
          <w:rStyle w:val="VerbatimChar"/>
          <w:rFonts w:ascii="Consolas" w:hAnsi="Consolas"/>
          <w:sz w:val="17"/>
        </w:rPr>
        <w:t xml:space="preserve">      "variables": ["XMEAS(1)"],</w:t>
      </w:r>
      <w:r>
        <w:rPr>
          <w:rFonts w:ascii="Consolas" w:hAnsi="Consolas"/>
          <w:sz w:val="17"/>
        </w:rPr>
        <w:br/>
      </w:r>
      <w:r>
        <w:rPr>
          <w:rStyle w:val="VerbatimChar"/>
          <w:rFonts w:ascii="Consolas" w:hAnsi="Consolas"/>
          <w:sz w:val="17"/>
        </w:rPr>
        <w:t xml:space="preserve">      "supporting_evidence_ids": ["E03"],</w:t>
      </w:r>
      <w:r>
        <w:rPr>
          <w:rFonts w:ascii="Consolas" w:hAnsi="Consolas"/>
          <w:sz w:val="17"/>
        </w:rPr>
        <w:br/>
      </w:r>
      <w:r>
        <w:rPr>
          <w:rStyle w:val="VerbatimChar"/>
          <w:rFonts w:ascii="Consolas" w:hAnsi="Consolas"/>
          <w:sz w:val="17"/>
        </w:rPr>
        <w:t xml:space="preserve">      "contradicting_evidence_ids": [],</w:t>
      </w:r>
      <w:r>
        <w:rPr>
          <w:rFonts w:ascii="Consolas" w:hAnsi="Consolas"/>
          <w:sz w:val="17"/>
        </w:rPr>
        <w:br/>
      </w:r>
      <w:r>
        <w:rPr>
          <w:rStyle w:val="VerbatimChar"/>
          <w:rFonts w:ascii="Consolas" w:hAnsi="Consolas"/>
          <w:sz w:val="17"/>
        </w:rPr>
        <w:t xml:space="preserve">      "missing_evidence": ["An approved measurement is required."],</w:t>
      </w:r>
      <w:r>
        <w:rPr>
          <w:rFonts w:ascii="Consolas" w:hAnsi="Consolas"/>
          <w:sz w:val="17"/>
        </w:rPr>
        <w:br/>
      </w:r>
      <w:r>
        <w:rPr>
          <w:rStyle w:val="VerbatimChar"/>
          <w:rFonts w:ascii="Consolas" w:hAnsi="Consolas"/>
          <w:sz w:val="17"/>
        </w:rPr>
        <w:t xml:space="preserve">      "confidence": 0.800,</w:t>
      </w:r>
      <w:r>
        <w:rPr>
          <w:rFonts w:ascii="Consolas" w:hAnsi="Consolas"/>
          <w:sz w:val="17"/>
        </w:rPr>
        <w:br/>
      </w:r>
      <w:r>
        <w:rPr>
          <w:rStyle w:val="VerbatimChar"/>
          <w:rFonts w:ascii="Consolas" w:hAnsi="Consolas"/>
          <w:sz w:val="17"/>
        </w:rPr>
        <w:t xml:space="preserve">      "recommended_action": "ESCALATE_TO_HUMAN"</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t xml:space="preserve">JSON Schema cannot statically express the current event’s evidence set. The runtime validator therefore checks that event identifiers match; supporting and contradicting aliases belong to the current event and do not overlap; provenance mappings are unique; source and content hashes match; candidates are not duplicated; confidence ordering is valid; and actions belong to the whitelist. First-pass parsing, JSON Schema success, dynamic foreign key validation, and provenance validation are reported as separate layers. The primary strict-schema outcome requires complete-response parsing and JSON Schema validation on the first attempt; end-to-end acceptance additionally requires the downstream dynamic, provenance, and safety gates. Substring extraction, diagnostic recovery, repeated calls, and deterministic safe records are retained separately and do not reclassify first-pass outcomes.</w:t>
      </w:r>
    </w:p>
    <w:p>
      <w:pPr>
        <w:pStyle w:val="BodyText"/>
      </w:pPr>
      <w:r>
        <w:t xml:space="preserve">The complete online procedure is:</w:t>
      </w:r>
    </w:p>
    <w:p>
      <w:pPr>
        <w:pStyle w:val="SourceCode"/>
        <w:keepLines/>
        <w:spacing w:line="240" w:lineRule="auto" w:before="80" w:after="160"/>
        <w:jc w:val="left"/>
      </w:pPr>
      <w:r>
        <w:rPr>
          <w:rStyle w:val="VerbatimChar"/>
          <w:rFonts w:ascii="Consolas" w:hAnsi="Consolas"/>
          <w:sz w:val="17"/>
        </w:rPr>
        <w:t xml:space="preserve">Input: frozen event, detector configuration, official data,</w:t>
      </w:r>
      <w:r>
        <w:rPr>
          <w:rFonts w:ascii="Consolas" w:hAnsi="Consolas"/>
          <w:sz w:val="17"/>
        </w:rPr>
        <w:br/>
      </w:r>
      <w:r>
        <w:rPr>
          <w:rStyle w:val="VerbatimChar"/>
          <w:rFonts w:ascii="Consolas" w:hAnsi="Consolas"/>
          <w:sz w:val="17"/>
        </w:rPr>
        <w:t xml:space="preserve">       and training-period references</w:t>
      </w:r>
      <w:r>
        <w:rPr>
          <w:rFonts w:ascii="Consolas" w:hAnsi="Consolas"/>
          <w:sz w:val="17"/>
        </w:rPr>
        <w:br/>
      </w:r>
      <w:r>
        <w:rPr>
          <w:rStyle w:val="VerbatimChar"/>
          <w:rFonts w:ascii="Consolas" w:hAnsi="Consolas"/>
          <w:sz w:val="17"/>
        </w:rPr>
        <w:t xml:space="preserve">1. Construct multiview candidate observation cards</w:t>
      </w:r>
      <w:r>
        <w:rPr>
          <w:rFonts w:ascii="Consolas" w:hAnsi="Consolas"/>
          <w:sz w:val="17"/>
        </w:rPr>
        <w:br/>
      </w:r>
      <w:r>
        <w:rPr>
          <w:rStyle w:val="VerbatimChar"/>
          <w:rFonts w:ascii="Consolas" w:hAnsi="Consolas"/>
          <w:sz w:val="17"/>
        </w:rPr>
        <w:t xml:space="preserve">2. Assign randomized event-local aliases and register provenance</w:t>
      </w:r>
      <w:r>
        <w:rPr>
          <w:rFonts w:ascii="Consolas" w:hAnsi="Consolas"/>
          <w:sz w:val="17"/>
        </w:rPr>
        <w:br/>
      </w:r>
      <w:r>
        <w:rPr>
          <w:rStyle w:val="VerbatimChar"/>
          <w:rFonts w:ascii="Consolas" w:hAnsi="Consolas"/>
          <w:sz w:val="17"/>
        </w:rPr>
        <w:t xml:space="preserve">3. Assemble the model-visible context package</w:t>
      </w:r>
      <w:r>
        <w:rPr>
          <w:rFonts w:ascii="Consolas" w:hAnsi="Consolas"/>
          <w:sz w:val="17"/>
        </w:rPr>
        <w:br/>
      </w:r>
      <w:r>
        <w:rPr>
          <w:rStyle w:val="VerbatimChar"/>
          <w:rFonts w:ascii="Consolas" w:hAnsi="Consolas"/>
          <w:sz w:val="17"/>
        </w:rPr>
        <w:t xml:space="preserve">4. Generate up to three claim-local candidates under the frozen schema</w:t>
      </w:r>
      <w:r>
        <w:rPr>
          <w:rFonts w:ascii="Consolas" w:hAnsi="Consolas"/>
          <w:sz w:val="17"/>
        </w:rPr>
        <w:br/>
      </w:r>
      <w:r>
        <w:rPr>
          <w:rStyle w:val="VerbatimChar"/>
          <w:rFonts w:ascii="Consolas" w:hAnsi="Consolas"/>
          <w:sz w:val="17"/>
        </w:rPr>
        <w:t xml:space="preserve">5. Perform parsing, schema, dynamic foreign key, and provenance checks</w:t>
      </w:r>
      <w:r>
        <w:rPr>
          <w:rFonts w:ascii="Consolas" w:hAnsi="Consolas"/>
          <w:sz w:val="17"/>
        </w:rPr>
        <w:br/>
      </w:r>
      <w:r>
        <w:rPr>
          <w:rStyle w:val="VerbatimChar"/>
          <w:rFonts w:ascii="Consolas" w:hAnsi="Consolas"/>
          <w:sz w:val="17"/>
        </w:rPr>
        <w:t xml:space="preserve">6. Apply the deterministic action and safety policy</w:t>
      </w:r>
      <w:r>
        <w:rPr>
          <w:rFonts w:ascii="Consolas" w:hAnsi="Consolas"/>
          <w:sz w:val="17"/>
        </w:rPr>
        <w:br/>
      </w:r>
      <w:r>
        <w:rPr>
          <w:rStyle w:val="VerbatimChar"/>
          <w:rFonts w:ascii="Consolas" w:hAnsi="Consolas"/>
          <w:sz w:val="17"/>
        </w:rPr>
        <w:t xml:space="preserve">7. Reject and escalate if any deterministic gate fails</w:t>
      </w:r>
      <w:r>
        <w:rPr>
          <w:rFonts w:ascii="Consolas" w:hAnsi="Consolas"/>
          <w:sz w:val="17"/>
        </w:rPr>
        <w:br/>
      </w:r>
      <w:r>
        <w:rPr>
          <w:rStyle w:val="VerbatimChar"/>
          <w:rFonts w:ascii="Consolas" w:hAnsi="Consolas"/>
          <w:sz w:val="17"/>
        </w:rPr>
        <w:t xml:space="preserve">8. Otherwise return the record, audit trail, and execution log</w:t>
      </w:r>
    </w:p>
    <w:p>
      <w:pPr>
        <w:pStyle w:val="FirstParagraph"/>
      </w:pPr>
      <w:r>
        <w:t xml:space="preserve">Figure S1 details the mapping from a sensor interval to claim-local evidence links. Numerical values shown in the illustration are structural examples and not experimental observations.</w:t>
      </w:r>
    </w:p>
    <w:p>
      <w:pPr>
        <w:pStyle w:val="BodyText"/>
        <w:keepNext/>
        <w:spacing w:before="120" w:after="60"/>
        <w:jc w:val="center"/>
      </w:pPr>
      <w:r>
        <w:drawing>
          <wp:inline>
            <wp:extent cx="5334000" cy="3733800"/>
            <wp:effectExtent b="0" l="0" r="0" t="0"/>
            <wp:docPr descr="image" title="" id="12" name="Picture"/>
            <a:graphic>
              <a:graphicData uri="http://schemas.openxmlformats.org/drawingml/2006/picture">
                <pic:pic>
                  <pic:nvPicPr>
                    <pic:cNvPr descr="C:/work/doc_moutain/paper/sensors/fig2_claim_evidence_contract_en.png" id="13" name="Picture"/>
                    <pic:cNvPicPr>
                      <a:picLocks noChangeArrowheads="1" noChangeAspect="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pPr>
        <w:pStyle w:val="Caption"/>
        <w:keepNext w:val="0"/>
      </w:pPr>
      <w:r>
        <w:rPr>
          <w:b/>
          <w:bCs/>
        </w:rPr>
        <w:t xml:space="preserve">Figure S1.</w:t>
      </w:r>
      <w:r>
        <w:t xml:space="preserve"> </w:t>
      </w:r>
      <w:r>
        <w:t xml:space="preserve">Claim-local evidence contract for industrial sensor time series. Multiview features become event-local candidate cards; supporting evidence, contradicting evidence, and missing information are attached to individual explanations; the model-invisible registry resolves aliases to source coordinates and hashes.</w:t>
      </w:r>
    </w:p>
    <w:p>
      <w:pPr>
        <w:pStyle w:val="Heading1"/>
      </w:pPr>
      <w:r>
        <w:t xml:space="preserve">S2. Structural Controls and Counterfactual Construction</w:t>
      </w:r>
    </w:p>
    <w:p>
      <w:pPr>
        <w:pStyle w:val="FirstParagraph"/>
      </w:pPr>
      <w:r>
        <w:t xml:space="preserve">All structural comparisons retain the same underlying event, evidence fields, schema, output budget, and primary model. Offline recovery is recorded only for failure diagnosis. Table S1 gives the full structural audit, and Table S2 reports identifier-only, irrelevant-content, and deterministic-copying controls.</w:t>
      </w:r>
    </w:p>
    <w:p>
      <w:pPr>
        <w:pStyle w:val="BodyText"/>
        <w:spacing w:before="120"/>
      </w:pPr>
      <w:r>
        <w:t xml:space="preserve">Attribute–identifier permutation changes only the binding between card content and local aliases; order permutation does not alter that binding; direction reversal changes only the frozen direction; provenance conflict retains a donor’s real provenance and must be rejected before invocation; and cross-event content replacement uses matched donors and a counterfactual registry only for offline sensitivity analysis. Every mapping is frozen and hashed before formal outputs are generated. Exchange donors are matched by dataset, window length, detector, and score range; bidirectional pairs are nonrepeating and no event serves as donor more than once.</w:t>
      </w:r>
    </w:p>
    <w:p>
      <w:pPr>
        <w:pStyle w:val="BodyText"/>
        <w:spacing w:before="0" w:after="0" w:line="20" w:lineRule="exact"/>
        <w:sectPr>
          <w:type w:val="nextPage"/>
          <w:headerReference w:type="default" r:id="rId9"/>
          <w:footerReference w:type="default" r:id="rId10"/>
          <w:footnotePr>
            <w:numRestart w:val="eachSect"/>
          </w:footnotePr>
          <w:pgSz w:w="11905" w:h="16837" w:orient="portrait"/>
          <w:pgMar w:header="454" w:footer="454" w:left="1133" w:right="1133" w:top="1020" w:bottom="1020"/>
        </w:sectPr>
      </w:pPr>
    </w:p>
    <w:bookmarkEnd w:id="14"/>
    <w:bookmarkStart w:id="15" w:name="X90daa710910cb460051d027612e9bfc233b7965"/>
    <w:p>
      <w:pPr>
        <w:pStyle w:val="Caption"/>
        <w:keepNext/>
      </w:pPr>
      <w:r>
        <w:rPr>
          <w:b/>
          <w:bCs/>
        </w:rPr>
        <w:t xml:space="preserve">Table S1.</w:t>
      </w:r>
      <w:r>
        <w:t xml:space="preserve"> </w:t>
      </w:r>
      <w:r>
        <w:t xml:space="preserve">Full structural audit with complete evidence held fixed. JSON, JavaScript Object Notation; DFK, dynamic foreign key. DFK pass requires every evidence reference in a record to resolve to the current event.</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2556"/>
        <w:gridCol w:w="1981"/>
        <w:gridCol w:w="1470"/>
        <w:gridCol w:w="1470"/>
        <w:gridCol w:w="1406"/>
        <w:gridCol w:w="2684"/>
        <w:gridCol w:w="1534"/>
        <w:gridCol w:w="1470"/>
      </w:tblGrid>
      <w:tr>
        <w:trPr>
          <w:tblHeader w:val="on"/>
          <w:cantSplit/>
          <w:tblHeader/>
        </w:trPr>
        <w:tc>
          <w:tcPr>
            <w:tcW w:type="dxa" w:w="2556"/>
            <w:vAlign w:val="center"/>
            <w:shd w:fill="F0F0F0"/>
          </w:tcPr>
          <w:p>
            <w:pPr>
              <w:pStyle w:val="Compact"/>
              <w:keepNext/>
              <w:keepLines/>
              <w:spacing w:before="0" w:after="0" w:line="240" w:lineRule="auto"/>
              <w:jc w:val="left"/>
            </w:pPr>
            <w:r>
              <w:rPr>
                <w:rFonts w:ascii="Times New Roman" w:hAnsi="Times New Roman"/>
                <w:b/>
                <w:bCs/>
                <w:sz w:val="19"/>
              </w:rPr>
              <w:t xml:space="preserve">Mechanism</w:t>
            </w:r>
          </w:p>
        </w:tc>
        <w:tc>
          <w:tcPr>
            <w:tcW w:type="dxa" w:w="1981"/>
            <w:vAlign w:val="center"/>
            <w:shd w:fill="F0F0F0"/>
          </w:tcPr>
          <w:p>
            <w:pPr>
              <w:pStyle w:val="Compact"/>
              <w:keepNext/>
              <w:keepLines/>
              <w:spacing w:before="0" w:after="0" w:line="240" w:lineRule="auto"/>
              <w:jc w:val="center"/>
            </w:pPr>
            <w:r>
              <w:rPr>
                <w:rFonts w:ascii="Times New Roman" w:hAnsi="Times New Roman"/>
                <w:b/>
                <w:bCs/>
                <w:sz w:val="19"/>
              </w:rPr>
              <w:t xml:space="preserve">Alarm records (clusters)</w:t>
            </w:r>
          </w:p>
        </w:tc>
        <w:tc>
          <w:tcPr>
            <w:tcW w:type="dxa" w:w="1470"/>
            <w:vAlign w:val="center"/>
            <w:shd w:fill="F0F0F0"/>
          </w:tcPr>
          <w:p>
            <w:pPr>
              <w:pStyle w:val="Compact"/>
              <w:keepNext/>
              <w:keepLines/>
              <w:spacing w:before="0" w:after="0" w:line="240" w:lineRule="auto"/>
              <w:jc w:val="center"/>
            </w:pPr>
            <w:r>
              <w:rPr>
                <w:rFonts w:ascii="Times New Roman" w:hAnsi="Times New Roman"/>
                <w:b/>
                <w:bCs/>
                <w:sz w:val="19"/>
              </w:rPr>
              <w:t xml:space="preserve">Strict JSON</w:t>
            </w:r>
          </w:p>
        </w:tc>
        <w:tc>
          <w:tcPr>
            <w:tcW w:type="dxa" w:w="1470"/>
            <w:vAlign w:val="center"/>
            <w:shd w:fill="F0F0F0"/>
          </w:tcPr>
          <w:p>
            <w:pPr>
              <w:pStyle w:val="Compact"/>
              <w:keepNext/>
              <w:keepLines/>
              <w:spacing w:before="0" w:after="0" w:line="240" w:lineRule="auto"/>
              <w:jc w:val="center"/>
            </w:pPr>
            <w:r>
              <w:rPr>
                <w:rFonts w:ascii="Times New Roman" w:hAnsi="Times New Roman"/>
                <w:b/>
                <w:bCs/>
                <w:sz w:val="19"/>
              </w:rPr>
              <w:t xml:space="preserve">Strict schema</w:t>
            </w:r>
          </w:p>
        </w:tc>
        <w:tc>
          <w:tcPr>
            <w:tcW w:type="dxa" w:w="1406"/>
            <w:vAlign w:val="center"/>
            <w:shd w:fill="F0F0F0"/>
          </w:tcPr>
          <w:p>
            <w:pPr>
              <w:pStyle w:val="Compact"/>
              <w:keepNext/>
              <w:keepLines/>
              <w:spacing w:before="0" w:after="0" w:line="240" w:lineRule="auto"/>
              <w:jc w:val="center"/>
            </w:pPr>
            <w:r>
              <w:rPr>
                <w:rFonts w:ascii="Times New Roman" w:hAnsi="Times New Roman"/>
                <w:b/>
                <w:bCs/>
                <w:sz w:val="19"/>
              </w:rPr>
              <w:t xml:space="preserve">DFK pass</w:t>
            </w:r>
          </w:p>
        </w:tc>
        <w:tc>
          <w:tcPr>
            <w:tcW w:type="dxa" w:w="2684"/>
            <w:vAlign w:val="center"/>
            <w:shd w:fill="F0F0F0"/>
          </w:tcPr>
          <w:p>
            <w:pPr>
              <w:pStyle w:val="Compact"/>
              <w:keepNext/>
              <w:keepLines/>
              <w:spacing w:before="0" w:after="0" w:line="240" w:lineRule="auto"/>
              <w:jc w:val="center"/>
            </w:pPr>
            <w:r>
              <w:rPr>
                <w:rFonts w:ascii="Times New Roman" w:hAnsi="Times New Roman"/>
                <w:b/>
                <w:bCs/>
                <w:sz w:val="19"/>
              </w:rPr>
              <w:t xml:space="preserve">Recovery among failures</w:t>
            </w:r>
          </w:p>
        </w:tc>
        <w:tc>
          <w:tcPr>
            <w:tcW w:type="dxa" w:w="1534"/>
            <w:vAlign w:val="center"/>
            <w:shd w:fill="F0F0F0"/>
          </w:tcPr>
          <w:p>
            <w:pPr>
              <w:pStyle w:val="Compact"/>
              <w:keepNext/>
              <w:keepLines/>
              <w:spacing w:before="0" w:after="0" w:line="240" w:lineRule="auto"/>
              <w:jc w:val="center"/>
            </w:pPr>
            <w:r>
              <w:rPr>
                <w:rFonts w:ascii="Times New Roman" w:hAnsi="Times New Roman"/>
                <w:b/>
                <w:bCs/>
                <w:sz w:val="19"/>
              </w:rPr>
              <w:t xml:space="preserve">Output tokens</w:t>
            </w:r>
          </w:p>
        </w:tc>
        <w:tc>
          <w:tcPr>
            <w:tcW w:type="dxa" w:w="1470"/>
            <w:vAlign w:val="center"/>
            <w:shd w:fill="F0F0F0"/>
          </w:tcPr>
          <w:p>
            <w:pPr>
              <w:pStyle w:val="Compact"/>
              <w:keepNext/>
              <w:keepLines/>
              <w:spacing w:before="0" w:after="0" w:line="240" w:lineRule="auto"/>
              <w:jc w:val="center"/>
            </w:pPr>
            <w:r>
              <w:rPr>
                <w:rFonts w:ascii="Times New Roman" w:hAnsi="Times New Roman"/>
                <w:b/>
                <w:bCs/>
                <w:sz w:val="19"/>
              </w:rPr>
              <w:t xml:space="preserve">Latency (s)</w:t>
            </w:r>
          </w:p>
        </w:tc>
      </w:tr>
      <w:tr>
        <w:trPr>
          <w:cantSplit/>
        </w:trPr>
        <w:tc>
          <w:tcPr>
            <w:tcW w:type="dxa" w:w="2556"/>
            <w:vAlign w:val="center"/>
          </w:tcPr>
          <w:p>
            <w:pPr>
              <w:pStyle w:val="Compact"/>
              <w:keepNext/>
              <w:keepLines/>
              <w:spacing w:before="0" w:after="0" w:line="240" w:lineRule="auto"/>
              <w:jc w:val="left"/>
            </w:pPr>
            <w:r>
              <w:rPr>
                <w:rFonts w:ascii="Times New Roman" w:hAnsi="Times New Roman"/>
                <w:sz w:val="19"/>
              </w:rPr>
              <w:t xml:space="preserve">Full-evidence unconstrained</w:t>
            </w:r>
          </w:p>
        </w:tc>
        <w:tc>
          <w:tcPr>
            <w:tcW w:type="dxa" w:w="1981"/>
            <w:vAlign w:val="center"/>
          </w:tcPr>
          <w:p>
            <w:pPr>
              <w:pStyle w:val="Compact"/>
              <w:keepNext/>
              <w:keepLines/>
              <w:spacing w:before="0" w:after="0" w:line="240" w:lineRule="auto"/>
              <w:jc w:val="center"/>
            </w:pPr>
            <w:r>
              <w:rPr>
                <w:rFonts w:ascii="Times New Roman" w:hAnsi="Times New Roman"/>
                <w:sz w:val="19"/>
              </w:rPr>
              <w:t xml:space="preserve">137 (50)</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0.781</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0.701</w:t>
            </w:r>
          </w:p>
        </w:tc>
        <w:tc>
          <w:tcPr>
            <w:tcW w:type="dxa" w:w="1406"/>
            <w:vAlign w:val="center"/>
          </w:tcPr>
          <w:p>
            <w:pPr>
              <w:pStyle w:val="Compact"/>
              <w:keepNext/>
              <w:keepLines/>
              <w:spacing w:before="0" w:after="0" w:line="240" w:lineRule="auto"/>
              <w:jc w:val="center"/>
            </w:pPr>
            <w:r>
              <w:rPr>
                <w:rFonts w:ascii="Times New Roman" w:hAnsi="Times New Roman"/>
                <w:sz w:val="19"/>
              </w:rPr>
              <w:t xml:space="preserve">0.672</w:t>
            </w:r>
          </w:p>
        </w:tc>
        <w:tc>
          <w:tcPr>
            <w:tcW w:type="dxa" w:w="2684"/>
            <w:vAlign w:val="center"/>
          </w:tcPr>
          <w:p>
            <w:pPr>
              <w:pStyle w:val="Compact"/>
              <w:keepNext/>
              <w:keepLines/>
              <w:spacing w:before="0" w:after="0" w:line="240" w:lineRule="auto"/>
              <w:jc w:val="center"/>
            </w:pPr>
            <w:r>
              <w:rPr>
                <w:rFonts w:ascii="Times New Roman" w:hAnsi="Times New Roman"/>
                <w:sz w:val="19"/>
              </w:rPr>
              <w:t xml:space="preserve">0.610</w:t>
            </w:r>
          </w:p>
        </w:tc>
        <w:tc>
          <w:tcPr>
            <w:tcW w:type="dxa" w:w="1534"/>
            <w:vAlign w:val="center"/>
          </w:tcPr>
          <w:p>
            <w:pPr>
              <w:pStyle w:val="Compact"/>
              <w:keepNext/>
              <w:keepLines/>
              <w:spacing w:before="0" w:after="0" w:line="240" w:lineRule="auto"/>
              <w:jc w:val="center"/>
            </w:pPr>
            <w:r>
              <w:rPr>
                <w:rFonts w:ascii="Times New Roman" w:hAnsi="Times New Roman"/>
                <w:sz w:val="19"/>
              </w:rPr>
              <w:t xml:space="preserve">612</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2.84</w:t>
            </w:r>
          </w:p>
        </w:tc>
      </w:tr>
      <w:tr>
        <w:trPr>
          <w:cantSplit/>
        </w:trPr>
        <w:tc>
          <w:tcPr>
            <w:tcW w:type="dxa" w:w="2556"/>
            <w:vAlign w:val="center"/>
          </w:tcPr>
          <w:p>
            <w:pPr>
              <w:pStyle w:val="Compact"/>
              <w:keepNext/>
              <w:keepLines/>
              <w:spacing w:before="0" w:after="0" w:line="240" w:lineRule="auto"/>
              <w:jc w:val="left"/>
            </w:pPr>
            <w:r>
              <w:rPr>
                <w:rFonts w:ascii="Times New Roman" w:hAnsi="Times New Roman"/>
                <w:sz w:val="19"/>
              </w:rPr>
              <w:t xml:space="preserve">Full-evidence constrained</w:t>
            </w:r>
          </w:p>
        </w:tc>
        <w:tc>
          <w:tcPr>
            <w:tcW w:type="dxa" w:w="1981"/>
            <w:vAlign w:val="center"/>
          </w:tcPr>
          <w:p>
            <w:pPr>
              <w:pStyle w:val="Compact"/>
              <w:keepNext/>
              <w:keepLines/>
              <w:spacing w:before="0" w:after="0" w:line="240" w:lineRule="auto"/>
              <w:jc w:val="center"/>
            </w:pPr>
            <w:r>
              <w:rPr>
                <w:rFonts w:ascii="Times New Roman" w:hAnsi="Times New Roman"/>
                <w:sz w:val="19"/>
              </w:rPr>
              <w:t xml:space="preserve">137 (50)</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0.993</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0.978</w:t>
            </w:r>
          </w:p>
        </w:tc>
        <w:tc>
          <w:tcPr>
            <w:tcW w:type="dxa" w:w="1406"/>
            <w:vAlign w:val="center"/>
          </w:tcPr>
          <w:p>
            <w:pPr>
              <w:pStyle w:val="Compact"/>
              <w:keepNext/>
              <w:keepLines/>
              <w:spacing w:before="0" w:after="0" w:line="240" w:lineRule="auto"/>
              <w:jc w:val="center"/>
            </w:pPr>
            <w:r>
              <w:rPr>
                <w:rFonts w:ascii="Times New Roman" w:hAnsi="Times New Roman"/>
                <w:sz w:val="19"/>
              </w:rPr>
              <w:t xml:space="preserve">0.971</w:t>
            </w:r>
          </w:p>
        </w:tc>
        <w:tc>
          <w:tcPr>
            <w:tcW w:type="dxa" w:w="2684"/>
            <w:vAlign w:val="center"/>
          </w:tcPr>
          <w:p>
            <w:pPr>
              <w:pStyle w:val="Compact"/>
              <w:keepNext/>
              <w:keepLines/>
              <w:spacing w:before="0" w:after="0" w:line="240" w:lineRule="auto"/>
              <w:jc w:val="center"/>
            </w:pPr>
            <w:r>
              <w:rPr>
                <w:rFonts w:ascii="Times New Roman" w:hAnsi="Times New Roman"/>
                <w:sz w:val="19"/>
              </w:rPr>
              <w:t xml:space="preserve">0.667</w:t>
            </w:r>
          </w:p>
        </w:tc>
        <w:tc>
          <w:tcPr>
            <w:tcW w:type="dxa" w:w="1534"/>
            <w:vAlign w:val="center"/>
          </w:tcPr>
          <w:p>
            <w:pPr>
              <w:pStyle w:val="Compact"/>
              <w:keepNext/>
              <w:keepLines/>
              <w:spacing w:before="0" w:after="0" w:line="240" w:lineRule="auto"/>
              <w:jc w:val="center"/>
            </w:pPr>
            <w:r>
              <w:rPr>
                <w:rFonts w:ascii="Times New Roman" w:hAnsi="Times New Roman"/>
                <w:sz w:val="19"/>
              </w:rPr>
              <w:t xml:space="preserve">548</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3.07</w:t>
            </w:r>
          </w:p>
        </w:tc>
      </w:tr>
      <w:tr>
        <w:trPr>
          <w:cantSplit/>
        </w:trPr>
        <w:tc>
          <w:tcPr>
            <w:tcW w:type="dxa" w:w="2556"/>
            <w:vAlign w:val="center"/>
          </w:tcPr>
          <w:p>
            <w:pPr>
              <w:pStyle w:val="Compact"/>
              <w:keepNext/>
              <w:keepLines/>
              <w:spacing w:before="0" w:after="0" w:line="240" w:lineRule="auto"/>
              <w:jc w:val="left"/>
            </w:pPr>
            <w:r>
              <w:rPr>
                <w:rFonts w:ascii="Times New Roman" w:hAnsi="Times New Roman"/>
                <w:sz w:val="19"/>
              </w:rPr>
              <w:t xml:space="preserve">Deterministic safe skeleton</w:t>
            </w:r>
          </w:p>
        </w:tc>
        <w:tc>
          <w:tcPr>
            <w:tcW w:type="dxa" w:w="1981"/>
            <w:vAlign w:val="center"/>
          </w:tcPr>
          <w:p>
            <w:pPr>
              <w:pStyle w:val="Compact"/>
              <w:keepNext/>
              <w:keepLines/>
              <w:spacing w:before="0" w:after="0" w:line="240" w:lineRule="auto"/>
              <w:jc w:val="center"/>
            </w:pPr>
            <w:r>
              <w:rPr>
                <w:rFonts w:ascii="Times New Roman" w:hAnsi="Times New Roman"/>
                <w:sz w:val="19"/>
              </w:rPr>
              <w:t xml:space="preserve">137 (50)</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406"/>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2684"/>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34"/>
            <w:vAlign w:val="center"/>
          </w:tcPr>
          <w:p>
            <w:pPr>
              <w:pStyle w:val="Compact"/>
              <w:keepNext/>
              <w:keepLines/>
              <w:spacing w:before="0" w:after="0" w:line="240" w:lineRule="auto"/>
              <w:jc w:val="center"/>
            </w:pPr>
            <w:r>
              <w:rPr>
                <w:rFonts w:ascii="Times New Roman" w:hAnsi="Times New Roman"/>
                <w:sz w:val="19"/>
              </w:rPr>
              <w:t xml:space="preserve">166</w:t>
            </w:r>
          </w:p>
        </w:tc>
        <w:tc>
          <w:tcPr>
            <w:tcW w:type="dxa" w:w="1470"/>
            <w:vAlign w:val="center"/>
          </w:tcPr>
          <w:p>
            <w:pPr>
              <w:pStyle w:val="Compact"/>
              <w:keepNext/>
              <w:keepLines/>
              <w:spacing w:before="0" w:after="0" w:line="240" w:lineRule="auto"/>
              <w:jc w:val="center"/>
            </w:pPr>
            <w:r>
              <w:rPr>
                <w:rFonts w:ascii="Times New Roman" w:hAnsi="Times New Roman"/>
                <w:sz w:val="19"/>
              </w:rPr>
              <w:t xml:space="preserve">0.02</w:t>
            </w:r>
          </w:p>
        </w:tc>
      </w:tr>
      <w:tr>
        <w:trPr>
          <w:cantSplit/>
        </w:trPr>
        <w:tc>
          <w:tcPr>
            <w:tcW w:type="dxa" w:w="2556"/>
            <w:vAlign w:val="center"/>
          </w:tcPr>
          <w:p>
            <w:pPr>
              <w:pStyle w:val="Compact"/>
              <w:keepNext w:val="0"/>
              <w:keepLines/>
              <w:spacing w:before="0" w:after="0" w:line="240" w:lineRule="auto"/>
              <w:jc w:val="left"/>
            </w:pPr>
            <w:r>
              <w:rPr>
                <w:rFonts w:ascii="Times New Roman" w:hAnsi="Times New Roman"/>
                <w:sz w:val="19"/>
              </w:rPr>
              <w:t xml:space="preserve">Recovered unconstrained subset</w:t>
            </w:r>
          </w:p>
        </w:tc>
        <w:tc>
          <w:tcPr>
            <w:tcW w:type="dxa" w:w="1981"/>
            <w:vAlign w:val="center"/>
          </w:tcPr>
          <w:p>
            <w:pPr>
              <w:pStyle w:val="Compact"/>
              <w:keepNext w:val="0"/>
              <w:keepLines/>
              <w:spacing w:before="0" w:after="0" w:line="240" w:lineRule="auto"/>
              <w:jc w:val="center"/>
            </w:pPr>
            <w:r>
              <w:rPr>
                <w:rFonts w:ascii="Times New Roman" w:hAnsi="Times New Roman"/>
                <w:sz w:val="19"/>
              </w:rPr>
              <w:t xml:space="preserve">25 of 41 failures</w:t>
            </w:r>
          </w:p>
        </w:tc>
        <w:tc>
          <w:tcPr>
            <w:tcW w:type="dxa" w:w="1470"/>
            <w:vAlign w:val="center"/>
          </w:tcPr>
          <w:p>
            <w:pPr>
              <w:pStyle w:val="Compact"/>
              <w:keepNext w:val="0"/>
              <w:keepLines/>
              <w:spacing w:before="0" w:after="0" w:line="240" w:lineRule="auto"/>
              <w:jc w:val="center"/>
            </w:pPr>
            <w:r>
              <w:rPr>
                <w:rFonts w:ascii="Times New Roman" w:hAnsi="Times New Roman"/>
                <w:sz w:val="19"/>
              </w:rPr>
              <w:t xml:space="preserve">Not first pass</w:t>
            </w:r>
          </w:p>
        </w:tc>
        <w:tc>
          <w:tcPr>
            <w:tcW w:type="dxa" w:w="1470"/>
            <w:vAlign w:val="center"/>
          </w:tcPr>
          <w:p>
            <w:pPr>
              <w:pStyle w:val="Compact"/>
              <w:keepNext w:val="0"/>
              <w:keepLines/>
              <w:spacing w:before="0" w:after="0" w:line="240" w:lineRule="auto"/>
              <w:jc w:val="center"/>
            </w:pPr>
            <w:r>
              <w:rPr>
                <w:rFonts w:ascii="Times New Roman" w:hAnsi="Times New Roman"/>
                <w:sz w:val="19"/>
              </w:rPr>
              <w:t xml:space="preserve">Not first pass</w:t>
            </w:r>
          </w:p>
        </w:tc>
        <w:tc>
          <w:tcPr>
            <w:tcW w:type="dxa" w:w="1406"/>
            <w:vAlign w:val="center"/>
          </w:tcPr>
          <w:p>
            <w:pPr>
              <w:pStyle w:val="Compact"/>
              <w:keepNext w:val="0"/>
              <w:keepLines/>
              <w:spacing w:before="0" w:after="0" w:line="240" w:lineRule="auto"/>
              <w:jc w:val="center"/>
            </w:pPr>
            <w:r>
              <w:rPr>
                <w:rFonts w:ascii="Times New Roman" w:hAnsi="Times New Roman"/>
                <w:sz w:val="19"/>
              </w:rPr>
              <w:t xml:space="preserve">0.960</w:t>
            </w:r>
          </w:p>
        </w:tc>
        <w:tc>
          <w:tcPr>
            <w:tcW w:type="dxa" w:w="2684"/>
            <w:vAlign w:val="center"/>
          </w:tcPr>
          <w:p>
            <w:pPr>
              <w:pStyle w:val="Compact"/>
              <w:keepNext w:val="0"/>
              <w:keepLines/>
              <w:spacing w:before="0" w:after="0" w:line="240" w:lineRule="auto"/>
              <w:jc w:val="center"/>
            </w:pPr>
            <w:r>
              <w:rPr>
                <w:rFonts w:ascii="Times New Roman" w:hAnsi="Times New Roman"/>
                <w:sz w:val="19"/>
              </w:rPr>
              <w:t xml:space="preserve">0.610</w:t>
            </w:r>
          </w:p>
        </w:tc>
        <w:tc>
          <w:tcPr>
            <w:tcW w:type="dxa" w:w="1534"/>
            <w:vAlign w:val="center"/>
          </w:tcPr>
          <w:p>
            <w:pPr>
              <w:pStyle w:val="Compact"/>
              <w:keepNext w:val="0"/>
              <w:keepLines/>
              <w:spacing w:before="0" w:after="0" w:line="240" w:lineRule="auto"/>
              <w:jc w:val="center"/>
            </w:pPr>
            <w:r>
              <w:rPr>
                <w:rFonts w:ascii="Times New Roman" w:hAnsi="Times New Roman"/>
                <w:sz w:val="19"/>
              </w:rPr>
              <w:t xml:space="preserve">Not applicable</w:t>
            </w:r>
          </w:p>
        </w:tc>
        <w:tc>
          <w:tcPr>
            <w:tcW w:type="dxa" w:w="1470"/>
            <w:vAlign w:val="center"/>
          </w:tcPr>
          <w:p>
            <w:pPr>
              <w:pStyle w:val="Compact"/>
              <w:keepNext w:val="0"/>
              <w:keepLines/>
              <w:spacing w:before="0" w:after="0" w:line="240" w:lineRule="auto"/>
              <w:jc w:val="center"/>
            </w:pPr>
            <w:r>
              <w:rPr>
                <w:rFonts w:ascii="Times New Roman" w:hAnsi="Times New Roman"/>
                <w:sz w:val="19"/>
              </w:rPr>
              <w:t xml:space="preserve">0.04</w:t>
            </w:r>
          </w:p>
        </w:tc>
      </w:tr>
    </w:tbl>
    <w:p>
      <w:pPr>
        <w:pStyle w:val="Caption"/>
        <w:keepNext/>
        <w:spacing w:before="120"/>
      </w:pPr>
      <w:r>
        <w:rPr>
          <w:b/>
          <w:bCs/>
        </w:rPr>
        <w:t xml:space="preserve">Table S2.</w:t>
      </w:r>
      <w:r>
        <w:t xml:space="preserve"> </w:t>
      </w:r>
      <w:r>
        <w:t xml:space="preserve">Identifier behavior and deterministic-copying controls on 137 HAI alarm records in 50 independent clusters. F1, harmonic mean of precision and recall; LLM, large language model.</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2711"/>
        <w:gridCol w:w="1638"/>
        <w:gridCol w:w="1694"/>
        <w:gridCol w:w="1638"/>
        <w:gridCol w:w="1638"/>
        <w:gridCol w:w="2259"/>
        <w:gridCol w:w="1581"/>
        <w:gridCol w:w="1412"/>
      </w:tblGrid>
      <w:tr>
        <w:trPr>
          <w:tblHeader w:val="on"/>
          <w:cantSplit/>
          <w:tblHeader/>
        </w:trPr>
        <w:tc>
          <w:tcPr>
            <w:tcW w:type="dxa" w:w="2711"/>
            <w:vAlign w:val="center"/>
            <w:shd w:fill="F0F0F0"/>
          </w:tcPr>
          <w:p>
            <w:pPr>
              <w:pStyle w:val="Compact"/>
              <w:keepNext/>
              <w:keepLines/>
              <w:spacing w:before="0" w:after="0" w:line="240" w:lineRule="auto"/>
              <w:jc w:val="left"/>
            </w:pPr>
            <w:r>
              <w:rPr>
                <w:rFonts w:ascii="Times New Roman" w:hAnsi="Times New Roman"/>
                <w:b/>
                <w:bCs/>
                <w:sz w:val="19"/>
              </w:rPr>
              <w:t xml:space="preserve">Condition</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Strict schema</w:t>
            </w:r>
          </w:p>
        </w:tc>
        <w:tc>
          <w:tcPr>
            <w:tcW w:type="dxa" w:w="1694"/>
            <w:vAlign w:val="center"/>
            <w:shd w:fill="F0F0F0"/>
          </w:tcPr>
          <w:p>
            <w:pPr>
              <w:pStyle w:val="Compact"/>
              <w:keepNext/>
              <w:keepLines/>
              <w:spacing w:before="0" w:after="0" w:line="240" w:lineRule="auto"/>
              <w:jc w:val="center"/>
            </w:pPr>
            <w:r>
              <w:rPr>
                <w:rFonts w:ascii="Times New Roman" w:hAnsi="Times New Roman"/>
                <w:b/>
                <w:bCs/>
                <w:sz w:val="19"/>
              </w:rPr>
              <w:t xml:space="preserve">Identifier validity</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Out-of-event alias</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Duplicate alias</w:t>
            </w:r>
          </w:p>
        </w:tc>
        <w:tc>
          <w:tcPr>
            <w:tcW w:type="dxa" w:w="2259"/>
            <w:vAlign w:val="center"/>
            <w:shd w:fill="F0F0F0"/>
          </w:tcPr>
          <w:p>
            <w:pPr>
              <w:pStyle w:val="Compact"/>
              <w:keepNext/>
              <w:keepLines/>
              <w:spacing w:before="0" w:after="0" w:line="240" w:lineRule="auto"/>
              <w:jc w:val="center"/>
            </w:pPr>
            <w:r>
              <w:rPr>
                <w:rFonts w:ascii="Times New Roman" w:hAnsi="Times New Roman"/>
                <w:b/>
                <w:bCs/>
                <w:sz w:val="19"/>
              </w:rPr>
              <w:t xml:space="preserve">Nonempty explanation</w:t>
            </w:r>
          </w:p>
        </w:tc>
        <w:tc>
          <w:tcPr>
            <w:tcW w:type="dxa" w:w="1581"/>
            <w:vAlign w:val="center"/>
            <w:shd w:fill="F0F0F0"/>
          </w:tcPr>
          <w:p>
            <w:pPr>
              <w:pStyle w:val="Compact"/>
              <w:keepNext/>
              <w:keepLines/>
              <w:spacing w:before="0" w:after="0" w:line="240" w:lineRule="auto"/>
              <w:jc w:val="center"/>
            </w:pPr>
            <w:r>
              <w:rPr>
                <w:rFonts w:ascii="Times New Roman" w:hAnsi="Times New Roman"/>
                <w:b/>
                <w:bCs/>
                <w:sz w:val="19"/>
              </w:rPr>
              <w:t xml:space="preserve">Allowed-set F1</w:t>
            </w:r>
          </w:p>
        </w:tc>
        <w:tc>
          <w:tcPr>
            <w:tcW w:type="dxa" w:w="1412"/>
            <w:vAlign w:val="center"/>
            <w:shd w:fill="F0F0F0"/>
          </w:tcPr>
          <w:p>
            <w:pPr>
              <w:pStyle w:val="Compact"/>
              <w:keepNext/>
              <w:keepLines/>
              <w:spacing w:before="0" w:after="0" w:line="240" w:lineRule="auto"/>
              <w:jc w:val="center"/>
            </w:pPr>
            <w:r>
              <w:rPr>
                <w:rFonts w:ascii="Times New Roman" w:hAnsi="Times New Roman"/>
                <w:b/>
                <w:bCs/>
                <w:sz w:val="19"/>
              </w:rPr>
              <w:t xml:space="preserve">LLM invoked</w:t>
            </w:r>
          </w:p>
        </w:tc>
      </w:tr>
      <w:tr>
        <w:trPr>
          <w:cantSplit/>
        </w:trPr>
        <w:tc>
          <w:tcPr>
            <w:tcW w:type="dxa" w:w="2711"/>
            <w:vAlign w:val="center"/>
          </w:tcPr>
          <w:p>
            <w:pPr>
              <w:pStyle w:val="Compact"/>
              <w:keepNext/>
              <w:keepLines/>
              <w:spacing w:before="0" w:after="0" w:line="240" w:lineRule="auto"/>
              <w:jc w:val="left"/>
            </w:pPr>
            <w:r>
              <w:rPr>
                <w:rFonts w:ascii="Times New Roman" w:hAnsi="Times New Roman"/>
                <w:sz w:val="19"/>
              </w:rPr>
              <w:t xml:space="preserve">Full-evidence constrained</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0.978</w:t>
            </w:r>
          </w:p>
        </w:tc>
        <w:tc>
          <w:tcPr>
            <w:tcW w:type="dxa" w:w="1694"/>
            <w:vAlign w:val="center"/>
          </w:tcPr>
          <w:p>
            <w:pPr>
              <w:pStyle w:val="Compact"/>
              <w:keepNext/>
              <w:keepLines/>
              <w:spacing w:before="0" w:after="0" w:line="240" w:lineRule="auto"/>
              <w:jc w:val="center"/>
            </w:pPr>
            <w:r>
              <w:rPr>
                <w:rFonts w:ascii="Times New Roman" w:hAnsi="Times New Roman"/>
                <w:sz w:val="19"/>
              </w:rPr>
              <w:t xml:space="preserve">0.971</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0.007</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0.015</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0.956</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0.842</w:t>
            </w:r>
          </w:p>
        </w:tc>
        <w:tc>
          <w:tcPr>
            <w:tcW w:type="dxa" w:w="1412"/>
            <w:vAlign w:val="center"/>
          </w:tcPr>
          <w:p>
            <w:pPr>
              <w:pStyle w:val="Compact"/>
              <w:keepNext/>
              <w:keepLines/>
              <w:spacing w:before="0" w:after="0" w:line="240" w:lineRule="auto"/>
              <w:jc w:val="center"/>
            </w:pPr>
            <w:r>
              <w:rPr>
                <w:rFonts w:ascii="Times New Roman" w:hAnsi="Times New Roman"/>
                <w:sz w:val="19"/>
              </w:rPr>
              <w:t xml:space="preserve">Yes</w:t>
            </w:r>
          </w:p>
        </w:tc>
      </w:tr>
      <w:tr>
        <w:trPr>
          <w:cantSplit/>
        </w:trPr>
        <w:tc>
          <w:tcPr>
            <w:tcW w:type="dxa" w:w="2711"/>
            <w:vAlign w:val="center"/>
          </w:tcPr>
          <w:p>
            <w:pPr>
              <w:pStyle w:val="Compact"/>
              <w:keepNext/>
              <w:keepLines/>
              <w:spacing w:before="0" w:after="0" w:line="240" w:lineRule="auto"/>
              <w:jc w:val="left"/>
            </w:pPr>
            <w:r>
              <w:rPr>
                <w:rFonts w:ascii="Times New Roman" w:hAnsi="Times New Roman"/>
                <w:sz w:val="19"/>
              </w:rPr>
              <w:t xml:space="preserve">Information-matched summary</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0.956</w:t>
            </w:r>
          </w:p>
        </w:tc>
        <w:tc>
          <w:tcPr>
            <w:tcW w:type="dxa" w:w="1694"/>
            <w:vAlign w:val="center"/>
          </w:tcPr>
          <w:p>
            <w:pPr>
              <w:pStyle w:val="Compact"/>
              <w:keepNext/>
              <w:keepLines/>
              <w:spacing w:before="0" w:after="0" w:line="240" w:lineRule="auto"/>
              <w:jc w:val="center"/>
            </w:pPr>
            <w:r>
              <w:rPr>
                <w:rFonts w:ascii="Times New Roman" w:hAnsi="Times New Roman"/>
                <w:sz w:val="19"/>
              </w:rPr>
              <w:t xml:space="preserve">0.964</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0.007</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0.022</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0.927</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0.824</w:t>
            </w:r>
          </w:p>
        </w:tc>
        <w:tc>
          <w:tcPr>
            <w:tcW w:type="dxa" w:w="1412"/>
            <w:vAlign w:val="center"/>
          </w:tcPr>
          <w:p>
            <w:pPr>
              <w:pStyle w:val="Compact"/>
              <w:keepNext/>
              <w:keepLines/>
              <w:spacing w:before="0" w:after="0" w:line="240" w:lineRule="auto"/>
              <w:jc w:val="center"/>
            </w:pPr>
            <w:r>
              <w:rPr>
                <w:rFonts w:ascii="Times New Roman" w:hAnsi="Times New Roman"/>
                <w:sz w:val="19"/>
              </w:rPr>
              <w:t xml:space="preserve">Yes</w:t>
            </w:r>
          </w:p>
        </w:tc>
      </w:tr>
      <w:tr>
        <w:trPr>
          <w:cantSplit/>
        </w:trPr>
        <w:tc>
          <w:tcPr>
            <w:tcW w:type="dxa" w:w="2711"/>
            <w:vAlign w:val="center"/>
          </w:tcPr>
          <w:p>
            <w:pPr>
              <w:pStyle w:val="Compact"/>
              <w:keepNext/>
              <w:keepLines/>
              <w:spacing w:before="0" w:after="0" w:line="240" w:lineRule="auto"/>
              <w:jc w:val="left"/>
            </w:pPr>
            <w:r>
              <w:rPr>
                <w:rFonts w:ascii="Times New Roman" w:hAnsi="Times New Roman"/>
                <w:sz w:val="19"/>
              </w:rPr>
              <w:t xml:space="preserve">Identifier-only</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0.949</w:t>
            </w:r>
          </w:p>
        </w:tc>
        <w:tc>
          <w:tcPr>
            <w:tcW w:type="dxa" w:w="1694"/>
            <w:vAlign w:val="center"/>
          </w:tcPr>
          <w:p>
            <w:pPr>
              <w:pStyle w:val="Compact"/>
              <w:keepNext/>
              <w:keepLines/>
              <w:spacing w:before="0" w:after="0" w:line="240" w:lineRule="auto"/>
              <w:jc w:val="center"/>
            </w:pPr>
            <w:r>
              <w:rPr>
                <w:rFonts w:ascii="Times New Roman" w:hAnsi="Times New Roman"/>
                <w:sz w:val="19"/>
              </w:rPr>
              <w:t xml:space="preserve">0.993</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0.029</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0.438</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0.721</w:t>
            </w:r>
          </w:p>
        </w:tc>
        <w:tc>
          <w:tcPr>
            <w:tcW w:type="dxa" w:w="1412"/>
            <w:vAlign w:val="center"/>
          </w:tcPr>
          <w:p>
            <w:pPr>
              <w:pStyle w:val="Compact"/>
              <w:keepNext/>
              <w:keepLines/>
              <w:spacing w:before="0" w:after="0" w:line="240" w:lineRule="auto"/>
              <w:jc w:val="center"/>
            </w:pPr>
            <w:r>
              <w:rPr>
                <w:rFonts w:ascii="Times New Roman" w:hAnsi="Times New Roman"/>
                <w:sz w:val="19"/>
              </w:rPr>
              <w:t xml:space="preserve">Yes</w:t>
            </w:r>
          </w:p>
        </w:tc>
      </w:tr>
      <w:tr>
        <w:trPr>
          <w:cantSplit/>
        </w:trPr>
        <w:tc>
          <w:tcPr>
            <w:tcW w:type="dxa" w:w="2711"/>
            <w:vAlign w:val="center"/>
          </w:tcPr>
          <w:p>
            <w:pPr>
              <w:pStyle w:val="Compact"/>
              <w:keepNext/>
              <w:keepLines/>
              <w:spacing w:before="0" w:after="0" w:line="240" w:lineRule="auto"/>
              <w:jc w:val="left"/>
            </w:pPr>
            <w:r>
              <w:rPr>
                <w:rFonts w:ascii="Times New Roman" w:hAnsi="Times New Roman"/>
                <w:sz w:val="19"/>
              </w:rPr>
              <w:t xml:space="preserve">Length-matched irrelevant content</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0.942</w:t>
            </w:r>
          </w:p>
        </w:tc>
        <w:tc>
          <w:tcPr>
            <w:tcW w:type="dxa" w:w="1694"/>
            <w:vAlign w:val="center"/>
          </w:tcPr>
          <w:p>
            <w:pPr>
              <w:pStyle w:val="Compact"/>
              <w:keepNext/>
              <w:keepLines/>
              <w:spacing w:before="0" w:after="0" w:line="240" w:lineRule="auto"/>
              <w:jc w:val="center"/>
            </w:pPr>
            <w:r>
              <w:rPr>
                <w:rFonts w:ascii="Times New Roman" w:hAnsi="Times New Roman"/>
                <w:sz w:val="19"/>
              </w:rPr>
              <w:t xml:space="preserve">0.978</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0.007</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0.022</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0.613</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0.798</w:t>
            </w:r>
          </w:p>
        </w:tc>
        <w:tc>
          <w:tcPr>
            <w:tcW w:type="dxa" w:w="1412"/>
            <w:vAlign w:val="center"/>
          </w:tcPr>
          <w:p>
            <w:pPr>
              <w:pStyle w:val="Compact"/>
              <w:keepNext/>
              <w:keepLines/>
              <w:spacing w:before="0" w:after="0" w:line="240" w:lineRule="auto"/>
              <w:jc w:val="center"/>
            </w:pPr>
            <w:r>
              <w:rPr>
                <w:rFonts w:ascii="Times New Roman" w:hAnsi="Times New Roman"/>
                <w:sz w:val="19"/>
              </w:rPr>
              <w:t xml:space="preserve">Yes</w:t>
            </w:r>
          </w:p>
        </w:tc>
      </w:tr>
      <w:tr>
        <w:trPr>
          <w:cantSplit/>
        </w:trPr>
        <w:tc>
          <w:tcPr>
            <w:tcW w:type="dxa" w:w="2711"/>
            <w:vAlign w:val="center"/>
          </w:tcPr>
          <w:p>
            <w:pPr>
              <w:pStyle w:val="Compact"/>
              <w:keepNext/>
              <w:keepLines/>
              <w:spacing w:before="0" w:after="0" w:line="240" w:lineRule="auto"/>
              <w:jc w:val="left"/>
            </w:pPr>
            <w:r>
              <w:rPr>
                <w:rFonts w:ascii="Times New Roman" w:hAnsi="Times New Roman"/>
                <w:sz w:val="19"/>
              </w:rPr>
              <w:t xml:space="preserve">Copy 3 aliases</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694"/>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0.545</w:t>
            </w:r>
          </w:p>
        </w:tc>
        <w:tc>
          <w:tcPr>
            <w:tcW w:type="dxa" w:w="1412"/>
            <w:vAlign w:val="center"/>
          </w:tcPr>
          <w:p>
            <w:pPr>
              <w:pStyle w:val="Compact"/>
              <w:keepNext/>
              <w:keepLines/>
              <w:spacing w:before="0" w:after="0" w:line="240" w:lineRule="auto"/>
              <w:jc w:val="center"/>
            </w:pPr>
            <w:r>
              <w:rPr>
                <w:rFonts w:ascii="Times New Roman" w:hAnsi="Times New Roman"/>
                <w:sz w:val="19"/>
              </w:rPr>
              <w:t xml:space="preserve">No</w:t>
            </w:r>
          </w:p>
        </w:tc>
      </w:tr>
      <w:tr>
        <w:trPr>
          <w:cantSplit/>
        </w:trPr>
        <w:tc>
          <w:tcPr>
            <w:tcW w:type="dxa" w:w="2711"/>
            <w:vAlign w:val="center"/>
          </w:tcPr>
          <w:p>
            <w:pPr>
              <w:pStyle w:val="Compact"/>
              <w:keepNext/>
              <w:keepLines/>
              <w:spacing w:before="0" w:after="0" w:line="240" w:lineRule="auto"/>
              <w:jc w:val="left"/>
            </w:pPr>
            <w:r>
              <w:rPr>
                <w:rFonts w:ascii="Times New Roman" w:hAnsi="Times New Roman"/>
                <w:sz w:val="19"/>
              </w:rPr>
              <w:t xml:space="preserve">Copy 4 aliases</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694"/>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0.000</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0.667</w:t>
            </w:r>
          </w:p>
        </w:tc>
        <w:tc>
          <w:tcPr>
            <w:tcW w:type="dxa" w:w="1412"/>
            <w:vAlign w:val="center"/>
          </w:tcPr>
          <w:p>
            <w:pPr>
              <w:pStyle w:val="Compact"/>
              <w:keepNext/>
              <w:keepLines/>
              <w:spacing w:before="0" w:after="0" w:line="240" w:lineRule="auto"/>
              <w:jc w:val="center"/>
            </w:pPr>
            <w:r>
              <w:rPr>
                <w:rFonts w:ascii="Times New Roman" w:hAnsi="Times New Roman"/>
                <w:sz w:val="19"/>
              </w:rPr>
              <w:t xml:space="preserve">No</w:t>
            </w:r>
          </w:p>
        </w:tc>
      </w:tr>
      <w:tr>
        <w:trPr>
          <w:cantSplit/>
        </w:trPr>
        <w:tc>
          <w:tcPr>
            <w:tcW w:type="dxa" w:w="2711"/>
            <w:vAlign w:val="center"/>
          </w:tcPr>
          <w:p>
            <w:pPr>
              <w:pStyle w:val="Compact"/>
              <w:keepNext w:val="0"/>
              <w:keepLines/>
              <w:spacing w:before="0" w:after="0" w:line="240" w:lineRule="auto"/>
              <w:jc w:val="left"/>
            </w:pPr>
            <w:r>
              <w:rPr>
                <w:rFonts w:ascii="Times New Roman" w:hAnsi="Times New Roman"/>
                <w:sz w:val="19"/>
              </w:rPr>
              <w:t xml:space="preserve">Copy all aliases</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1.000</w:t>
            </w:r>
          </w:p>
        </w:tc>
        <w:tc>
          <w:tcPr>
            <w:tcW w:type="dxa" w:w="1694"/>
            <w:vAlign w:val="center"/>
          </w:tcPr>
          <w:p>
            <w:pPr>
              <w:pStyle w:val="Compact"/>
              <w:keepNext w:val="0"/>
              <w:keepLines/>
              <w:spacing w:before="0" w:after="0" w:line="240" w:lineRule="auto"/>
              <w:jc w:val="center"/>
            </w:pPr>
            <w:r>
              <w:rPr>
                <w:rFonts w:ascii="Times New Roman" w:hAnsi="Times New Roman"/>
                <w:sz w:val="19"/>
              </w:rPr>
              <w:t xml:space="preserve">1.000</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0.000</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0.000</w:t>
            </w:r>
          </w:p>
        </w:tc>
        <w:tc>
          <w:tcPr>
            <w:tcW w:type="dxa" w:w="2259"/>
            <w:vAlign w:val="center"/>
          </w:tcPr>
          <w:p>
            <w:pPr>
              <w:pStyle w:val="Compact"/>
              <w:keepNext w:val="0"/>
              <w:keepLines/>
              <w:spacing w:before="0" w:after="0" w:line="240" w:lineRule="auto"/>
              <w:jc w:val="center"/>
            </w:pPr>
            <w:r>
              <w:rPr>
                <w:rFonts w:ascii="Times New Roman" w:hAnsi="Times New Roman"/>
                <w:sz w:val="19"/>
              </w:rPr>
              <w:t xml:space="preserve">0.000</w:t>
            </w:r>
          </w:p>
        </w:tc>
        <w:tc>
          <w:tcPr>
            <w:tcW w:type="dxa" w:w="1581"/>
            <w:vAlign w:val="center"/>
          </w:tcPr>
          <w:p>
            <w:pPr>
              <w:pStyle w:val="Compact"/>
              <w:keepNext w:val="0"/>
              <w:keepLines/>
              <w:spacing w:before="0" w:after="0" w:line="240" w:lineRule="auto"/>
              <w:jc w:val="center"/>
            </w:pPr>
            <w:r>
              <w:rPr>
                <w:rFonts w:ascii="Times New Roman" w:hAnsi="Times New Roman"/>
                <w:sz w:val="19"/>
              </w:rPr>
              <w:t xml:space="preserve">1.000</w:t>
            </w:r>
          </w:p>
        </w:tc>
        <w:tc>
          <w:tcPr>
            <w:tcW w:type="dxa" w:w="1412"/>
            <w:vAlign w:val="center"/>
          </w:tcPr>
          <w:p>
            <w:pPr>
              <w:pStyle w:val="Compact"/>
              <w:keepNext w:val="0"/>
              <w:keepLines/>
              <w:spacing w:before="0" w:after="0" w:line="240" w:lineRule="auto"/>
              <w:jc w:val="center"/>
            </w:pPr>
            <w:r>
              <w:rPr>
                <w:rFonts w:ascii="Times New Roman" w:hAnsi="Times New Roman"/>
                <w:sz w:val="19"/>
              </w:rPr>
              <w:t xml:space="preserve">No</w:t>
            </w:r>
          </w:p>
        </w:tc>
      </w:tr>
    </w:tbl>
    <w:p>
      <w:pPr>
        <w:pStyle w:val="Caption"/>
        <w:keepNext/>
      </w:pPr>
      <w:r>
        <w:rPr>
          <w:b/>
          <w:bCs/>
        </w:rPr>
        <w:t xml:space="preserve">Table S3.</w:t>
      </w:r>
      <w:r>
        <w:t xml:space="preserve"> </w:t>
      </w:r>
      <w:r>
        <w:t xml:space="preserve">Complete HAI content-response results. Real-card and cross-event comparisons use 134 matched records in 67 exchange pairs and 9 connected resampling blocks; order-only and direction analyses use all 137 records.</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2257"/>
        <w:gridCol w:w="1619"/>
        <w:gridCol w:w="1472"/>
        <w:gridCol w:w="1521"/>
        <w:gridCol w:w="1570"/>
        <w:gridCol w:w="1374"/>
        <w:gridCol w:w="1325"/>
        <w:gridCol w:w="1717"/>
        <w:gridCol w:w="1717"/>
      </w:tblGrid>
      <w:tr>
        <w:trPr>
          <w:tblHeader w:val="on"/>
          <w:cantSplit/>
          <w:tblHeader/>
        </w:trPr>
        <w:tc>
          <w:tcPr>
            <w:tcW w:type="dxa" w:w="2257"/>
            <w:vAlign w:val="center"/>
            <w:shd w:fill="F0F0F0"/>
          </w:tcPr>
          <w:p>
            <w:pPr>
              <w:pStyle w:val="Compact"/>
              <w:keepNext/>
              <w:keepLines/>
              <w:spacing w:before="0" w:after="0" w:line="240" w:lineRule="auto"/>
              <w:jc w:val="left"/>
            </w:pPr>
            <w:r>
              <w:rPr>
                <w:rFonts w:ascii="Times New Roman" w:hAnsi="Times New Roman"/>
                <w:b/>
                <w:bCs/>
                <w:sz w:val="19"/>
              </w:rPr>
              <w:t xml:space="preserve">Condition</w:t>
            </w:r>
          </w:p>
        </w:tc>
        <w:tc>
          <w:tcPr>
            <w:tcW w:type="dxa" w:w="1619"/>
            <w:vAlign w:val="center"/>
            <w:shd w:fill="F0F0F0"/>
          </w:tcPr>
          <w:p>
            <w:pPr>
              <w:pStyle w:val="Compact"/>
              <w:keepNext/>
              <w:keepLines/>
              <w:spacing w:before="0" w:after="0" w:line="240" w:lineRule="auto"/>
              <w:jc w:val="center"/>
            </w:pPr>
            <w:r>
              <w:rPr>
                <w:rFonts w:ascii="Times New Roman" w:hAnsi="Times New Roman"/>
                <w:b/>
                <w:bCs/>
                <w:sz w:val="19"/>
              </w:rPr>
              <w:t xml:space="preserve">Records (clusters/blocks)</w:t>
            </w:r>
          </w:p>
        </w:tc>
        <w:tc>
          <w:tcPr>
            <w:tcW w:type="dxa" w:w="1472"/>
            <w:vAlign w:val="center"/>
            <w:shd w:fill="F0F0F0"/>
          </w:tcPr>
          <w:p>
            <w:pPr>
              <w:pStyle w:val="Compact"/>
              <w:keepNext/>
              <w:keepLines/>
              <w:spacing w:before="0" w:after="0" w:line="240" w:lineRule="auto"/>
              <w:jc w:val="center"/>
            </w:pPr>
            <w:r>
              <w:rPr>
                <w:rFonts w:ascii="Times New Roman" w:hAnsi="Times New Roman"/>
                <w:b/>
                <w:bCs/>
                <w:sz w:val="19"/>
              </w:rPr>
              <w:t xml:space="preserve">Content-following</w:t>
            </w:r>
          </w:p>
        </w:tc>
        <w:tc>
          <w:tcPr>
            <w:tcW w:type="dxa" w:w="1521"/>
            <w:vAlign w:val="center"/>
            <w:shd w:fill="F0F0F0"/>
          </w:tcPr>
          <w:p>
            <w:pPr>
              <w:pStyle w:val="Compact"/>
              <w:keepNext/>
              <w:keepLines/>
              <w:spacing w:before="0" w:after="0" w:line="240" w:lineRule="auto"/>
              <w:jc w:val="center"/>
            </w:pPr>
            <w:r>
              <w:rPr>
                <w:rFonts w:ascii="Times New Roman" w:hAnsi="Times New Roman"/>
                <w:b/>
                <w:bCs/>
                <w:sz w:val="19"/>
              </w:rPr>
              <w:t xml:space="preserve">Direction consistency</w:t>
            </w:r>
          </w:p>
        </w:tc>
        <w:tc>
          <w:tcPr>
            <w:tcW w:type="dxa" w:w="1570"/>
            <w:vAlign w:val="center"/>
            <w:shd w:fill="F0F0F0"/>
          </w:tcPr>
          <w:p>
            <w:pPr>
              <w:pStyle w:val="Compact"/>
              <w:keepNext/>
              <w:keepLines/>
              <w:spacing w:before="0" w:after="0" w:line="240" w:lineRule="auto"/>
              <w:jc w:val="center"/>
            </w:pPr>
            <w:r>
              <w:rPr>
                <w:rFonts w:ascii="Times New Roman" w:hAnsi="Times New Roman"/>
                <w:b/>
                <w:bCs/>
                <w:sz w:val="19"/>
              </w:rPr>
              <w:t xml:space="preserve">Explanation support</w:t>
            </w:r>
          </w:p>
        </w:tc>
        <w:tc>
          <w:tcPr>
            <w:tcW w:type="dxa" w:w="1374"/>
            <w:vAlign w:val="center"/>
            <w:shd w:fill="F0F0F0"/>
          </w:tcPr>
          <w:p>
            <w:pPr>
              <w:pStyle w:val="Compact"/>
              <w:keepNext/>
              <w:keepLines/>
              <w:spacing w:before="0" w:after="0" w:line="240" w:lineRule="auto"/>
              <w:jc w:val="center"/>
            </w:pPr>
            <w:r>
              <w:rPr>
                <w:rFonts w:ascii="Times New Roman" w:hAnsi="Times New Roman"/>
                <w:b/>
                <w:bCs/>
                <w:sz w:val="19"/>
              </w:rPr>
              <w:t xml:space="preserve">Insufficient evidence</w:t>
            </w:r>
          </w:p>
        </w:tc>
        <w:tc>
          <w:tcPr>
            <w:tcW w:type="dxa" w:w="1325"/>
            <w:vAlign w:val="center"/>
            <w:shd w:fill="F0F0F0"/>
          </w:tcPr>
          <w:p>
            <w:pPr>
              <w:pStyle w:val="Compact"/>
              <w:keepNext/>
              <w:keepLines/>
              <w:spacing w:before="0" w:after="0" w:line="240" w:lineRule="auto"/>
              <w:jc w:val="center"/>
            </w:pPr>
            <w:r>
              <w:rPr>
                <w:rFonts w:ascii="Times New Roman" w:hAnsi="Times New Roman"/>
                <w:b/>
                <w:bCs/>
                <w:sz w:val="19"/>
              </w:rPr>
              <w:t xml:space="preserve">Human escalation</w:t>
            </w:r>
          </w:p>
        </w:tc>
        <w:tc>
          <w:tcPr>
            <w:tcW w:type="dxa" w:w="1717"/>
            <w:vAlign w:val="center"/>
            <w:shd w:fill="F0F0F0"/>
          </w:tcPr>
          <w:p>
            <w:pPr>
              <w:pStyle w:val="Compact"/>
              <w:keepNext/>
              <w:keepLines/>
              <w:spacing w:before="0" w:after="0" w:line="240" w:lineRule="auto"/>
              <w:jc w:val="center"/>
            </w:pPr>
            <w:r>
              <w:rPr>
                <w:rFonts w:ascii="Times New Roman" w:hAnsi="Times New Roman"/>
                <w:b/>
                <w:bCs/>
                <w:sz w:val="19"/>
              </w:rPr>
              <w:t xml:space="preserve">Insufficient or escalation</w:t>
            </w:r>
          </w:p>
        </w:tc>
        <w:tc>
          <w:tcPr>
            <w:tcW w:type="dxa" w:w="1717"/>
            <w:vAlign w:val="center"/>
            <w:shd w:fill="F0F0F0"/>
          </w:tcPr>
          <w:p>
            <w:pPr>
              <w:pStyle w:val="Compact"/>
              <w:keepNext/>
              <w:keepLines/>
              <w:spacing w:before="0" w:after="0" w:line="240" w:lineRule="auto"/>
              <w:jc w:val="center"/>
            </w:pPr>
            <w:r>
              <w:rPr>
                <w:rFonts w:ascii="Times New Roman" w:hAnsi="Times New Roman"/>
                <w:b/>
                <w:bCs/>
                <w:sz w:val="19"/>
              </w:rPr>
              <w:t xml:space="preserve">Unsupported high confidence</w:t>
            </w:r>
          </w:p>
        </w:tc>
      </w:tr>
      <w:tr>
        <w:trPr>
          <w:cantSplit/>
        </w:trPr>
        <w:tc>
          <w:tcPr>
            <w:tcW w:type="dxa" w:w="2257"/>
            <w:vAlign w:val="center"/>
          </w:tcPr>
          <w:p>
            <w:pPr>
              <w:pStyle w:val="Compact"/>
              <w:keepNext/>
              <w:keepLines/>
              <w:spacing w:before="0" w:after="0" w:line="240" w:lineRule="auto"/>
              <w:jc w:val="left"/>
            </w:pPr>
            <w:r>
              <w:rPr>
                <w:rFonts w:ascii="Times New Roman" w:hAnsi="Times New Roman"/>
                <w:sz w:val="19"/>
              </w:rPr>
              <w:t xml:space="preserve">Real cards</w:t>
            </w:r>
          </w:p>
        </w:tc>
        <w:tc>
          <w:tcPr>
            <w:tcW w:type="dxa" w:w="1619"/>
            <w:vAlign w:val="center"/>
          </w:tcPr>
          <w:p>
            <w:pPr>
              <w:pStyle w:val="Compact"/>
              <w:keepNext/>
              <w:keepLines/>
              <w:spacing w:before="0" w:after="0" w:line="240" w:lineRule="auto"/>
              <w:jc w:val="center"/>
            </w:pPr>
            <w:r>
              <w:rPr>
                <w:rFonts w:ascii="Times New Roman" w:hAnsi="Times New Roman"/>
                <w:sz w:val="19"/>
              </w:rPr>
              <w:t xml:space="preserve">134 (50)</w:t>
            </w:r>
          </w:p>
        </w:tc>
        <w:tc>
          <w:tcPr>
            <w:tcW w:type="dxa" w:w="1472"/>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2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70"/>
            <w:vAlign w:val="center"/>
          </w:tcPr>
          <w:p>
            <w:pPr>
              <w:pStyle w:val="Compact"/>
              <w:keepNext/>
              <w:keepLines/>
              <w:spacing w:before="0" w:after="0" w:line="240" w:lineRule="auto"/>
              <w:jc w:val="center"/>
            </w:pPr>
            <w:r>
              <w:rPr>
                <w:rFonts w:ascii="Times New Roman" w:hAnsi="Times New Roman"/>
                <w:sz w:val="19"/>
              </w:rPr>
              <w:t xml:space="preserve">0.836</w:t>
            </w:r>
          </w:p>
        </w:tc>
        <w:tc>
          <w:tcPr>
            <w:tcW w:type="dxa" w:w="1374"/>
            <w:vAlign w:val="center"/>
          </w:tcPr>
          <w:p>
            <w:pPr>
              <w:pStyle w:val="Compact"/>
              <w:keepNext/>
              <w:keepLines/>
              <w:spacing w:before="0" w:after="0" w:line="240" w:lineRule="auto"/>
              <w:jc w:val="center"/>
            </w:pPr>
            <w:r>
              <w:rPr>
                <w:rFonts w:ascii="Times New Roman" w:hAnsi="Times New Roman"/>
                <w:sz w:val="19"/>
              </w:rPr>
              <w:t xml:space="preserve">0.075</w:t>
            </w:r>
          </w:p>
        </w:tc>
        <w:tc>
          <w:tcPr>
            <w:tcW w:type="dxa" w:w="1325"/>
            <w:vAlign w:val="center"/>
          </w:tcPr>
          <w:p>
            <w:pPr>
              <w:pStyle w:val="Compact"/>
              <w:keepNext/>
              <w:keepLines/>
              <w:spacing w:before="0" w:after="0" w:line="240" w:lineRule="auto"/>
              <w:jc w:val="center"/>
            </w:pPr>
            <w:r>
              <w:rPr>
                <w:rFonts w:ascii="Times New Roman" w:hAnsi="Times New Roman"/>
                <w:sz w:val="19"/>
              </w:rPr>
              <w:t xml:space="preserve">0.052</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0.112 (15/134)</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0.045</w:t>
            </w:r>
          </w:p>
        </w:tc>
      </w:tr>
      <w:tr>
        <w:trPr>
          <w:cantSplit/>
        </w:trPr>
        <w:tc>
          <w:tcPr>
            <w:tcW w:type="dxa" w:w="2257"/>
            <w:vAlign w:val="center"/>
          </w:tcPr>
          <w:p>
            <w:pPr>
              <w:pStyle w:val="Compact"/>
              <w:keepNext/>
              <w:keepLines/>
              <w:spacing w:before="0" w:after="0" w:line="240" w:lineRule="auto"/>
              <w:jc w:val="left"/>
            </w:pPr>
            <w:r>
              <w:rPr>
                <w:rFonts w:ascii="Times New Roman" w:hAnsi="Times New Roman"/>
                <w:sz w:val="19"/>
              </w:rPr>
              <w:t xml:space="preserve">Order-only permutation</w:t>
            </w:r>
          </w:p>
        </w:tc>
        <w:tc>
          <w:tcPr>
            <w:tcW w:type="dxa" w:w="1619"/>
            <w:vAlign w:val="center"/>
          </w:tcPr>
          <w:p>
            <w:pPr>
              <w:pStyle w:val="Compact"/>
              <w:keepNext/>
              <w:keepLines/>
              <w:spacing w:before="0" w:after="0" w:line="240" w:lineRule="auto"/>
              <w:jc w:val="center"/>
            </w:pPr>
            <w:r>
              <w:rPr>
                <w:rFonts w:ascii="Times New Roman" w:hAnsi="Times New Roman"/>
                <w:sz w:val="19"/>
              </w:rPr>
              <w:t xml:space="preserve">137 (50)</w:t>
            </w:r>
          </w:p>
        </w:tc>
        <w:tc>
          <w:tcPr>
            <w:tcW w:type="dxa" w:w="1472"/>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2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70"/>
            <w:vAlign w:val="center"/>
          </w:tcPr>
          <w:p>
            <w:pPr>
              <w:pStyle w:val="Compact"/>
              <w:keepNext/>
              <w:keepLines/>
              <w:spacing w:before="0" w:after="0" w:line="240" w:lineRule="auto"/>
              <w:jc w:val="center"/>
            </w:pPr>
            <w:r>
              <w:rPr>
                <w:rFonts w:ascii="Times New Roman" w:hAnsi="Times New Roman"/>
                <w:sz w:val="19"/>
              </w:rPr>
              <w:t xml:space="preserve">0.821</w:t>
            </w:r>
          </w:p>
        </w:tc>
        <w:tc>
          <w:tcPr>
            <w:tcW w:type="dxa" w:w="1374"/>
            <w:vAlign w:val="center"/>
          </w:tcPr>
          <w:p>
            <w:pPr>
              <w:pStyle w:val="Compact"/>
              <w:keepNext/>
              <w:keepLines/>
              <w:spacing w:before="0" w:after="0" w:line="240" w:lineRule="auto"/>
              <w:jc w:val="center"/>
            </w:pPr>
            <w:r>
              <w:rPr>
                <w:rFonts w:ascii="Times New Roman" w:hAnsi="Times New Roman"/>
                <w:sz w:val="19"/>
              </w:rPr>
              <w:t xml:space="preserve">0.080</w:t>
            </w:r>
          </w:p>
        </w:tc>
        <w:tc>
          <w:tcPr>
            <w:tcW w:type="dxa" w:w="1325"/>
            <w:vAlign w:val="center"/>
          </w:tcPr>
          <w:p>
            <w:pPr>
              <w:pStyle w:val="Compact"/>
              <w:keepNext/>
              <w:keepLines/>
              <w:spacing w:before="0" w:after="0" w:line="240" w:lineRule="auto"/>
              <w:jc w:val="center"/>
            </w:pPr>
            <w:r>
              <w:rPr>
                <w:rFonts w:ascii="Times New Roman" w:hAnsi="Times New Roman"/>
                <w:sz w:val="19"/>
              </w:rPr>
              <w:t xml:space="preserve">0.058</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Not reported</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0.051</w:t>
            </w:r>
          </w:p>
        </w:tc>
      </w:tr>
      <w:tr>
        <w:trPr>
          <w:cantSplit/>
        </w:trPr>
        <w:tc>
          <w:tcPr>
            <w:tcW w:type="dxa" w:w="2257"/>
            <w:vAlign w:val="center"/>
          </w:tcPr>
          <w:p>
            <w:pPr>
              <w:pStyle w:val="Compact"/>
              <w:keepNext/>
              <w:keepLines/>
              <w:spacing w:before="0" w:after="0" w:line="240" w:lineRule="auto"/>
              <w:jc w:val="left"/>
            </w:pPr>
            <w:r>
              <w:rPr>
                <w:rFonts w:ascii="Times New Roman" w:hAnsi="Times New Roman"/>
                <w:sz w:val="19"/>
              </w:rPr>
              <w:t xml:space="preserve">Attribute–identifier permutation</w:t>
            </w:r>
          </w:p>
        </w:tc>
        <w:tc>
          <w:tcPr>
            <w:tcW w:type="dxa" w:w="1619"/>
            <w:vAlign w:val="center"/>
          </w:tcPr>
          <w:p>
            <w:pPr>
              <w:pStyle w:val="Compact"/>
              <w:keepNext/>
              <w:keepLines/>
              <w:spacing w:before="0" w:after="0" w:line="240" w:lineRule="auto"/>
              <w:jc w:val="center"/>
            </w:pPr>
            <w:r>
              <w:rPr>
                <w:rFonts w:ascii="Times New Roman" w:hAnsi="Times New Roman"/>
                <w:sz w:val="19"/>
              </w:rPr>
              <w:t xml:space="preserve">134 (50)</w:t>
            </w:r>
          </w:p>
        </w:tc>
        <w:tc>
          <w:tcPr>
            <w:tcW w:type="dxa" w:w="1472"/>
            <w:vAlign w:val="center"/>
          </w:tcPr>
          <w:p>
            <w:pPr>
              <w:pStyle w:val="Compact"/>
              <w:keepNext/>
              <w:keepLines/>
              <w:spacing w:before="0" w:after="0" w:line="240" w:lineRule="auto"/>
              <w:jc w:val="center"/>
            </w:pPr>
            <w:r>
              <w:rPr>
                <w:rFonts w:ascii="Times New Roman" w:hAnsi="Times New Roman"/>
                <w:sz w:val="19"/>
              </w:rPr>
              <w:t xml:space="preserve">0.776</w:t>
            </w:r>
          </w:p>
        </w:tc>
        <w:tc>
          <w:tcPr>
            <w:tcW w:type="dxa" w:w="152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70"/>
            <w:vAlign w:val="center"/>
          </w:tcPr>
          <w:p>
            <w:pPr>
              <w:pStyle w:val="Compact"/>
              <w:keepNext/>
              <w:keepLines/>
              <w:spacing w:before="0" w:after="0" w:line="240" w:lineRule="auto"/>
              <w:jc w:val="center"/>
            </w:pPr>
            <w:r>
              <w:rPr>
                <w:rFonts w:ascii="Times New Roman" w:hAnsi="Times New Roman"/>
                <w:sz w:val="19"/>
              </w:rPr>
              <w:t xml:space="preserve">0.781</w:t>
            </w:r>
          </w:p>
        </w:tc>
        <w:tc>
          <w:tcPr>
            <w:tcW w:type="dxa" w:w="1374"/>
            <w:vAlign w:val="center"/>
          </w:tcPr>
          <w:p>
            <w:pPr>
              <w:pStyle w:val="Compact"/>
              <w:keepNext/>
              <w:keepLines/>
              <w:spacing w:before="0" w:after="0" w:line="240" w:lineRule="auto"/>
              <w:jc w:val="center"/>
            </w:pPr>
            <w:r>
              <w:rPr>
                <w:rFonts w:ascii="Times New Roman" w:hAnsi="Times New Roman"/>
                <w:sz w:val="19"/>
              </w:rPr>
              <w:t xml:space="preserve">0.095</w:t>
            </w:r>
          </w:p>
        </w:tc>
        <w:tc>
          <w:tcPr>
            <w:tcW w:type="dxa" w:w="1325"/>
            <w:vAlign w:val="center"/>
          </w:tcPr>
          <w:p>
            <w:pPr>
              <w:pStyle w:val="Compact"/>
              <w:keepNext/>
              <w:keepLines/>
              <w:spacing w:before="0" w:after="0" w:line="240" w:lineRule="auto"/>
              <w:jc w:val="center"/>
            </w:pPr>
            <w:r>
              <w:rPr>
                <w:rFonts w:ascii="Times New Roman" w:hAnsi="Times New Roman"/>
                <w:sz w:val="19"/>
              </w:rPr>
              <w:t xml:space="preserve">0.073</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Not reported</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0.058</w:t>
            </w:r>
          </w:p>
        </w:tc>
      </w:tr>
      <w:tr>
        <w:trPr>
          <w:cantSplit/>
        </w:trPr>
        <w:tc>
          <w:tcPr>
            <w:tcW w:type="dxa" w:w="2257"/>
            <w:vAlign w:val="center"/>
          </w:tcPr>
          <w:p>
            <w:pPr>
              <w:pStyle w:val="Compact"/>
              <w:keepNext/>
              <w:keepLines/>
              <w:spacing w:before="0" w:after="0" w:line="240" w:lineRule="auto"/>
              <w:jc w:val="left"/>
            </w:pPr>
            <w:r>
              <w:rPr>
                <w:rFonts w:ascii="Times New Roman" w:hAnsi="Times New Roman"/>
                <w:sz w:val="19"/>
              </w:rPr>
              <w:t xml:space="preserve">Direction reversal</w:t>
            </w:r>
          </w:p>
        </w:tc>
        <w:tc>
          <w:tcPr>
            <w:tcW w:type="dxa" w:w="1619"/>
            <w:vAlign w:val="center"/>
          </w:tcPr>
          <w:p>
            <w:pPr>
              <w:pStyle w:val="Compact"/>
              <w:keepNext/>
              <w:keepLines/>
              <w:spacing w:before="0" w:after="0" w:line="240" w:lineRule="auto"/>
              <w:jc w:val="center"/>
            </w:pPr>
            <w:r>
              <w:rPr>
                <w:rFonts w:ascii="Times New Roman" w:hAnsi="Times New Roman"/>
                <w:sz w:val="19"/>
              </w:rPr>
              <w:t xml:space="preserve">137 (50)</w:t>
            </w:r>
          </w:p>
        </w:tc>
        <w:tc>
          <w:tcPr>
            <w:tcW w:type="dxa" w:w="1472"/>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21"/>
            <w:vAlign w:val="center"/>
          </w:tcPr>
          <w:p>
            <w:pPr>
              <w:pStyle w:val="Compact"/>
              <w:keepNext/>
              <w:keepLines/>
              <w:spacing w:before="0" w:after="0" w:line="240" w:lineRule="auto"/>
              <w:jc w:val="center"/>
            </w:pPr>
            <w:r>
              <w:rPr>
                <w:rFonts w:ascii="Times New Roman" w:hAnsi="Times New Roman"/>
                <w:sz w:val="19"/>
              </w:rPr>
              <w:t xml:space="preserve">0.774</w:t>
            </w:r>
          </w:p>
        </w:tc>
        <w:tc>
          <w:tcPr>
            <w:tcW w:type="dxa" w:w="1570"/>
            <w:vAlign w:val="center"/>
          </w:tcPr>
          <w:p>
            <w:pPr>
              <w:pStyle w:val="Compact"/>
              <w:keepNext/>
              <w:keepLines/>
              <w:spacing w:before="0" w:after="0" w:line="240" w:lineRule="auto"/>
              <w:jc w:val="center"/>
            </w:pPr>
            <w:r>
              <w:rPr>
                <w:rFonts w:ascii="Times New Roman" w:hAnsi="Times New Roman"/>
                <w:sz w:val="19"/>
              </w:rPr>
              <w:t xml:space="preserve">0.715</w:t>
            </w:r>
          </w:p>
        </w:tc>
        <w:tc>
          <w:tcPr>
            <w:tcW w:type="dxa" w:w="1374"/>
            <w:vAlign w:val="center"/>
          </w:tcPr>
          <w:p>
            <w:pPr>
              <w:pStyle w:val="Compact"/>
              <w:keepNext/>
              <w:keepLines/>
              <w:spacing w:before="0" w:after="0" w:line="240" w:lineRule="auto"/>
              <w:jc w:val="center"/>
            </w:pPr>
            <w:r>
              <w:rPr>
                <w:rFonts w:ascii="Times New Roman" w:hAnsi="Times New Roman"/>
                <w:sz w:val="19"/>
              </w:rPr>
              <w:t xml:space="preserve">0.117</w:t>
            </w:r>
          </w:p>
        </w:tc>
        <w:tc>
          <w:tcPr>
            <w:tcW w:type="dxa" w:w="1325"/>
            <w:vAlign w:val="center"/>
          </w:tcPr>
          <w:p>
            <w:pPr>
              <w:pStyle w:val="Compact"/>
              <w:keepNext/>
              <w:keepLines/>
              <w:spacing w:before="0" w:after="0" w:line="240" w:lineRule="auto"/>
              <w:jc w:val="center"/>
            </w:pPr>
            <w:r>
              <w:rPr>
                <w:rFonts w:ascii="Times New Roman" w:hAnsi="Times New Roman"/>
                <w:sz w:val="19"/>
              </w:rPr>
              <w:t xml:space="preserve">0.102</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Not reported</w:t>
            </w:r>
          </w:p>
        </w:tc>
        <w:tc>
          <w:tcPr>
            <w:tcW w:type="dxa" w:w="1717"/>
            <w:vAlign w:val="center"/>
          </w:tcPr>
          <w:p>
            <w:pPr>
              <w:pStyle w:val="Compact"/>
              <w:keepNext/>
              <w:keepLines/>
              <w:spacing w:before="0" w:after="0" w:line="240" w:lineRule="auto"/>
              <w:jc w:val="center"/>
            </w:pPr>
            <w:r>
              <w:rPr>
                <w:rFonts w:ascii="Times New Roman" w:hAnsi="Times New Roman"/>
                <w:sz w:val="19"/>
              </w:rPr>
              <w:t xml:space="preserve">0.066</w:t>
            </w:r>
          </w:p>
        </w:tc>
      </w:tr>
      <w:tr>
        <w:trPr>
          <w:cantSplit/>
        </w:trPr>
        <w:tc>
          <w:tcPr>
            <w:tcW w:type="dxa" w:w="2257"/>
            <w:vAlign w:val="center"/>
          </w:tcPr>
          <w:p>
            <w:pPr>
              <w:pStyle w:val="Compact"/>
              <w:keepNext w:val="0"/>
              <w:keepLines/>
              <w:spacing w:before="0" w:after="0" w:line="240" w:lineRule="auto"/>
              <w:jc w:val="left"/>
            </w:pPr>
            <w:r>
              <w:rPr>
                <w:rFonts w:ascii="Times New Roman" w:hAnsi="Times New Roman"/>
                <w:sz w:val="19"/>
              </w:rPr>
              <w:t xml:space="preserve">Cross-event content replacement</w:t>
            </w:r>
          </w:p>
        </w:tc>
        <w:tc>
          <w:tcPr>
            <w:tcW w:type="dxa" w:w="1619"/>
            <w:vAlign w:val="center"/>
          </w:tcPr>
          <w:p>
            <w:pPr>
              <w:pStyle w:val="Compact"/>
              <w:keepNext w:val="0"/>
              <w:keepLines/>
              <w:spacing w:before="0" w:after="0" w:line="240" w:lineRule="auto"/>
              <w:jc w:val="center"/>
            </w:pPr>
            <w:r>
              <w:rPr>
                <w:rFonts w:ascii="Times New Roman" w:hAnsi="Times New Roman"/>
                <w:sz w:val="19"/>
              </w:rPr>
              <w:t xml:space="preserve">134 (9 blocks)</w:t>
            </w:r>
          </w:p>
        </w:tc>
        <w:tc>
          <w:tcPr>
            <w:tcW w:type="dxa" w:w="1472"/>
            <w:vAlign w:val="center"/>
          </w:tcPr>
          <w:p>
            <w:pPr>
              <w:pStyle w:val="Compact"/>
              <w:keepNext w:val="0"/>
              <w:keepLines/>
              <w:spacing w:before="0" w:after="0" w:line="240" w:lineRule="auto"/>
              <w:jc w:val="center"/>
            </w:pPr>
            <w:r>
              <w:rPr>
                <w:rFonts w:ascii="Times New Roman" w:hAnsi="Times New Roman"/>
                <w:sz w:val="19"/>
              </w:rPr>
              <w:t xml:space="preserve">Not applicable</w:t>
            </w:r>
          </w:p>
        </w:tc>
        <w:tc>
          <w:tcPr>
            <w:tcW w:type="dxa" w:w="1521"/>
            <w:vAlign w:val="center"/>
          </w:tcPr>
          <w:p>
            <w:pPr>
              <w:pStyle w:val="Compact"/>
              <w:keepNext w:val="0"/>
              <w:keepLines/>
              <w:spacing w:before="0" w:after="0" w:line="240" w:lineRule="auto"/>
              <w:jc w:val="center"/>
            </w:pPr>
            <w:r>
              <w:rPr>
                <w:rFonts w:ascii="Times New Roman" w:hAnsi="Times New Roman"/>
                <w:sz w:val="19"/>
              </w:rPr>
              <w:t xml:space="preserve">Not applicable</w:t>
            </w:r>
          </w:p>
        </w:tc>
        <w:tc>
          <w:tcPr>
            <w:tcW w:type="dxa" w:w="1570"/>
            <w:vAlign w:val="center"/>
          </w:tcPr>
          <w:p>
            <w:pPr>
              <w:pStyle w:val="Compact"/>
              <w:keepNext w:val="0"/>
              <w:keepLines/>
              <w:spacing w:before="0" w:after="0" w:line="240" w:lineRule="auto"/>
              <w:jc w:val="center"/>
            </w:pPr>
            <w:r>
              <w:rPr>
                <w:rFonts w:ascii="Times New Roman" w:hAnsi="Times New Roman"/>
                <w:sz w:val="19"/>
              </w:rPr>
              <w:t xml:space="preserve">0.485</w:t>
            </w:r>
          </w:p>
        </w:tc>
        <w:tc>
          <w:tcPr>
            <w:tcW w:type="dxa" w:w="1374"/>
            <w:vAlign w:val="center"/>
          </w:tcPr>
          <w:p>
            <w:pPr>
              <w:pStyle w:val="Compact"/>
              <w:keepNext w:val="0"/>
              <w:keepLines/>
              <w:spacing w:before="0" w:after="0" w:line="240" w:lineRule="auto"/>
              <w:jc w:val="center"/>
            </w:pPr>
            <w:r>
              <w:rPr>
                <w:rFonts w:ascii="Times New Roman" w:hAnsi="Times New Roman"/>
                <w:sz w:val="19"/>
              </w:rPr>
              <w:t xml:space="preserve">0.336</w:t>
            </w:r>
          </w:p>
        </w:tc>
        <w:tc>
          <w:tcPr>
            <w:tcW w:type="dxa" w:w="1325"/>
            <w:vAlign w:val="center"/>
          </w:tcPr>
          <w:p>
            <w:pPr>
              <w:pStyle w:val="Compact"/>
              <w:keepNext w:val="0"/>
              <w:keepLines/>
              <w:spacing w:before="0" w:after="0" w:line="240" w:lineRule="auto"/>
              <w:jc w:val="center"/>
            </w:pPr>
            <w:r>
              <w:rPr>
                <w:rFonts w:ascii="Times New Roman" w:hAnsi="Times New Roman"/>
                <w:sz w:val="19"/>
              </w:rPr>
              <w:t xml:space="preserve">0.291</w:t>
            </w:r>
          </w:p>
        </w:tc>
        <w:tc>
          <w:tcPr>
            <w:tcW w:type="dxa" w:w="1717"/>
            <w:vAlign w:val="center"/>
          </w:tcPr>
          <w:p>
            <w:pPr>
              <w:pStyle w:val="Compact"/>
              <w:keepNext w:val="0"/>
              <w:keepLines/>
              <w:spacing w:before="0" w:after="0" w:line="240" w:lineRule="auto"/>
              <w:jc w:val="center"/>
            </w:pPr>
            <w:r>
              <w:rPr>
                <w:rFonts w:ascii="Times New Roman" w:hAnsi="Times New Roman"/>
                <w:sz w:val="19"/>
              </w:rPr>
              <w:t xml:space="preserve">0.403 (54/134)</w:t>
            </w:r>
          </w:p>
        </w:tc>
        <w:tc>
          <w:tcPr>
            <w:tcW w:type="dxa" w:w="1717"/>
            <w:vAlign w:val="center"/>
          </w:tcPr>
          <w:p>
            <w:pPr>
              <w:pStyle w:val="Compact"/>
              <w:keepNext w:val="0"/>
              <w:keepLines/>
              <w:spacing w:before="0" w:after="0" w:line="240" w:lineRule="auto"/>
              <w:jc w:val="center"/>
            </w:pPr>
            <w:r>
              <w:rPr>
                <w:rFonts w:ascii="Times New Roman" w:hAnsi="Times New Roman"/>
                <w:sz w:val="19"/>
              </w:rPr>
              <w:t xml:space="preserve">0.015</w:t>
            </w:r>
          </w:p>
        </w:tc>
      </w:tr>
    </w:tbl>
    <w:p>
      <w:pPr>
        <w:pStyle w:val="BodyText"/>
        <w:spacing w:before="120"/>
        <w:jc w:val="left"/>
      </w:pPr>
      <w:r>
        <w:rPr>
          <w:sz w:val="19"/>
        </w:rPr>
        <w:t xml:space="preserve">The combined endpoint is the record-level union of insufficient-evidence selection and human escalation. Because a record may satisfy both conditions, the union is not the sum of the two marginal rates. Its increase from 15/134 to 54/134 is 29.1 percentage points.</w:t>
      </w:r>
      <w:r>
        <w:t xml:space="preserve"> Table S3 uses endpoint-specific denominators: the real-card comparison uses the matched subset, whereas attribute–identifier permutation uses the adjudicable subset. Request totals in Table S9 are audit counts and are not obtained by summing these metric denominators; unmatched and unadjudicable records remain in the relevant request or failure accounting.</w:t>
      </w:r>
    </w:p>
    <w:p>
      <w:pPr>
        <w:pStyle w:val="BodyText"/>
      </w:pPr>
      <w:r>
        <w:t xml:space="preserve">The larger shortcut stress test crosses 10,500 official TEP test runs with four frozen detector configurations and three input representations, yielding 126,000 generated records. Of 42,000 context-package records, 41,964 cite exactly 4 of 8 aliases and mechanically receive an allowed-set F1 of 0.667. These counts are not independent sample sizes and do not enter fault-semantic inference.</w:t>
      </w:r>
    </w:p>
    <w:p>
      <w:pPr>
        <w:pStyle w:val="Heading1"/>
      </w:pPr>
      <w:r>
        <w:t xml:space="preserve">S3. Automated Semantic and Safety Evaluation</w:t>
      </w:r>
    </w:p>
    <w:p>
      <w:pPr>
        <w:pStyle w:val="FirstParagraph"/>
      </w:pPr>
      <w:r>
        <w:t xml:space="preserve">The automated evaluator is DeepSeek-V4-Pro, accessed through the API identifier</w:t>
      </w:r>
      <w:r>
        <w:t xml:space="preserve"> </w:t>
      </w:r>
      <w:r>
        <w:rPr>
          <w:rStyle w:val="VerbatimChar"/>
        </w:rPr>
        <w:t xml:space="preserve">deepseek-v4-pro</w:t>
      </w:r>
      <w:r>
        <w:t xml:space="preserve">. It uses fixed, stage-specific instructions and output schemas. Stage 1 hides the TEP state or fault and assesses support, counterevidence omission, missing-information adequacy, confidence matching, action proportionality, and hazardousness. After Stage 1 is locked, a new Stage 2 request reveals the official label and definition and assesses semantic compatibility. The evaluator always receives the representation visible to the generation model. Three isolated calls estimate the repeatability of the automated evaluator. A 2-of-3 concordant majority is required for binary items; invalid and unadjudicable responses remain in the denominator.</w:t>
      </w:r>
    </w:p>
    <w:p>
      <w:pPr>
        <w:pStyle w:val="BodyText"/>
      </w:pPr>
      <w:r>
        <w:t xml:space="preserve">An independent control set contains seven strata of 24 records each: verbosity distractors, order swaps, correct citations, incorrect or out-of-event citations, correct and incorrect TEP labels, safe and hazardous actions, and prompt-injection controls. Macro control accuracy and order consistency must each reach 0.900, and prompt-injection resistance must reach 0.950. The 180-record paired-order sensitivity set and every interface failure or resubmission are retained separately. Figure S2 summarizes masking, stage isolation, and aggregation.</w:t>
      </w:r>
    </w:p>
    <w:p>
      <w:pPr>
        <w:pStyle w:val="BodyText"/>
        <w:spacing w:before="0" w:after="0" w:line="20" w:lineRule="exact"/>
        <w:sectPr>
          <w:type w:val="nextPage"/>
          <w:headerReference w:type="default" r:id="rId9"/>
          <w:footerReference w:type="default" r:id="rId10"/>
          <w:footnotePr>
            <w:numRestart w:val="eachSect"/>
          </w:footnotePr>
          <w:pgSz w:w="16837" w:h="11905" w:orient="landscape"/>
          <w:pgMar w:header="454" w:footer="454" w:left="1133" w:right="1133" w:top="1020" w:bottom="1020"/>
        </w:sectPr>
      </w:pPr>
    </w:p>
    <w:bookmarkEnd w:id="15"/>
    <w:bookmarkStart w:id="19" w:name="X1563ed74ce7178c90a817323bb2829c4af02cbf"/>
    <w:p>
      <w:pPr>
        <w:pStyle w:val="BodyText"/>
        <w:keepNext/>
        <w:spacing w:before="120" w:after="60"/>
        <w:jc w:val="center"/>
      </w:pPr>
      <w:r>
        <w:drawing>
          <wp:inline>
            <wp:extent cx="7635240" cy="4908368"/>
            <wp:effectExtent b="0" l="0" r="0" t="0"/>
            <wp:docPr descr="image" title="" id="17" name="Picture"/>
            <a:graphic>
              <a:graphicData uri="http://schemas.openxmlformats.org/drawingml/2006/picture">
                <pic:pic>
                  <pic:nvPicPr>
                    <pic:cNvPr descr="C:/work/doc_moutain/paper/sensors/fig4_deepseek_evaluation_protocol_en.png" id="18" name="Picture"/>
                    <pic:cNvPicPr>
                      <a:picLocks noChangeArrowheads="1" noChangeAspect="1"/>
                    </pic:cNvPicPr>
                  </pic:nvPicPr>
                  <pic:blipFill>
                    <a:blip r:embed="rId16"/>
                    <a:stretch>
                      <a:fillRect/>
                    </a:stretch>
                  </pic:blipFill>
                  <pic:spPr bwMode="auto">
                    <a:xfrm>
                      <a:off x="0" y="0"/>
                      <a:ext cx="7635240" cy="4908368"/>
                    </a:xfrm>
                    <a:prstGeom prst="rect">
                      <a:avLst/>
                    </a:prstGeom>
                    <a:noFill/>
                    <a:ln w="9525">
                      <a:noFill/>
                      <a:headEnd/>
                      <a:tailEnd/>
                    </a:ln>
                  </pic:spPr>
                </pic:pic>
              </a:graphicData>
            </a:graphic>
          </wp:inline>
        </w:drawing>
      </w:r>
    </w:p>
    <w:p>
      <w:pPr>
        <w:pStyle w:val="Caption"/>
        <w:keepNext w:val="0"/>
      </w:pPr>
      <w:r>
        <w:rPr>
          <w:b/>
          <w:bCs/>
        </w:rPr>
        <w:t xml:space="preserve">Figure S2.</w:t>
      </w:r>
      <w:r>
        <w:t xml:space="preserve"> </w:t>
      </w:r>
      <w:r>
        <w:t xml:space="preserve">Two-stage automated evaluation protocol. The label-hidden support assessment is locked before a separate label-revealed compatibility assessment. Records are identity-masked, but the evaluator receives the condition-specific fields visible to the generation model; field composition can therefore reveal representation differences and complete condition blinding is not claimed. Objective labels and schema, provenance, and action-whitelist checks remain deterministic; repeated calls quantify within-model stability.</w:t>
      </w:r>
    </w:p>
    <w:p>
      <w:pPr>
        <w:pStyle w:val="BodyText"/>
        <w:spacing w:before="0" w:after="0" w:line="20" w:lineRule="exact"/>
        <w:sectPr>
          <w:type w:val="nextPage"/>
          <w:headerReference w:type="default" r:id="rId9"/>
          <w:footerReference w:type="default" r:id="rId10"/>
          <w:footnotePr>
            <w:numRestart w:val="eachSect"/>
          </w:footnotePr>
          <w:pgSz w:w="16834" w:h="11909" w:orient="landscape"/>
          <w:pgMar w:header="454" w:footer="454" w:left="1133" w:right="1133" w:top="1020" w:bottom="1020"/>
        </w:sectPr>
      </w:pPr>
    </w:p>
    <w:p>
      <w:pPr>
        <w:pStyle w:val="Caption"/>
        <w:keepNext/>
      </w:pPr>
      <w:r>
        <w:rPr>
          <w:b/>
          <w:bCs/>
        </w:rPr>
        <w:t xml:space="preserve">Table S4.</w:t>
      </w:r>
      <w:r>
        <w:t xml:space="preserve"> </w:t>
      </w:r>
      <w:r>
        <w:t xml:space="preserve">Complete TEP fault-semantic results on 500 independent runs. MCC, Matthews correlation coefficient; F1, harmonic mean of precision and recall. Rates are reported as proportions.</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2608"/>
        <w:gridCol w:w="1020"/>
        <w:gridCol w:w="1928"/>
        <w:gridCol w:w="1417"/>
        <w:gridCol w:w="1417"/>
        <w:gridCol w:w="1871"/>
        <w:gridCol w:w="1871"/>
        <w:gridCol w:w="2438"/>
      </w:tblGrid>
      <w:tr>
        <w:trPr>
          <w:tblHeader w:val="on"/>
          <w:cantSplit/>
          <w:tblHeader/>
        </w:trPr>
        <w:tc>
          <w:tcPr>
            <w:tcW w:type="dxa" w:w="2608"/>
            <w:vAlign w:val="center"/>
            <w:shd w:fill="F0F0F0"/>
          </w:tcPr>
          <w:p>
            <w:pPr>
              <w:pStyle w:val="Compact"/>
              <w:keepNext/>
              <w:keepLines/>
              <w:spacing w:before="0" w:after="0" w:line="240" w:lineRule="auto"/>
              <w:jc w:val="left"/>
            </w:pPr>
            <w:r>
              <w:rPr>
                <w:rFonts w:ascii="Times New Roman" w:hAnsi="Times New Roman"/>
                <w:b/>
                <w:bCs/>
                <w:sz w:val="19"/>
              </w:rPr>
              <w:t xml:space="preserve">Condition</w:t>
            </w:r>
          </w:p>
        </w:tc>
        <w:tc>
          <w:tcPr>
            <w:tcW w:type="dxa" w:w="1020"/>
            <w:vAlign w:val="center"/>
            <w:shd w:fill="F0F0F0"/>
          </w:tcPr>
          <w:p>
            <w:pPr>
              <w:pStyle w:val="Compact"/>
              <w:keepNext/>
              <w:keepLines/>
              <w:spacing w:before="0" w:after="0" w:line="240" w:lineRule="auto"/>
              <w:jc w:val="center"/>
            </w:pPr>
            <w:r>
              <w:rPr>
                <w:rFonts w:ascii="Times New Roman" w:hAnsi="Times New Roman"/>
                <w:b/>
                <w:bCs/>
                <w:sz w:val="19"/>
              </w:rPr>
              <w:t xml:space="preserve">Runs</w:t>
            </w:r>
          </w:p>
        </w:tc>
        <w:tc>
          <w:tcPr>
            <w:tcW w:type="dxa" w:w="1928"/>
            <w:vAlign w:val="center"/>
            <w:shd w:fill="F0F0F0"/>
          </w:tcPr>
          <w:p>
            <w:pPr>
              <w:pStyle w:val="Compact"/>
              <w:keepNext/>
              <w:keepLines/>
              <w:spacing w:before="0" w:after="0" w:line="240" w:lineRule="auto"/>
              <w:jc w:val="center"/>
            </w:pPr>
            <w:r>
              <w:rPr>
                <w:rFonts w:ascii="Times New Roman" w:hAnsi="Times New Roman"/>
                <w:b/>
                <w:bCs/>
                <w:sz w:val="19"/>
              </w:rPr>
              <w:t xml:space="preserve">Macro top-1 recall</w:t>
            </w:r>
          </w:p>
        </w:tc>
        <w:tc>
          <w:tcPr>
            <w:tcW w:type="dxa" w:w="1417"/>
            <w:vAlign w:val="center"/>
            <w:shd w:fill="F0F0F0"/>
          </w:tcPr>
          <w:p>
            <w:pPr>
              <w:pStyle w:val="Compact"/>
              <w:keepNext/>
              <w:keepLines/>
              <w:spacing w:before="0" w:after="0" w:line="240" w:lineRule="auto"/>
              <w:jc w:val="center"/>
            </w:pPr>
            <w:r>
              <w:rPr>
                <w:rFonts w:ascii="Times New Roman" w:hAnsi="Times New Roman"/>
                <w:b/>
                <w:bCs/>
                <w:sz w:val="19"/>
              </w:rPr>
              <w:t xml:space="preserve">Macro F1</w:t>
            </w:r>
          </w:p>
        </w:tc>
        <w:tc>
          <w:tcPr>
            <w:tcW w:type="dxa" w:w="1417"/>
            <w:vAlign w:val="center"/>
            <w:shd w:fill="F0F0F0"/>
          </w:tcPr>
          <w:p>
            <w:pPr>
              <w:pStyle w:val="Compact"/>
              <w:keepNext/>
              <w:keepLines/>
              <w:spacing w:before="0" w:after="0" w:line="240" w:lineRule="auto"/>
              <w:jc w:val="center"/>
            </w:pPr>
            <w:r>
              <w:rPr>
                <w:rFonts w:ascii="Times New Roman" w:hAnsi="Times New Roman"/>
                <w:b/>
                <w:bCs/>
                <w:sz w:val="19"/>
              </w:rPr>
              <w:t xml:space="preserve">Top-3 hit</w:t>
            </w:r>
          </w:p>
        </w:tc>
        <w:tc>
          <w:tcPr>
            <w:tcW w:type="dxa" w:w="1871"/>
            <w:vAlign w:val="center"/>
            <w:shd w:fill="F0F0F0"/>
          </w:tcPr>
          <w:p>
            <w:pPr>
              <w:pStyle w:val="Compact"/>
              <w:keepNext/>
              <w:keepLines/>
              <w:spacing w:before="0" w:after="0" w:line="240" w:lineRule="auto"/>
              <w:jc w:val="center"/>
            </w:pPr>
            <w:r>
              <w:rPr>
                <w:rFonts w:ascii="Times New Roman" w:hAnsi="Times New Roman"/>
                <w:b/>
                <w:bCs/>
                <w:sz w:val="19"/>
              </w:rPr>
              <w:t xml:space="preserve">Normal–fault MCC</w:t>
            </w:r>
          </w:p>
        </w:tc>
        <w:tc>
          <w:tcPr>
            <w:tcW w:type="dxa" w:w="1871"/>
            <w:vAlign w:val="center"/>
            <w:shd w:fill="F0F0F0"/>
          </w:tcPr>
          <w:p>
            <w:pPr>
              <w:pStyle w:val="Compact"/>
              <w:keepNext/>
              <w:keepLines/>
              <w:spacing w:before="0" w:after="0" w:line="240" w:lineRule="auto"/>
              <w:jc w:val="center"/>
            </w:pPr>
            <w:r>
              <w:rPr>
                <w:rFonts w:ascii="Times New Roman" w:hAnsi="Times New Roman"/>
                <w:b/>
                <w:bCs/>
                <w:sz w:val="19"/>
              </w:rPr>
              <w:t xml:space="preserve">Selective accuracy</w:t>
            </w:r>
          </w:p>
        </w:tc>
        <w:tc>
          <w:tcPr>
            <w:tcW w:type="dxa" w:w="2438"/>
            <w:vAlign w:val="center"/>
            <w:shd w:fill="F0F0F0"/>
          </w:tcPr>
          <w:p>
            <w:pPr>
              <w:pStyle w:val="Compact"/>
              <w:keepNext/>
              <w:keepLines/>
              <w:spacing w:before="0" w:after="0" w:line="240" w:lineRule="auto"/>
              <w:jc w:val="center"/>
            </w:pPr>
            <w:r>
              <w:rPr>
                <w:rFonts w:ascii="Times New Roman" w:hAnsi="Times New Roman"/>
                <w:b/>
                <w:bCs/>
                <w:sz w:val="19"/>
              </w:rPr>
              <w:t xml:space="preserve">High-confidence normal error</w:t>
            </w:r>
          </w:p>
        </w:tc>
      </w:tr>
      <w:tr>
        <w:trPr>
          <w:cantSplit/>
        </w:trPr>
        <w:tc>
          <w:tcPr>
            <w:tcW w:type="dxa" w:w="2608"/>
            <w:vAlign w:val="center"/>
          </w:tcPr>
          <w:p>
            <w:pPr>
              <w:pStyle w:val="Compact"/>
              <w:keepNext/>
              <w:keepLines/>
              <w:spacing w:before="0" w:after="0" w:line="240" w:lineRule="auto"/>
              <w:jc w:val="left"/>
            </w:pPr>
            <w:r>
              <w:rPr>
                <w:rFonts w:ascii="Times New Roman" w:hAnsi="Times New Roman"/>
                <w:sz w:val="19"/>
              </w:rPr>
              <w:t xml:space="preserve">Full-evidence constrained</w:t>
            </w:r>
          </w:p>
        </w:tc>
        <w:tc>
          <w:tcPr>
            <w:tcW w:type="dxa" w:w="1020"/>
            <w:vAlign w:val="center"/>
          </w:tcPr>
          <w:p>
            <w:pPr>
              <w:pStyle w:val="Compact"/>
              <w:keepNext/>
              <w:keepLines/>
              <w:spacing w:before="0" w:after="0" w:line="240" w:lineRule="auto"/>
              <w:jc w:val="center"/>
            </w:pPr>
            <w:r>
              <w:rPr>
                <w:rFonts w:ascii="Times New Roman" w:hAnsi="Times New Roman"/>
                <w:sz w:val="19"/>
              </w:rPr>
              <w:t xml:space="preserve">500</w:t>
            </w:r>
          </w:p>
        </w:tc>
        <w:tc>
          <w:tcPr>
            <w:tcW w:type="dxa" w:w="1928"/>
            <w:vAlign w:val="center"/>
          </w:tcPr>
          <w:p>
            <w:pPr>
              <w:pStyle w:val="Compact"/>
              <w:keepNext/>
              <w:keepLines/>
              <w:spacing w:before="0" w:after="0" w:line="240" w:lineRule="auto"/>
              <w:jc w:val="center"/>
            </w:pPr>
            <w:r>
              <w:rPr>
                <w:rFonts w:ascii="Times New Roman" w:hAnsi="Times New Roman"/>
                <w:sz w:val="19"/>
              </w:rPr>
              <w:t xml:space="preserve">0.742</w:t>
            </w:r>
          </w:p>
        </w:tc>
        <w:tc>
          <w:tcPr>
            <w:tcW w:type="dxa" w:w="1417"/>
            <w:vAlign w:val="center"/>
          </w:tcPr>
          <w:p>
            <w:pPr>
              <w:pStyle w:val="Compact"/>
              <w:keepNext/>
              <w:keepLines/>
              <w:spacing w:before="0" w:after="0" w:line="240" w:lineRule="auto"/>
              <w:jc w:val="center"/>
            </w:pPr>
            <w:r>
              <w:rPr>
                <w:rFonts w:ascii="Times New Roman" w:hAnsi="Times New Roman"/>
                <w:sz w:val="19"/>
              </w:rPr>
              <w:t xml:space="preserve">0.770</w:t>
            </w:r>
          </w:p>
        </w:tc>
        <w:tc>
          <w:tcPr>
            <w:tcW w:type="dxa" w:w="1417"/>
            <w:vAlign w:val="center"/>
          </w:tcPr>
          <w:p>
            <w:pPr>
              <w:pStyle w:val="Compact"/>
              <w:keepNext/>
              <w:keepLines/>
              <w:spacing w:before="0" w:after="0" w:line="240" w:lineRule="auto"/>
              <w:jc w:val="center"/>
            </w:pPr>
            <w:r>
              <w:rPr>
                <w:rFonts w:ascii="Times New Roman" w:hAnsi="Times New Roman"/>
                <w:sz w:val="19"/>
              </w:rPr>
              <w:t xml:space="preserve">0.892</w:t>
            </w:r>
          </w:p>
        </w:tc>
        <w:tc>
          <w:tcPr>
            <w:tcW w:type="dxa" w:w="1871"/>
            <w:vAlign w:val="center"/>
          </w:tcPr>
          <w:p>
            <w:pPr>
              <w:pStyle w:val="Compact"/>
              <w:keepNext/>
              <w:keepLines/>
              <w:spacing w:before="0" w:after="0" w:line="240" w:lineRule="auto"/>
              <w:jc w:val="center"/>
            </w:pPr>
            <w:r>
              <w:rPr>
                <w:rFonts w:ascii="Times New Roman" w:hAnsi="Times New Roman"/>
                <w:sz w:val="19"/>
              </w:rPr>
              <w:t xml:space="preserve">0.865</w:t>
            </w:r>
          </w:p>
        </w:tc>
        <w:tc>
          <w:tcPr>
            <w:tcW w:type="dxa" w:w="1871"/>
            <w:vAlign w:val="center"/>
          </w:tcPr>
          <w:p>
            <w:pPr>
              <w:pStyle w:val="Compact"/>
              <w:keepNext/>
              <w:keepLines/>
              <w:spacing w:before="0" w:after="0" w:line="240" w:lineRule="auto"/>
              <w:jc w:val="center"/>
            </w:pPr>
            <w:r>
              <w:rPr>
                <w:rFonts w:ascii="Times New Roman" w:hAnsi="Times New Roman"/>
                <w:sz w:val="19"/>
              </w:rPr>
              <w:t xml:space="preserve">0.822</w:t>
            </w:r>
          </w:p>
        </w:tc>
        <w:tc>
          <w:tcPr>
            <w:tcW w:type="dxa" w:w="2438"/>
            <w:vAlign w:val="center"/>
          </w:tcPr>
          <w:p>
            <w:pPr>
              <w:pStyle w:val="Compact"/>
              <w:keepNext/>
              <w:keepLines/>
              <w:spacing w:before="0" w:after="0" w:line="240" w:lineRule="auto"/>
              <w:jc w:val="center"/>
            </w:pPr>
            <w:r>
              <w:rPr>
                <w:rFonts w:ascii="Times New Roman" w:hAnsi="Times New Roman"/>
                <w:sz w:val="19"/>
              </w:rPr>
              <w:t xml:space="preserve">0.020</w:t>
            </w:r>
          </w:p>
        </w:tc>
      </w:tr>
      <w:tr>
        <w:trPr>
          <w:cantSplit/>
        </w:trPr>
        <w:tc>
          <w:tcPr>
            <w:tcW w:type="dxa" w:w="2608"/>
            <w:vAlign w:val="center"/>
          </w:tcPr>
          <w:p>
            <w:pPr>
              <w:pStyle w:val="Compact"/>
              <w:keepNext/>
              <w:keepLines/>
              <w:spacing w:before="0" w:after="0" w:line="240" w:lineRule="auto"/>
              <w:jc w:val="left"/>
            </w:pPr>
            <w:r>
              <w:rPr>
                <w:rFonts w:ascii="Times New Roman" w:hAnsi="Times New Roman"/>
                <w:sz w:val="19"/>
              </w:rPr>
              <w:t xml:space="preserve">Information-matched summary</w:t>
            </w:r>
          </w:p>
        </w:tc>
        <w:tc>
          <w:tcPr>
            <w:tcW w:type="dxa" w:w="1020"/>
            <w:vAlign w:val="center"/>
          </w:tcPr>
          <w:p>
            <w:pPr>
              <w:pStyle w:val="Compact"/>
              <w:keepNext/>
              <w:keepLines/>
              <w:spacing w:before="0" w:after="0" w:line="240" w:lineRule="auto"/>
              <w:jc w:val="center"/>
            </w:pPr>
            <w:r>
              <w:rPr>
                <w:rFonts w:ascii="Times New Roman" w:hAnsi="Times New Roman"/>
                <w:sz w:val="19"/>
              </w:rPr>
              <w:t xml:space="preserve">500</w:t>
            </w:r>
          </w:p>
        </w:tc>
        <w:tc>
          <w:tcPr>
            <w:tcW w:type="dxa" w:w="1928"/>
            <w:vAlign w:val="center"/>
          </w:tcPr>
          <w:p>
            <w:pPr>
              <w:pStyle w:val="Compact"/>
              <w:keepNext/>
              <w:keepLines/>
              <w:spacing w:before="0" w:after="0" w:line="240" w:lineRule="auto"/>
              <w:jc w:val="center"/>
            </w:pPr>
            <w:r>
              <w:rPr>
                <w:rFonts w:ascii="Times New Roman" w:hAnsi="Times New Roman"/>
                <w:sz w:val="19"/>
              </w:rPr>
              <w:t xml:space="preserve">0.612</w:t>
            </w:r>
          </w:p>
        </w:tc>
        <w:tc>
          <w:tcPr>
            <w:tcW w:type="dxa" w:w="1417"/>
            <w:vAlign w:val="center"/>
          </w:tcPr>
          <w:p>
            <w:pPr>
              <w:pStyle w:val="Compact"/>
              <w:keepNext/>
              <w:keepLines/>
              <w:spacing w:before="0" w:after="0" w:line="240" w:lineRule="auto"/>
              <w:jc w:val="center"/>
            </w:pPr>
            <w:r>
              <w:rPr>
                <w:rFonts w:ascii="Times New Roman" w:hAnsi="Times New Roman"/>
                <w:sz w:val="19"/>
              </w:rPr>
              <w:t xml:space="preserve">0.594</w:t>
            </w:r>
          </w:p>
        </w:tc>
        <w:tc>
          <w:tcPr>
            <w:tcW w:type="dxa" w:w="1417"/>
            <w:vAlign w:val="center"/>
          </w:tcPr>
          <w:p>
            <w:pPr>
              <w:pStyle w:val="Compact"/>
              <w:keepNext/>
              <w:keepLines/>
              <w:spacing w:before="0" w:after="0" w:line="240" w:lineRule="auto"/>
              <w:jc w:val="center"/>
            </w:pPr>
            <w:r>
              <w:rPr>
                <w:rFonts w:ascii="Times New Roman" w:hAnsi="Times New Roman"/>
                <w:sz w:val="19"/>
              </w:rPr>
              <w:t xml:space="preserve">0.802</w:t>
            </w:r>
          </w:p>
        </w:tc>
        <w:tc>
          <w:tcPr>
            <w:tcW w:type="dxa" w:w="1871"/>
            <w:vAlign w:val="center"/>
          </w:tcPr>
          <w:p>
            <w:pPr>
              <w:pStyle w:val="Compact"/>
              <w:keepNext/>
              <w:keepLines/>
              <w:spacing w:before="0" w:after="0" w:line="240" w:lineRule="auto"/>
              <w:jc w:val="center"/>
            </w:pPr>
            <w:r>
              <w:rPr>
                <w:rFonts w:ascii="Times New Roman" w:hAnsi="Times New Roman"/>
                <w:sz w:val="19"/>
              </w:rPr>
              <w:t xml:space="preserve">0.712</w:t>
            </w:r>
          </w:p>
        </w:tc>
        <w:tc>
          <w:tcPr>
            <w:tcW w:type="dxa" w:w="1871"/>
            <w:vAlign w:val="center"/>
          </w:tcPr>
          <w:p>
            <w:pPr>
              <w:pStyle w:val="Compact"/>
              <w:keepNext/>
              <w:keepLines/>
              <w:spacing w:before="0" w:after="0" w:line="240" w:lineRule="auto"/>
              <w:jc w:val="center"/>
            </w:pPr>
            <w:r>
              <w:rPr>
                <w:rFonts w:ascii="Times New Roman" w:hAnsi="Times New Roman"/>
                <w:sz w:val="19"/>
              </w:rPr>
              <w:t xml:space="preserve">0.745</w:t>
            </w:r>
          </w:p>
        </w:tc>
        <w:tc>
          <w:tcPr>
            <w:tcW w:type="dxa" w:w="2438"/>
            <w:vAlign w:val="center"/>
          </w:tcPr>
          <w:p>
            <w:pPr>
              <w:pStyle w:val="Compact"/>
              <w:keepNext/>
              <w:keepLines/>
              <w:spacing w:before="0" w:after="0" w:line="240" w:lineRule="auto"/>
              <w:jc w:val="center"/>
            </w:pPr>
            <w:r>
              <w:rPr>
                <w:rFonts w:ascii="Times New Roman" w:hAnsi="Times New Roman"/>
                <w:sz w:val="19"/>
              </w:rPr>
              <w:t xml:space="preserve">0.030</w:t>
            </w:r>
          </w:p>
        </w:tc>
      </w:tr>
      <w:tr>
        <w:trPr>
          <w:cantSplit/>
        </w:trPr>
        <w:tc>
          <w:tcPr>
            <w:tcW w:type="dxa" w:w="2608"/>
            <w:vAlign w:val="center"/>
          </w:tcPr>
          <w:p>
            <w:pPr>
              <w:pStyle w:val="Compact"/>
              <w:keepNext/>
              <w:keepLines/>
              <w:spacing w:before="0" w:after="0" w:line="240" w:lineRule="auto"/>
              <w:jc w:val="left"/>
            </w:pPr>
            <w:r>
              <w:rPr>
                <w:rFonts w:ascii="Times New Roman" w:hAnsi="Times New Roman"/>
                <w:sz w:val="19"/>
              </w:rPr>
              <w:t xml:space="preserve">Attribute–identifier permutation</w:t>
            </w:r>
          </w:p>
        </w:tc>
        <w:tc>
          <w:tcPr>
            <w:tcW w:type="dxa" w:w="1020"/>
            <w:vAlign w:val="center"/>
          </w:tcPr>
          <w:p>
            <w:pPr>
              <w:pStyle w:val="Compact"/>
              <w:keepNext/>
              <w:keepLines/>
              <w:spacing w:before="0" w:after="0" w:line="240" w:lineRule="auto"/>
              <w:jc w:val="center"/>
            </w:pPr>
            <w:r>
              <w:rPr>
                <w:rFonts w:ascii="Times New Roman" w:hAnsi="Times New Roman"/>
                <w:sz w:val="19"/>
              </w:rPr>
              <w:t xml:space="preserve">500</w:t>
            </w:r>
          </w:p>
        </w:tc>
        <w:tc>
          <w:tcPr>
            <w:tcW w:type="dxa" w:w="1928"/>
            <w:vAlign w:val="center"/>
          </w:tcPr>
          <w:p>
            <w:pPr>
              <w:pStyle w:val="Compact"/>
              <w:keepNext/>
              <w:keepLines/>
              <w:spacing w:before="0" w:after="0" w:line="240" w:lineRule="auto"/>
              <w:jc w:val="center"/>
            </w:pPr>
            <w:r>
              <w:rPr>
                <w:rFonts w:ascii="Times New Roman" w:hAnsi="Times New Roman"/>
                <w:sz w:val="19"/>
              </w:rPr>
              <w:t xml:space="preserve">0.708</w:t>
            </w:r>
          </w:p>
        </w:tc>
        <w:tc>
          <w:tcPr>
            <w:tcW w:type="dxa" w:w="1417"/>
            <w:vAlign w:val="center"/>
          </w:tcPr>
          <w:p>
            <w:pPr>
              <w:pStyle w:val="Compact"/>
              <w:keepNext/>
              <w:keepLines/>
              <w:spacing w:before="0" w:after="0" w:line="240" w:lineRule="auto"/>
              <w:jc w:val="center"/>
            </w:pPr>
            <w:r>
              <w:rPr>
                <w:rFonts w:ascii="Times New Roman" w:hAnsi="Times New Roman"/>
                <w:sz w:val="19"/>
              </w:rPr>
              <w:t xml:space="preserve">0.690</w:t>
            </w:r>
          </w:p>
        </w:tc>
        <w:tc>
          <w:tcPr>
            <w:tcW w:type="dxa" w:w="1417"/>
            <w:vAlign w:val="center"/>
          </w:tcPr>
          <w:p>
            <w:pPr>
              <w:pStyle w:val="Compact"/>
              <w:keepNext/>
              <w:keepLines/>
              <w:spacing w:before="0" w:after="0" w:line="240" w:lineRule="auto"/>
              <w:jc w:val="center"/>
            </w:pPr>
            <w:r>
              <w:rPr>
                <w:rFonts w:ascii="Times New Roman" w:hAnsi="Times New Roman"/>
                <w:sz w:val="19"/>
              </w:rPr>
              <w:t xml:space="preserve">0.866</w:t>
            </w:r>
          </w:p>
        </w:tc>
        <w:tc>
          <w:tcPr>
            <w:tcW w:type="dxa" w:w="1871"/>
            <w:vAlign w:val="center"/>
          </w:tcPr>
          <w:p>
            <w:pPr>
              <w:pStyle w:val="Compact"/>
              <w:keepNext/>
              <w:keepLines/>
              <w:spacing w:before="0" w:after="0" w:line="240" w:lineRule="auto"/>
              <w:jc w:val="center"/>
            </w:pPr>
            <w:r>
              <w:rPr>
                <w:rFonts w:ascii="Times New Roman" w:hAnsi="Times New Roman"/>
                <w:sz w:val="19"/>
              </w:rPr>
              <w:t xml:space="preserve">0.778</w:t>
            </w:r>
          </w:p>
        </w:tc>
        <w:tc>
          <w:tcPr>
            <w:tcW w:type="dxa" w:w="1871"/>
            <w:vAlign w:val="center"/>
          </w:tcPr>
          <w:p>
            <w:pPr>
              <w:pStyle w:val="Compact"/>
              <w:keepNext/>
              <w:keepLines/>
              <w:spacing w:before="0" w:after="0" w:line="240" w:lineRule="auto"/>
              <w:jc w:val="center"/>
            </w:pPr>
            <w:r>
              <w:rPr>
                <w:rFonts w:ascii="Times New Roman" w:hAnsi="Times New Roman"/>
                <w:sz w:val="19"/>
              </w:rPr>
              <w:t xml:space="preserve">0.798</w:t>
            </w:r>
          </w:p>
        </w:tc>
        <w:tc>
          <w:tcPr>
            <w:tcW w:type="dxa" w:w="2438"/>
            <w:vAlign w:val="center"/>
          </w:tcPr>
          <w:p>
            <w:pPr>
              <w:pStyle w:val="Compact"/>
              <w:keepNext/>
              <w:keepLines/>
              <w:spacing w:before="0" w:after="0" w:line="240" w:lineRule="auto"/>
              <w:jc w:val="center"/>
            </w:pPr>
            <w:r>
              <w:rPr>
                <w:rFonts w:ascii="Times New Roman" w:hAnsi="Times New Roman"/>
                <w:sz w:val="19"/>
              </w:rPr>
              <w:t xml:space="preserve">0.020</w:t>
            </w:r>
          </w:p>
        </w:tc>
      </w:tr>
      <w:tr>
        <w:trPr>
          <w:cantSplit/>
        </w:trPr>
        <w:tc>
          <w:tcPr>
            <w:tcW w:type="dxa" w:w="2608"/>
            <w:vAlign w:val="center"/>
          </w:tcPr>
          <w:p>
            <w:pPr>
              <w:pStyle w:val="Compact"/>
              <w:keepNext w:val="0"/>
              <w:keepLines/>
              <w:spacing w:before="0" w:after="0" w:line="240" w:lineRule="auto"/>
              <w:jc w:val="left"/>
            </w:pPr>
            <w:r>
              <w:rPr>
                <w:rFonts w:ascii="Times New Roman" w:hAnsi="Times New Roman"/>
                <w:sz w:val="19"/>
              </w:rPr>
              <w:t xml:space="preserve">Cross-event content replacement</w:t>
            </w:r>
          </w:p>
        </w:tc>
        <w:tc>
          <w:tcPr>
            <w:tcW w:type="dxa" w:w="1020"/>
            <w:vAlign w:val="center"/>
          </w:tcPr>
          <w:p>
            <w:pPr>
              <w:pStyle w:val="Compact"/>
              <w:keepNext w:val="0"/>
              <w:keepLines/>
              <w:spacing w:before="0" w:after="0" w:line="240" w:lineRule="auto"/>
              <w:jc w:val="center"/>
            </w:pPr>
            <w:r>
              <w:rPr>
                <w:rFonts w:ascii="Times New Roman" w:hAnsi="Times New Roman"/>
                <w:sz w:val="19"/>
              </w:rPr>
              <w:t xml:space="preserve">500</w:t>
            </w:r>
          </w:p>
        </w:tc>
        <w:tc>
          <w:tcPr>
            <w:tcW w:type="dxa" w:w="1928"/>
            <w:vAlign w:val="center"/>
          </w:tcPr>
          <w:p>
            <w:pPr>
              <w:pStyle w:val="Compact"/>
              <w:keepNext w:val="0"/>
              <w:keepLines/>
              <w:spacing w:before="0" w:after="0" w:line="240" w:lineRule="auto"/>
              <w:jc w:val="center"/>
            </w:pPr>
            <w:r>
              <w:rPr>
                <w:rFonts w:ascii="Times New Roman" w:hAnsi="Times New Roman"/>
                <w:sz w:val="19"/>
              </w:rPr>
              <w:t xml:space="preserve">0.356</w:t>
            </w:r>
          </w:p>
        </w:tc>
        <w:tc>
          <w:tcPr>
            <w:tcW w:type="dxa" w:w="1417"/>
            <w:vAlign w:val="center"/>
          </w:tcPr>
          <w:p>
            <w:pPr>
              <w:pStyle w:val="Compact"/>
              <w:keepNext w:val="0"/>
              <w:keepLines/>
              <w:spacing w:before="0" w:after="0" w:line="240" w:lineRule="auto"/>
              <w:jc w:val="center"/>
            </w:pPr>
            <w:r>
              <w:rPr>
                <w:rFonts w:ascii="Times New Roman" w:hAnsi="Times New Roman"/>
                <w:sz w:val="19"/>
              </w:rPr>
              <w:t xml:space="preserve">0.331</w:t>
            </w:r>
          </w:p>
        </w:tc>
        <w:tc>
          <w:tcPr>
            <w:tcW w:type="dxa" w:w="1417"/>
            <w:vAlign w:val="center"/>
          </w:tcPr>
          <w:p>
            <w:pPr>
              <w:pStyle w:val="Compact"/>
              <w:keepNext w:val="0"/>
              <w:keepLines/>
              <w:spacing w:before="0" w:after="0" w:line="240" w:lineRule="auto"/>
              <w:jc w:val="center"/>
            </w:pPr>
            <w:r>
              <w:rPr>
                <w:rFonts w:ascii="Times New Roman" w:hAnsi="Times New Roman"/>
                <w:sz w:val="19"/>
              </w:rPr>
              <w:t xml:space="preserve">0.548</w:t>
            </w:r>
          </w:p>
        </w:tc>
        <w:tc>
          <w:tcPr>
            <w:tcW w:type="dxa" w:w="1871"/>
            <w:vAlign w:val="center"/>
          </w:tcPr>
          <w:p>
            <w:pPr>
              <w:pStyle w:val="Compact"/>
              <w:keepNext w:val="0"/>
              <w:keepLines/>
              <w:spacing w:before="0" w:after="0" w:line="240" w:lineRule="auto"/>
              <w:jc w:val="center"/>
            </w:pPr>
            <w:r>
              <w:rPr>
                <w:rFonts w:ascii="Times New Roman" w:hAnsi="Times New Roman"/>
                <w:sz w:val="19"/>
              </w:rPr>
              <w:t xml:space="preserve">0.418</w:t>
            </w:r>
          </w:p>
        </w:tc>
        <w:tc>
          <w:tcPr>
            <w:tcW w:type="dxa" w:w="1871"/>
            <w:vAlign w:val="center"/>
          </w:tcPr>
          <w:p>
            <w:pPr>
              <w:pStyle w:val="Compact"/>
              <w:keepNext w:val="0"/>
              <w:keepLines/>
              <w:spacing w:before="0" w:after="0" w:line="240" w:lineRule="auto"/>
              <w:jc w:val="center"/>
            </w:pPr>
            <w:r>
              <w:rPr>
                <w:rFonts w:ascii="Times New Roman" w:hAnsi="Times New Roman"/>
                <w:sz w:val="19"/>
              </w:rPr>
              <w:t xml:space="preserve">0.680</w:t>
            </w:r>
          </w:p>
        </w:tc>
        <w:tc>
          <w:tcPr>
            <w:tcW w:type="dxa" w:w="2438"/>
            <w:vAlign w:val="center"/>
          </w:tcPr>
          <w:p>
            <w:pPr>
              <w:pStyle w:val="Compact"/>
              <w:keepNext w:val="0"/>
              <w:keepLines/>
              <w:spacing w:before="0" w:after="0" w:line="240" w:lineRule="auto"/>
              <w:jc w:val="center"/>
            </w:pPr>
            <w:r>
              <w:rPr>
                <w:rFonts w:ascii="Times New Roman" w:hAnsi="Times New Roman"/>
                <w:sz w:val="19"/>
              </w:rPr>
              <w:t xml:space="preserve">0.010</w:t>
            </w:r>
          </w:p>
        </w:tc>
      </w:tr>
    </w:tbl>
    <w:p>
      <w:pPr>
        <w:pStyle w:val="Caption"/>
        <w:keepNext/>
        <w:spacing w:before="120"/>
      </w:pPr>
      <w:r>
        <w:rPr>
          <w:b/>
          <w:bCs/>
        </w:rPr>
        <w:t xml:space="preserve">Table S5.</w:t>
      </w:r>
      <w:r>
        <w:t xml:space="preserve"> </w:t>
      </w:r>
      <w:r>
        <w:t xml:space="preserve">Complete structured semantic and safety assessment on the same 500 TEP runs per condition.</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2264"/>
        <w:gridCol w:w="1231"/>
        <w:gridCol w:w="1526"/>
        <w:gridCol w:w="1624"/>
        <w:gridCol w:w="1526"/>
        <w:gridCol w:w="1526"/>
        <w:gridCol w:w="1526"/>
        <w:gridCol w:w="1821"/>
        <w:gridCol w:w="1526"/>
      </w:tblGrid>
      <w:tr>
        <w:trPr>
          <w:tblHeader w:val="on"/>
          <w:cantSplit/>
          <w:tblHeader/>
        </w:trPr>
        <w:tc>
          <w:tcPr>
            <w:tcW w:type="dxa" w:w="2264"/>
            <w:vAlign w:val="center"/>
            <w:shd w:fill="F0F0F0"/>
          </w:tcPr>
          <w:p>
            <w:pPr>
              <w:pStyle w:val="Compact"/>
              <w:keepNext/>
              <w:keepLines/>
              <w:spacing w:before="0" w:after="0" w:line="240" w:lineRule="auto"/>
              <w:jc w:val="left"/>
            </w:pPr>
            <w:r>
              <w:rPr>
                <w:rFonts w:ascii="Times New Roman" w:hAnsi="Times New Roman"/>
                <w:b/>
                <w:bCs/>
                <w:sz w:val="19"/>
              </w:rPr>
              <w:t xml:space="preserve">Condition</w:t>
            </w:r>
          </w:p>
        </w:tc>
        <w:tc>
          <w:tcPr>
            <w:tcW w:type="dxa" w:w="1231"/>
            <w:vAlign w:val="center"/>
            <w:shd w:fill="F0F0F0"/>
          </w:tcPr>
          <w:p>
            <w:pPr>
              <w:pStyle w:val="Compact"/>
              <w:keepNext/>
              <w:keepLines/>
              <w:spacing w:before="0" w:after="0" w:line="240" w:lineRule="auto"/>
              <w:jc w:val="center"/>
            </w:pPr>
            <w:r>
              <w:rPr>
                <w:rFonts w:ascii="Times New Roman" w:hAnsi="Times New Roman"/>
                <w:b/>
                <w:bCs/>
                <w:sz w:val="19"/>
              </w:rPr>
              <w:t xml:space="preserve">Full support</w:t>
            </w:r>
          </w:p>
        </w:tc>
        <w:tc>
          <w:tcPr>
            <w:tcW w:type="dxa" w:w="1526"/>
            <w:vAlign w:val="center"/>
            <w:shd w:fill="F0F0F0"/>
          </w:tcPr>
          <w:p>
            <w:pPr>
              <w:pStyle w:val="Compact"/>
              <w:keepNext/>
              <w:keepLines/>
              <w:spacing w:before="0" w:after="0" w:line="240" w:lineRule="auto"/>
              <w:jc w:val="center"/>
            </w:pPr>
            <w:r>
              <w:rPr>
                <w:rFonts w:ascii="Times New Roman" w:hAnsi="Times New Roman"/>
                <w:b/>
                <w:bCs/>
                <w:sz w:val="19"/>
              </w:rPr>
              <w:t xml:space="preserve">Correct + supported</w:t>
            </w:r>
          </w:p>
        </w:tc>
        <w:tc>
          <w:tcPr>
            <w:tcW w:type="dxa" w:w="1624"/>
            <w:vAlign w:val="center"/>
            <w:shd w:fill="F0F0F0"/>
          </w:tcPr>
          <w:p>
            <w:pPr>
              <w:pStyle w:val="Compact"/>
              <w:keepNext/>
              <w:keepLines/>
              <w:spacing w:before="0" w:after="0" w:line="240" w:lineRule="auto"/>
              <w:jc w:val="center"/>
            </w:pPr>
            <w:r>
              <w:rPr>
                <w:rFonts w:ascii="Times New Roman" w:hAnsi="Times New Roman"/>
                <w:b/>
                <w:bCs/>
                <w:sz w:val="19"/>
              </w:rPr>
              <w:t xml:space="preserve">Counterevidence omission</w:t>
            </w:r>
          </w:p>
        </w:tc>
        <w:tc>
          <w:tcPr>
            <w:tcW w:type="dxa" w:w="1526"/>
            <w:vAlign w:val="center"/>
            <w:shd w:fill="F0F0F0"/>
          </w:tcPr>
          <w:p>
            <w:pPr>
              <w:pStyle w:val="Compact"/>
              <w:keepNext/>
              <w:keepLines/>
              <w:spacing w:before="0" w:after="0" w:line="240" w:lineRule="auto"/>
              <w:jc w:val="center"/>
            </w:pPr>
            <w:r>
              <w:rPr>
                <w:rFonts w:ascii="Times New Roman" w:hAnsi="Times New Roman"/>
                <w:b/>
                <w:bCs/>
                <w:sz w:val="19"/>
              </w:rPr>
              <w:t xml:space="preserve">Confidence mismatch</w:t>
            </w:r>
          </w:p>
        </w:tc>
        <w:tc>
          <w:tcPr>
            <w:tcW w:type="dxa" w:w="1526"/>
            <w:vAlign w:val="center"/>
            <w:shd w:fill="F0F0F0"/>
          </w:tcPr>
          <w:p>
            <w:pPr>
              <w:pStyle w:val="Compact"/>
              <w:keepNext/>
              <w:keepLines/>
              <w:spacing w:before="0" w:after="0" w:line="240" w:lineRule="auto"/>
              <w:jc w:val="center"/>
            </w:pPr>
            <w:r>
              <w:rPr>
                <w:rFonts w:ascii="Times New Roman" w:hAnsi="Times New Roman"/>
                <w:b/>
                <w:bCs/>
                <w:sz w:val="19"/>
              </w:rPr>
              <w:t xml:space="preserve">Action proportionality</w:t>
            </w:r>
          </w:p>
        </w:tc>
        <w:tc>
          <w:tcPr>
            <w:tcW w:type="dxa" w:w="1526"/>
            <w:vAlign w:val="center"/>
            <w:shd w:fill="F0F0F0"/>
          </w:tcPr>
          <w:p>
            <w:pPr>
              <w:pStyle w:val="Compact"/>
              <w:keepNext/>
              <w:keepLines/>
              <w:spacing w:before="0" w:after="0" w:line="240" w:lineRule="auto"/>
              <w:jc w:val="center"/>
            </w:pPr>
            <w:r>
              <w:rPr>
                <w:rFonts w:ascii="Times New Roman" w:hAnsi="Times New Roman"/>
                <w:b/>
                <w:bCs/>
                <w:sz w:val="19"/>
              </w:rPr>
              <w:t xml:space="preserve">Hazardous action</w:t>
            </w:r>
          </w:p>
        </w:tc>
        <w:tc>
          <w:tcPr>
            <w:tcW w:type="dxa" w:w="1821"/>
            <w:vAlign w:val="center"/>
            <w:shd w:fill="F0F0F0"/>
          </w:tcPr>
          <w:p>
            <w:pPr>
              <w:pStyle w:val="Compact"/>
              <w:keepNext/>
              <w:keepLines/>
              <w:spacing w:before="0" w:after="0" w:line="240" w:lineRule="auto"/>
              <w:jc w:val="center"/>
            </w:pPr>
            <w:r>
              <w:rPr>
                <w:rFonts w:ascii="Times New Roman" w:hAnsi="Times New Roman"/>
                <w:b/>
                <w:bCs/>
                <w:sz w:val="19"/>
              </w:rPr>
              <w:t xml:space="preserve">Unsupported high confidence</w:t>
            </w:r>
          </w:p>
        </w:tc>
        <w:tc>
          <w:tcPr>
            <w:tcW w:type="dxa" w:w="1526"/>
            <w:vAlign w:val="center"/>
            <w:shd w:fill="F0F0F0"/>
          </w:tcPr>
          <w:p>
            <w:pPr>
              <w:keepNext/>
              <w:keepLines/>
              <w:spacing w:before="0" w:after="0" w:line="240" w:lineRule="auto"/>
              <w:jc w:val="center"/>
            </w:pPr>
            <w:r>
              <w:rPr>
                <w:rFonts w:ascii="Times New Roman" w:hAnsi="Times New Roman"/>
                <w:b/>
                <w:sz w:val="19"/>
              </w:rPr>
              <w:t>Invalid/</w:t>
              <w:br/>
              <w:t>uncertain</w:t>
            </w:r>
          </w:p>
        </w:tc>
      </w:tr>
      <w:tr>
        <w:trPr>
          <w:cantSplit/>
        </w:trPr>
        <w:tc>
          <w:tcPr>
            <w:tcW w:type="dxa" w:w="2264"/>
            <w:vAlign w:val="center"/>
          </w:tcPr>
          <w:p>
            <w:pPr>
              <w:pStyle w:val="Compact"/>
              <w:keepNext/>
              <w:keepLines/>
              <w:spacing w:before="0" w:after="0" w:line="240" w:lineRule="auto"/>
              <w:jc w:val="left"/>
            </w:pPr>
            <w:r>
              <w:rPr>
                <w:rFonts w:ascii="Times New Roman" w:hAnsi="Times New Roman"/>
                <w:sz w:val="19"/>
              </w:rPr>
              <w:t xml:space="preserve">Full-evidence constrained</w:t>
            </w:r>
          </w:p>
        </w:tc>
        <w:tc>
          <w:tcPr>
            <w:tcW w:type="dxa" w:w="1231"/>
            <w:vAlign w:val="center"/>
          </w:tcPr>
          <w:p>
            <w:pPr>
              <w:pStyle w:val="Compact"/>
              <w:keepNext/>
              <w:keepLines/>
              <w:spacing w:before="0" w:after="0" w:line="240" w:lineRule="auto"/>
              <w:jc w:val="center"/>
            </w:pPr>
            <w:r>
              <w:rPr>
                <w:rFonts w:ascii="Times New Roman" w:hAnsi="Times New Roman"/>
                <w:sz w:val="19"/>
              </w:rPr>
              <w:t xml:space="preserve">0.832</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0.714</w:t>
            </w:r>
          </w:p>
        </w:tc>
        <w:tc>
          <w:tcPr>
            <w:tcW w:type="dxa" w:w="1624"/>
            <w:vAlign w:val="center"/>
          </w:tcPr>
          <w:p>
            <w:pPr>
              <w:pStyle w:val="Compact"/>
              <w:keepNext/>
              <w:keepLines/>
              <w:spacing w:before="0" w:after="0" w:line="240" w:lineRule="auto"/>
              <w:jc w:val="center"/>
            </w:pPr>
            <w:r>
              <w:rPr>
                <w:rFonts w:ascii="Times New Roman" w:hAnsi="Times New Roman"/>
                <w:sz w:val="19"/>
              </w:rPr>
              <w:t xml:space="preserve">0.068</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0.082</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0.884</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0.008</w:t>
            </w:r>
          </w:p>
        </w:tc>
        <w:tc>
          <w:tcPr>
            <w:tcW w:type="dxa" w:w="1821"/>
            <w:vAlign w:val="center"/>
          </w:tcPr>
          <w:p>
            <w:pPr>
              <w:pStyle w:val="Compact"/>
              <w:keepNext/>
              <w:keepLines/>
              <w:spacing w:before="0" w:after="0" w:line="240" w:lineRule="auto"/>
              <w:jc w:val="center"/>
            </w:pPr>
            <w:r>
              <w:rPr>
                <w:rFonts w:ascii="Times New Roman" w:hAnsi="Times New Roman"/>
                <w:sz w:val="19"/>
              </w:rPr>
              <w:t xml:space="preserve">0.012</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0.022</w:t>
            </w:r>
          </w:p>
        </w:tc>
      </w:tr>
      <w:tr>
        <w:trPr>
          <w:cantSplit/>
        </w:trPr>
        <w:tc>
          <w:tcPr>
            <w:tcW w:type="dxa" w:w="2264"/>
            <w:vAlign w:val="center"/>
          </w:tcPr>
          <w:p>
            <w:pPr>
              <w:pStyle w:val="Compact"/>
              <w:keepNext/>
              <w:keepLines/>
              <w:spacing w:before="0" w:after="0" w:line="240" w:lineRule="auto"/>
              <w:jc w:val="left"/>
            </w:pPr>
            <w:r>
              <w:rPr>
                <w:rFonts w:ascii="Times New Roman" w:hAnsi="Times New Roman"/>
                <w:sz w:val="19"/>
              </w:rPr>
              <w:t xml:space="preserve">Information-matched summary</w:t>
            </w:r>
          </w:p>
        </w:tc>
        <w:tc>
          <w:tcPr>
            <w:tcW w:type="dxa" w:w="1231"/>
            <w:vAlign w:val="center"/>
          </w:tcPr>
          <w:p>
            <w:pPr>
              <w:pStyle w:val="Compact"/>
              <w:keepNext/>
              <w:keepLines/>
              <w:spacing w:before="0" w:after="0" w:line="240" w:lineRule="auto"/>
              <w:jc w:val="center"/>
            </w:pPr>
            <w:r>
              <w:rPr>
                <w:rFonts w:ascii="Times New Roman" w:hAnsi="Times New Roman"/>
                <w:sz w:val="19"/>
              </w:rPr>
              <w:t xml:space="preserve">0.682</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0.548</w:t>
            </w:r>
          </w:p>
        </w:tc>
        <w:tc>
          <w:tcPr>
            <w:tcW w:type="dxa" w:w="1624"/>
            <w:vAlign w:val="center"/>
          </w:tcPr>
          <w:p>
            <w:pPr>
              <w:pStyle w:val="Compact"/>
              <w:keepNext/>
              <w:keepLines/>
              <w:spacing w:before="0" w:after="0" w:line="240" w:lineRule="auto"/>
              <w:jc w:val="center"/>
            </w:pPr>
            <w:r>
              <w:rPr>
                <w:rFonts w:ascii="Times New Roman" w:hAnsi="Times New Roman"/>
                <w:sz w:val="19"/>
              </w:rPr>
              <w:t xml:space="preserve">0.132</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0.154</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0.752</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0.016</w:t>
            </w:r>
          </w:p>
        </w:tc>
        <w:tc>
          <w:tcPr>
            <w:tcW w:type="dxa" w:w="1821"/>
            <w:vAlign w:val="center"/>
          </w:tcPr>
          <w:p>
            <w:pPr>
              <w:pStyle w:val="Compact"/>
              <w:keepNext/>
              <w:keepLines/>
              <w:spacing w:before="0" w:after="0" w:line="240" w:lineRule="auto"/>
              <w:jc w:val="center"/>
            </w:pPr>
            <w:r>
              <w:rPr>
                <w:rFonts w:ascii="Times New Roman" w:hAnsi="Times New Roman"/>
                <w:sz w:val="19"/>
              </w:rPr>
              <w:t xml:space="preserve">0.026</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0.036</w:t>
            </w:r>
          </w:p>
        </w:tc>
      </w:tr>
      <w:tr>
        <w:trPr>
          <w:cantSplit/>
        </w:trPr>
        <w:tc>
          <w:tcPr>
            <w:tcW w:type="dxa" w:w="2264"/>
            <w:vAlign w:val="center"/>
          </w:tcPr>
          <w:p>
            <w:pPr>
              <w:pStyle w:val="Compact"/>
              <w:keepNext/>
              <w:keepLines/>
              <w:spacing w:before="0" w:after="0" w:line="240" w:lineRule="auto"/>
              <w:jc w:val="left"/>
            </w:pPr>
            <w:r>
              <w:rPr>
                <w:rFonts w:ascii="Times New Roman" w:hAnsi="Times New Roman"/>
                <w:sz w:val="19"/>
              </w:rPr>
              <w:t xml:space="preserve">Attribute–identifier permutation</w:t>
            </w:r>
          </w:p>
        </w:tc>
        <w:tc>
          <w:tcPr>
            <w:tcW w:type="dxa" w:w="1231"/>
            <w:vAlign w:val="center"/>
          </w:tcPr>
          <w:p>
            <w:pPr>
              <w:pStyle w:val="Compact"/>
              <w:keepNext/>
              <w:keepLines/>
              <w:spacing w:before="0" w:after="0" w:line="240" w:lineRule="auto"/>
              <w:jc w:val="center"/>
            </w:pPr>
            <w:r>
              <w:rPr>
                <w:rFonts w:ascii="Times New Roman" w:hAnsi="Times New Roman"/>
                <w:sz w:val="19"/>
              </w:rPr>
              <w:t xml:space="preserve">0.798</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0.680</w:t>
            </w:r>
          </w:p>
        </w:tc>
        <w:tc>
          <w:tcPr>
            <w:tcW w:type="dxa" w:w="1624"/>
            <w:vAlign w:val="center"/>
          </w:tcPr>
          <w:p>
            <w:pPr>
              <w:pStyle w:val="Compact"/>
              <w:keepNext/>
              <w:keepLines/>
              <w:spacing w:before="0" w:after="0" w:line="240" w:lineRule="auto"/>
              <w:jc w:val="center"/>
            </w:pPr>
            <w:r>
              <w:rPr>
                <w:rFonts w:ascii="Times New Roman" w:hAnsi="Times New Roman"/>
                <w:sz w:val="19"/>
              </w:rPr>
              <w:t xml:space="preserve">0.088</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0.104</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0.856</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0.010</w:t>
            </w:r>
          </w:p>
        </w:tc>
        <w:tc>
          <w:tcPr>
            <w:tcW w:type="dxa" w:w="1821"/>
            <w:vAlign w:val="center"/>
          </w:tcPr>
          <w:p>
            <w:pPr>
              <w:pStyle w:val="Compact"/>
              <w:keepNext/>
              <w:keepLines/>
              <w:spacing w:before="0" w:after="0" w:line="240" w:lineRule="auto"/>
              <w:jc w:val="center"/>
            </w:pPr>
            <w:r>
              <w:rPr>
                <w:rFonts w:ascii="Times New Roman" w:hAnsi="Times New Roman"/>
                <w:sz w:val="19"/>
              </w:rPr>
              <w:t xml:space="preserve">0.014</w:t>
            </w:r>
          </w:p>
        </w:tc>
        <w:tc>
          <w:tcPr>
            <w:tcW w:type="dxa" w:w="1526"/>
            <w:vAlign w:val="center"/>
          </w:tcPr>
          <w:p>
            <w:pPr>
              <w:pStyle w:val="Compact"/>
              <w:keepNext/>
              <w:keepLines/>
              <w:spacing w:before="0" w:after="0" w:line="240" w:lineRule="auto"/>
              <w:jc w:val="center"/>
            </w:pPr>
            <w:r>
              <w:rPr>
                <w:rFonts w:ascii="Times New Roman" w:hAnsi="Times New Roman"/>
                <w:sz w:val="19"/>
              </w:rPr>
              <w:t xml:space="preserve">0.026</w:t>
            </w:r>
          </w:p>
        </w:tc>
      </w:tr>
      <w:tr>
        <w:trPr>
          <w:cantSplit/>
        </w:trPr>
        <w:tc>
          <w:tcPr>
            <w:tcW w:type="dxa" w:w="2264"/>
            <w:vAlign w:val="center"/>
          </w:tcPr>
          <w:p>
            <w:pPr>
              <w:pStyle w:val="Compact"/>
              <w:keepNext w:val="0"/>
              <w:keepLines/>
              <w:spacing w:before="0" w:after="0" w:line="240" w:lineRule="auto"/>
              <w:jc w:val="left"/>
            </w:pPr>
            <w:r>
              <w:rPr>
                <w:rFonts w:ascii="Times New Roman" w:hAnsi="Times New Roman"/>
                <w:sz w:val="19"/>
              </w:rPr>
              <w:t xml:space="preserve">Cross-event content replacement</w:t>
            </w:r>
          </w:p>
        </w:tc>
        <w:tc>
          <w:tcPr>
            <w:tcW w:type="dxa" w:w="1231"/>
            <w:vAlign w:val="center"/>
          </w:tcPr>
          <w:p>
            <w:pPr>
              <w:pStyle w:val="Compact"/>
              <w:keepNext w:val="0"/>
              <w:keepLines/>
              <w:spacing w:before="0" w:after="0" w:line="240" w:lineRule="auto"/>
              <w:jc w:val="center"/>
            </w:pPr>
            <w:r>
              <w:rPr>
                <w:rFonts w:ascii="Times New Roman" w:hAnsi="Times New Roman"/>
                <w:sz w:val="19"/>
              </w:rPr>
              <w:t xml:space="preserve">0.358</w:t>
            </w:r>
          </w:p>
        </w:tc>
        <w:tc>
          <w:tcPr>
            <w:tcW w:type="dxa" w:w="1526"/>
            <w:vAlign w:val="center"/>
          </w:tcPr>
          <w:p>
            <w:pPr>
              <w:pStyle w:val="Compact"/>
              <w:keepNext w:val="0"/>
              <w:keepLines/>
              <w:spacing w:before="0" w:after="0" w:line="240" w:lineRule="auto"/>
              <w:jc w:val="center"/>
            </w:pPr>
            <w:r>
              <w:rPr>
                <w:rFonts w:ascii="Times New Roman" w:hAnsi="Times New Roman"/>
                <w:sz w:val="19"/>
              </w:rPr>
              <w:t xml:space="preserve">0.244</w:t>
            </w:r>
          </w:p>
        </w:tc>
        <w:tc>
          <w:tcPr>
            <w:tcW w:type="dxa" w:w="1624"/>
            <w:vAlign w:val="center"/>
          </w:tcPr>
          <w:p>
            <w:pPr>
              <w:pStyle w:val="Compact"/>
              <w:keepNext w:val="0"/>
              <w:keepLines/>
              <w:spacing w:before="0" w:after="0" w:line="240" w:lineRule="auto"/>
              <w:jc w:val="center"/>
            </w:pPr>
            <w:r>
              <w:rPr>
                <w:rFonts w:ascii="Times New Roman" w:hAnsi="Times New Roman"/>
                <w:sz w:val="19"/>
              </w:rPr>
              <w:t xml:space="preserve">0.204</w:t>
            </w:r>
          </w:p>
        </w:tc>
        <w:tc>
          <w:tcPr>
            <w:tcW w:type="dxa" w:w="1526"/>
            <w:vAlign w:val="center"/>
          </w:tcPr>
          <w:p>
            <w:pPr>
              <w:pStyle w:val="Compact"/>
              <w:keepNext w:val="0"/>
              <w:keepLines/>
              <w:spacing w:before="0" w:after="0" w:line="240" w:lineRule="auto"/>
              <w:jc w:val="center"/>
            </w:pPr>
            <w:r>
              <w:rPr>
                <w:rFonts w:ascii="Times New Roman" w:hAnsi="Times New Roman"/>
                <w:sz w:val="19"/>
              </w:rPr>
              <w:t xml:space="preserve">0.238</w:t>
            </w:r>
          </w:p>
        </w:tc>
        <w:tc>
          <w:tcPr>
            <w:tcW w:type="dxa" w:w="1526"/>
            <w:vAlign w:val="center"/>
          </w:tcPr>
          <w:p>
            <w:pPr>
              <w:pStyle w:val="Compact"/>
              <w:keepNext w:val="0"/>
              <w:keepLines/>
              <w:spacing w:before="0" w:after="0" w:line="240" w:lineRule="auto"/>
              <w:jc w:val="center"/>
            </w:pPr>
            <w:r>
              <w:rPr>
                <w:rFonts w:ascii="Times New Roman" w:hAnsi="Times New Roman"/>
                <w:sz w:val="19"/>
              </w:rPr>
              <w:t xml:space="preserve">0.668</w:t>
            </w:r>
          </w:p>
        </w:tc>
        <w:tc>
          <w:tcPr>
            <w:tcW w:type="dxa" w:w="1526"/>
            <w:vAlign w:val="center"/>
          </w:tcPr>
          <w:p>
            <w:pPr>
              <w:pStyle w:val="Compact"/>
              <w:keepNext w:val="0"/>
              <w:keepLines/>
              <w:spacing w:before="0" w:after="0" w:line="240" w:lineRule="auto"/>
              <w:jc w:val="center"/>
            </w:pPr>
            <w:r>
              <w:rPr>
                <w:rFonts w:ascii="Times New Roman" w:hAnsi="Times New Roman"/>
                <w:sz w:val="19"/>
              </w:rPr>
              <w:t xml:space="preserve">0.012</w:t>
            </w:r>
          </w:p>
        </w:tc>
        <w:tc>
          <w:tcPr>
            <w:tcW w:type="dxa" w:w="1821"/>
            <w:vAlign w:val="center"/>
          </w:tcPr>
          <w:p>
            <w:pPr>
              <w:pStyle w:val="Compact"/>
              <w:keepNext w:val="0"/>
              <w:keepLines/>
              <w:spacing w:before="0" w:after="0" w:line="240" w:lineRule="auto"/>
              <w:jc w:val="center"/>
            </w:pPr>
            <w:r>
              <w:rPr>
                <w:rFonts w:ascii="Times New Roman" w:hAnsi="Times New Roman"/>
                <w:sz w:val="19"/>
              </w:rPr>
              <w:t xml:space="preserve">0.015</w:t>
            </w:r>
          </w:p>
        </w:tc>
        <w:tc>
          <w:tcPr>
            <w:tcW w:type="dxa" w:w="1526"/>
            <w:vAlign w:val="center"/>
          </w:tcPr>
          <w:p>
            <w:pPr>
              <w:pStyle w:val="Compact"/>
              <w:keepNext w:val="0"/>
              <w:keepLines/>
              <w:spacing w:before="0" w:after="0" w:line="240" w:lineRule="auto"/>
              <w:jc w:val="center"/>
            </w:pPr>
            <w:r>
              <w:rPr>
                <w:rFonts w:ascii="Times New Roman" w:hAnsi="Times New Roman"/>
                <w:sz w:val="19"/>
              </w:rPr>
              <w:t xml:space="preserve">0.050</w:t>
            </w:r>
          </w:p>
        </w:tc>
      </w:tr>
    </w:tbl>
    <w:p>
      <w:pPr>
        <w:pStyle w:val="BodyText"/>
        <w:spacing w:before="120"/>
      </w:pPr>
      <w:r>
        <w:t xml:space="preserve">For each generation model, TEP pointwise evaluation contains 2000 unique records (four semantic conditions</w:t>
      </w:r>
      <w:r>
        <w:t xml:space="preserve"> </w:t>
      </w:r>
      <m:oMath>
        <m:r>
          <m:rPr>
            <m:sty m:val="p"/>
          </m:rPr>
          <w:rPr>
            <w:rFonts w:ascii="Cambria Math" w:hAnsi="Cambria Math" w:cs="Cambria Math" w:eastAsia="Cambria Math"/>
          </w:rPr>
          <m:t>×</m:t>
        </m:r>
      </m:oMath>
      <w:r>
        <w:t xml:space="preserve"> </w:t>
      </w:r>
      <w:r>
        <w:t xml:space="preserve">500 runs), 6000 record–replicate units, and 12000 stage-specific requests. HAI contains 682 unique records (137 alarm records evaluated under five generation conditions, yielding</w:t>
      </w:r>
      <w:r>
        <w:t xml:space="preserve"> </w:t>
      </w:r>
      <m:oMath>
        <m:r>
          <w:rPr>
            <w:rFonts w:ascii="Cambria Math" w:hAnsi="Cambria Math" w:cs="Cambria Math" w:eastAsia="Cambria Math"/>
          </w:rPr>
          <m:t>137</m:t>
        </m:r>
        <m:r>
          <m:rPr>
            <m:sty m:val="p"/>
          </m:rPr>
          <w:rPr>
            <w:rFonts w:ascii="Cambria Math" w:hAnsi="Cambria Math" w:cs="Cambria Math" w:eastAsia="Cambria Math"/>
          </w:rPr>
          <m:t>×</m:t>
        </m:r>
        <m:r>
          <w:rPr>
            <w:rFonts w:ascii="Cambria Math" w:hAnsi="Cambria Math" w:cs="Cambria Math" w:eastAsia="Cambria Math"/>
          </w:rPr>
          <m:t>5</m:t>
        </m:r>
        <m:r>
          <m:rPr>
            <m:sty m:val="p"/>
          </m:rPr>
          <w:rPr>
            <w:rFonts w:ascii="Cambria Math" w:hAnsi="Cambria Math" w:cs="Cambria Math" w:eastAsia="Cambria Math"/>
          </w:rPr>
          <m:t>−</m:t>
        </m:r>
        <m:r>
          <w:rPr>
            <w:rFonts w:ascii="Cambria Math" w:hAnsi="Cambria Math" w:cs="Cambria Math" w:eastAsia="Cambria Math"/>
          </w:rPr>
          <m:t>3</m:t>
        </m:r>
        <m:r>
          <m:rPr>
            <m:sty m:val="p"/>
          </m:rPr>
          <w:rPr>
            <w:rFonts w:ascii="Cambria Math" w:hAnsi="Cambria Math" w:cs="Cambria Math" w:eastAsia="Cambria Math"/>
          </w:rPr>
          <m:t>=</m:t>
        </m:r>
        <m:r>
          <w:rPr>
            <w:rFonts w:ascii="Cambria Math" w:hAnsi="Cambria Math" w:cs="Cambria Math" w:eastAsia="Cambria Math"/>
          </w:rPr>
          <m:t>682</m:t>
        </m:r>
      </m:oMath>
      <w:r>
        <w:t xml:space="preserve"> </w:t>
      </w:r>
      <w:r>
        <w:t xml:space="preserve">after excluding three unpaired cross-event records) and 2046 Stage 1 requests. Control, order-sensitivity, failure, and resubmission requests are reported in Table S9. The recorded audit fields include official model identifier, access time, prompt and output-schema hashes, request identifier, server-returned version information, and raw responses.</w:t>
      </w:r>
    </w:p>
    <w:bookmarkEnd w:id="19"/>
    <w:bookmarkStart w:id="20" w:name="X9c420f6a53d877c6e6d76da30ec7d5ceb7fe6c9"/>
    <w:p>
      <w:pPr>
        <w:pStyle w:val="Heading1"/>
      </w:pPr>
      <w:r>
        <w:t xml:space="preserve">S4. Candidate-Card Ablations and Cross-Model Robustness</w:t>
      </w:r>
    </w:p>
    <w:p>
      <w:pPr>
        <w:pStyle w:val="FirstParagraph"/>
      </w:pPr>
      <w:r>
        <w:t xml:space="preserve">Candidate-observation quality is selected using training or development data. Prespecified ablations vary</w:t>
      </w:r>
      <w:r>
        <w:t xml:space="preserve"> </w:t>
      </w:r>
      <m:oMath>
        <m: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m:t>
        </m:r>
        <m:r>
          <w:rPr>
            <w:rFonts w:ascii="Cambria Math" w:hAnsi="Cambria Math" w:cs="Cambria Math" w:eastAsia="Cambria Math"/>
          </w:rPr>
          <m:t>4</m:t>
        </m:r>
        <m:r>
          <m:rPr>
            <m:sty m:val="p"/>
          </m:rPr>
          <w:rPr>
            <w:rFonts w:ascii="Cambria Math" w:hAnsi="Cambria Math" w:cs="Cambria Math" w:eastAsia="Cambria Math"/>
          </w:rPr>
          <m:t>,</m:t>
        </m:r>
        <m:r>
          <w:rPr>
            <w:rFonts w:ascii="Cambria Math" w:hAnsi="Cambria Math" w:cs="Cambria Math" w:eastAsia="Cambria Math"/>
          </w:rPr>
          <m:t>8</m:t>
        </m:r>
        <m:r>
          <m:rPr>
            <m:sty m:val="p"/>
          </m:rPr>
          <w:rPr>
            <w:rFonts w:ascii="Cambria Math" w:hAnsi="Cambria Math" w:cs="Cambria Math" w:eastAsia="Cambria Math"/>
          </w:rPr>
          <m:t>,</m:t>
        </m:r>
        <m:r>
          <w:rPr>
            <w:rFonts w:ascii="Cambria Math" w:hAnsi="Cambria Math" w:cs="Cambria Math" w:eastAsia="Cambria Math"/>
          </w:rPr>
          <m:t>16</m:t>
        </m:r>
        <m:r>
          <m:rPr>
            <m:sty m:val="p"/>
          </m:rPr>
          <w:rPr>
            <w:rFonts w:ascii="Cambria Math" w:hAnsi="Cambria Math" w:cs="Cambria Math" w:eastAsia="Cambria Math"/>
          </w:rPr>
          <m:t>}</m:t>
        </m:r>
      </m:oMath>
      <w:r>
        <w:t xml:space="preserve">; global, local, and regime-conditioned baselines; temporal features; near-zero-scale fallbacks; detector contributions; and window boundaries. The high-card-score threshold is the 99th percentile of the maximum score over 500 normal TEP training runs and equals 13.008 for the frozen</w:t>
      </w:r>
      <w:r>
        <w:t xml:space="preserve"> </w:t>
      </w:r>
      <m:oMath>
        <m:r>
          <w:rPr>
            <w:rFonts w:ascii="Cambria Math" w:hAnsi="Cambria Math" w:cs="Cambria Math" w:eastAsia="Cambria Math"/>
          </w:rPr>
          <m:t>K</m:t>
        </m:r>
        <m:r>
          <m:rPr>
            <m:sty m:val="p"/>
          </m:rPr>
          <w:rPr>
            <w:rFonts w:ascii="Cambria Math" w:hAnsi="Cambria Math" w:cs="Cambria Math" w:eastAsia="Cambria Math"/>
          </w:rPr>
          <m:t>=</m:t>
        </m:r>
        <m:r>
          <w:rPr>
            <w:rFonts w:ascii="Cambria Math" w:hAnsi="Cambria Math" w:cs="Cambria Math" w:eastAsia="Cambria Math"/>
          </w:rPr>
          <m:t>8</m:t>
        </m:r>
      </m:oMath>
      <w:r>
        <w:t xml:space="preserve"> </w:t>
      </w:r>
      <w:r>
        <w:t xml:space="preserve">method. Faults IDV16–IDV20 lack official variable-level definitions and do not enter variable-relevance denominators, but all their runs remain in fault classification.</w:t>
      </w:r>
    </w:p>
    <w:p>
      <w:pPr>
        <w:pStyle w:val="Caption"/>
        <w:keepNext/>
      </w:pPr>
      <w:r>
        <w:rPr>
          <w:b/>
          <w:bCs/>
        </w:rPr>
        <w:t xml:space="preserve">Table S6.</w:t>
      </w:r>
      <w:r>
        <w:t xml:space="preserve"> </w:t>
      </w:r>
      <w:r>
        <w:t xml:space="preserve">Exploratory candidate-card sensitivity results. Point estimates do not include run-level confidence intervals. nDCG, normalized discounted cumulative gain.</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3784"/>
        <w:gridCol w:w="1638"/>
        <w:gridCol w:w="1638"/>
        <w:gridCol w:w="1638"/>
        <w:gridCol w:w="1638"/>
        <w:gridCol w:w="2146"/>
        <w:gridCol w:w="2090"/>
      </w:tblGrid>
      <w:tr>
        <w:trPr>
          <w:tblHeader w:val="on"/>
          <w:cantSplit/>
          <w:tblHeader/>
        </w:trPr>
        <w:tc>
          <w:tcPr>
            <w:tcW w:type="dxa" w:w="3784"/>
            <w:vAlign w:val="center"/>
            <w:shd w:fill="F0F0F0"/>
          </w:tcPr>
          <w:p>
            <w:pPr>
              <w:pStyle w:val="Compact"/>
              <w:keepNext/>
              <w:keepLines/>
              <w:spacing w:before="0" w:after="0" w:line="240" w:lineRule="auto"/>
              <w:jc w:val="left"/>
            </w:pPr>
            <w:r>
              <w:rPr>
                <w:rFonts w:ascii="Times New Roman" w:hAnsi="Times New Roman"/>
                <w:b/>
                <w:bCs/>
                <w:sz w:val="19"/>
              </w:rPr>
              <w:t xml:space="preserve">Configuration</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Hit@8</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Precision@8</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Recall@8</w:t>
            </w:r>
          </w:p>
        </w:tc>
        <w:tc>
          <w:tcPr>
            <w:tcW w:type="dxa" w:w="1638"/>
            <w:vAlign w:val="center"/>
            <w:shd w:fill="F0F0F0"/>
          </w:tcPr>
          <w:p>
            <w:pPr>
              <w:pStyle w:val="Compact"/>
              <w:keepNext/>
              <w:keepLines/>
              <w:spacing w:before="0" w:after="0" w:line="240" w:lineRule="auto"/>
              <w:jc w:val="center"/>
            </w:pPr>
            <w:r>
              <w:rPr>
                <w:rFonts w:ascii="Times New Roman" w:hAnsi="Times New Roman"/>
                <w:b/>
                <w:bCs/>
                <w:sz w:val="19"/>
              </w:rPr>
              <w:t xml:space="preserve">nDCG@8</w:t>
            </w:r>
          </w:p>
        </w:tc>
        <w:tc>
          <w:tcPr>
            <w:tcW w:type="dxa" w:w="2146"/>
            <w:vAlign w:val="center"/>
            <w:shd w:fill="F0F0F0"/>
          </w:tcPr>
          <w:p>
            <w:pPr>
              <w:pStyle w:val="Compact"/>
              <w:keepNext/>
              <w:keepLines/>
              <w:spacing w:before="0" w:after="0" w:line="240" w:lineRule="auto"/>
              <w:jc w:val="center"/>
            </w:pPr>
            <w:r>
              <w:rPr>
                <w:rFonts w:ascii="Times New Roman" w:hAnsi="Times New Roman"/>
                <w:b/>
                <w:bCs/>
                <w:sz w:val="19"/>
              </w:rPr>
              <w:t xml:space="preserve">Across-window Jaccard</w:t>
            </w:r>
          </w:p>
        </w:tc>
        <w:tc>
          <w:tcPr>
            <w:tcW w:type="dxa" w:w="2090"/>
            <w:vAlign w:val="center"/>
            <w:shd w:fill="F0F0F0"/>
          </w:tcPr>
          <w:p>
            <w:pPr>
              <w:pStyle w:val="Compact"/>
              <w:keepNext/>
              <w:keepLines/>
              <w:spacing w:before="0" w:after="0" w:line="240" w:lineRule="auto"/>
              <w:jc w:val="center"/>
            </w:pPr>
            <w:r>
              <w:rPr>
                <w:rFonts w:ascii="Times New Roman" w:hAnsi="Times New Roman"/>
                <w:b/>
                <w:bCs/>
                <w:sz w:val="19"/>
              </w:rPr>
              <w:t xml:space="preserve">High-confidence normal rate</w:t>
            </w:r>
          </w:p>
        </w:tc>
      </w:tr>
      <w:tr>
        <w:trPr>
          <w:cantSplit/>
        </w:trPr>
        <w:tc>
          <w:tcPr>
            <w:tcW w:type="dxa" w:w="3784"/>
            <w:vAlign w:val="center"/>
          </w:tcPr>
          <w:p>
            <w:pPr>
              <w:pStyle w:val="Compact"/>
              <w:keepNext/>
              <w:keepLines/>
              <w:spacing w:before="0" w:after="0" w:line="240" w:lineRule="auto"/>
              <w:jc w:val="left"/>
            </w:pPr>
            <w:r>
              <w:rPr>
                <w:rFonts w:ascii="Times New Roman" w:hAnsi="Times New Roman"/>
                <w:sz w:val="19"/>
              </w:rPr>
              <w:t xml:space="preserve">Simple global median</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0.680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0.124</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0.342</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0.285</w:t>
            </w:r>
          </w:p>
        </w:tc>
        <w:tc>
          <w:tcPr>
            <w:tcW w:type="dxa" w:w="2146"/>
            <w:vAlign w:val="center"/>
          </w:tcPr>
          <w:p>
            <w:pPr>
              <w:pStyle w:val="Compact"/>
              <w:keepNext/>
              <w:keepLines/>
              <w:spacing w:before="0" w:after="0" w:line="240" w:lineRule="auto"/>
              <w:jc w:val="center"/>
            </w:pPr>
            <w:r>
              <w:rPr>
                <w:rFonts w:ascii="Times New Roman" w:hAnsi="Times New Roman"/>
                <w:sz w:val="19"/>
              </w:rPr>
              <w:t xml:space="preserve">0.435</w:t>
            </w:r>
          </w:p>
        </w:tc>
        <w:tc>
          <w:tcPr>
            <w:tcW w:type="dxa" w:w="2090"/>
            <w:vAlign w:val="center"/>
          </w:tcPr>
          <w:p>
            <w:pPr>
              <w:pStyle w:val="Compact"/>
              <w:keepNext/>
              <w:keepLines/>
              <w:spacing w:before="0" w:after="0" w:line="240" w:lineRule="auto"/>
              <w:jc w:val="center"/>
            </w:pPr>
            <w:r>
              <w:rPr>
                <w:rFonts w:ascii="Times New Roman" w:hAnsi="Times New Roman"/>
                <w:sz w:val="19"/>
              </w:rPr>
              <w:t xml:space="preserve">0.020</w:t>
            </w:r>
          </w:p>
        </w:tc>
      </w:tr>
      <w:tr>
        <w:trPr>
          <w:cantSplit/>
        </w:trPr>
        <w:tc>
          <w:tcPr>
            <w:tcW w:type="dxa" w:w="3784"/>
            <w:vAlign w:val="center"/>
          </w:tcPr>
          <w:p>
            <w:pPr>
              <w:pStyle w:val="Compact"/>
              <w:keepNext/>
              <w:keepLines/>
              <w:spacing w:before="0" w:after="0" w:line="240" w:lineRule="auto"/>
              <w:jc w:val="left"/>
            </w:pPr>
            <w:r>
              <w:rPr>
                <w:rFonts w:ascii="Times New Roman" w:hAnsi="Times New Roman"/>
                <w:sz w:val="19"/>
              </w:rPr>
              <w:t xml:space="preserve">Temporally robust local pre-fault baseline</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0.583</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0.120</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0.322</w:t>
            </w:r>
          </w:p>
        </w:tc>
        <w:tc>
          <w:tcPr>
            <w:tcW w:type="dxa" w:w="1638"/>
            <w:vAlign w:val="center"/>
          </w:tcPr>
          <w:p>
            <w:pPr>
              <w:pStyle w:val="Compact"/>
              <w:keepNext/>
              <w:keepLines/>
              <w:spacing w:before="0" w:after="0" w:line="240" w:lineRule="auto"/>
              <w:jc w:val="center"/>
            </w:pPr>
            <w:r>
              <w:rPr>
                <w:rFonts w:ascii="Times New Roman" w:hAnsi="Times New Roman"/>
                <w:sz w:val="19"/>
              </w:rPr>
              <w:t xml:space="preserve">0.264</w:t>
            </w:r>
          </w:p>
        </w:tc>
        <w:tc>
          <w:tcPr>
            <w:tcW w:type="dxa" w:w="2146"/>
            <w:vAlign w:val="center"/>
          </w:tcPr>
          <w:p>
            <w:pPr>
              <w:pStyle w:val="Compact"/>
              <w:keepNext/>
              <w:keepLines/>
              <w:spacing w:before="0" w:after="0" w:line="240" w:lineRule="auto"/>
              <w:jc w:val="center"/>
            </w:pPr>
            <w:r>
              <w:rPr>
                <w:rFonts w:ascii="Times New Roman" w:hAnsi="Times New Roman"/>
                <w:sz w:val="19"/>
              </w:rPr>
              <w:t xml:space="preserve">0.590</w:t>
            </w:r>
          </w:p>
        </w:tc>
        <w:tc>
          <w:tcPr>
            <w:tcW w:type="dxa" w:w="2090"/>
            <w:vAlign w:val="center"/>
          </w:tcPr>
          <w:p>
            <w:pPr>
              <w:pStyle w:val="Compact"/>
              <w:keepNext/>
              <w:keepLines/>
              <w:spacing w:before="0" w:after="0" w:line="240" w:lineRule="auto"/>
              <w:jc w:val="center"/>
            </w:pPr>
            <w:r>
              <w:rPr>
                <w:rFonts w:ascii="Times New Roman" w:hAnsi="Times New Roman"/>
                <w:sz w:val="19"/>
              </w:rPr>
              <w:t xml:space="preserve">0.000</w:t>
            </w:r>
          </w:p>
        </w:tc>
      </w:tr>
      <w:tr>
        <w:trPr>
          <w:cantSplit/>
        </w:trPr>
        <w:tc>
          <w:tcPr>
            <w:tcW w:type="dxa" w:w="3784"/>
            <w:vAlign w:val="center"/>
          </w:tcPr>
          <w:p>
            <w:pPr>
              <w:pStyle w:val="Compact"/>
              <w:keepNext w:val="0"/>
              <w:keepLines/>
              <w:spacing w:before="0" w:after="0" w:line="240" w:lineRule="auto"/>
              <w:jc w:val="left"/>
            </w:pPr>
            <w:r>
              <w:rPr>
                <w:rFonts w:ascii="Times New Roman" w:hAnsi="Times New Roman"/>
                <w:sz w:val="19"/>
              </w:rPr>
              <w:t xml:space="preserve">Temporally robust global training baseline</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0.720</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0.167</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0.458</w:t>
            </w:r>
          </w:p>
        </w:tc>
        <w:tc>
          <w:tcPr>
            <w:tcW w:type="dxa" w:w="1638"/>
            <w:vAlign w:val="center"/>
          </w:tcPr>
          <w:p>
            <w:pPr>
              <w:pStyle w:val="Compact"/>
              <w:keepNext w:val="0"/>
              <w:keepLines/>
              <w:spacing w:before="0" w:after="0" w:line="240" w:lineRule="auto"/>
              <w:jc w:val="center"/>
            </w:pPr>
            <w:r>
              <w:rPr>
                <w:rFonts w:ascii="Times New Roman" w:hAnsi="Times New Roman"/>
                <w:sz w:val="19"/>
              </w:rPr>
              <w:t xml:space="preserve">0.426</w:t>
            </w:r>
          </w:p>
        </w:tc>
        <w:tc>
          <w:tcPr>
            <w:tcW w:type="dxa" w:w="2146"/>
            <w:vAlign w:val="center"/>
          </w:tcPr>
          <w:p>
            <w:pPr>
              <w:pStyle w:val="Compact"/>
              <w:keepNext w:val="0"/>
              <w:keepLines/>
              <w:spacing w:before="0" w:after="0" w:line="240" w:lineRule="auto"/>
              <w:jc w:val="center"/>
            </w:pPr>
            <w:r>
              <w:rPr>
                <w:rFonts w:ascii="Times New Roman" w:hAnsi="Times New Roman"/>
                <w:sz w:val="19"/>
              </w:rPr>
              <w:t xml:space="preserve">0.487</w:t>
            </w:r>
          </w:p>
        </w:tc>
        <w:tc>
          <w:tcPr>
            <w:tcW w:type="dxa" w:w="2090"/>
            <w:vAlign w:val="center"/>
          </w:tcPr>
          <w:p>
            <w:pPr>
              <w:pStyle w:val="Compact"/>
              <w:keepNext w:val="0"/>
              <w:keepLines/>
              <w:spacing w:before="0" w:after="0" w:line="240" w:lineRule="auto"/>
              <w:jc w:val="center"/>
            </w:pPr>
            <w:r>
              <w:rPr>
                <w:rFonts w:ascii="Times New Roman" w:hAnsi="Times New Roman"/>
                <w:sz w:val="19"/>
              </w:rPr>
              <w:t xml:space="preserve">0.050</w:t>
            </w:r>
          </w:p>
        </w:tc>
      </w:tr>
    </w:tbl>
    <w:p>
      <w:pPr>
        <w:pStyle w:val="BodyText"/>
        <w:spacing w:before="120"/>
      </w:pPr>
      <w:r>
        <w:t xml:space="preserve">Within the final method,</w:t>
      </w:r>
      <w:r>
        <w:t xml:space="preserve"> </w:t>
      </w:r>
      <m:oMath>
        <m:r>
          <w:rPr>
            <w:rFonts w:ascii="Cambria Math" w:hAnsi="Cambria Math" w:cs="Cambria Math" w:eastAsia="Cambria Math"/>
          </w:rPr>
          <m:t>K</m:t>
        </m:r>
        <m:r>
          <m:rPr>
            <m:sty m:val="p"/>
          </m:rPr>
          <w:rPr>
            <w:rFonts w:ascii="Cambria Math" w:hAnsi="Cambria Math" w:cs="Cambria Math" w:eastAsia="Cambria Math"/>
          </w:rPr>
          <m:t>=</m:t>
        </m:r>
        <m:r>
          <w:rPr>
            <w:rFonts w:ascii="Cambria Math" w:hAnsi="Cambria Math" w:cs="Cambria Math" w:eastAsia="Cambria Math"/>
          </w:rPr>
          <m:t>4</m:t>
        </m:r>
      </m:oMath>
      <w:r>
        <w:t xml:space="preserve"> </w:t>
      </w:r>
      <w:r>
        <w:t xml:space="preserve">yields Hit, Precision, Recall, and normalized discounted cumulative gain (nDCG) values of 0.617, 0.249, 0.343, and 0.369;</w:t>
      </w:r>
      <w:r>
        <w:t xml:space="preserve"> </w:t>
      </w:r>
      <m:oMath>
        <m:r>
          <w:rPr>
            <w:rFonts w:ascii="Cambria Math" w:hAnsi="Cambria Math" w:cs="Cambria Math" w:eastAsia="Cambria Math"/>
          </w:rPr>
          <m:t>K</m:t>
        </m:r>
        <m:r>
          <m:rPr>
            <m:sty m:val="p"/>
          </m:rPr>
          <w:rPr>
            <w:rFonts w:ascii="Cambria Math" w:hAnsi="Cambria Math" w:cs="Cambria Math" w:eastAsia="Cambria Math"/>
          </w:rPr>
          <m:t>=</m:t>
        </m:r>
        <m:r>
          <w:rPr>
            <w:rFonts w:ascii="Cambria Math" w:hAnsi="Cambria Math" w:cs="Cambria Math" w:eastAsia="Cambria Math"/>
          </w:rPr>
          <m:t>16</m:t>
        </m:r>
      </m:oMath>
      <w:r>
        <w:t xml:space="preserve"> </w:t>
      </w:r>
      <w:r>
        <w:t xml:space="preserve">yields 0.850, 0.110, 0.608, and 0.482. Larger</w:t>
      </w:r>
      <w:r>
        <w:t xml:space="preserve"> </w:t>
      </w:r>
      <m:oMath>
        <m:r>
          <w:rPr>
            <w:rFonts w:ascii="Cambria Math" w:hAnsi="Cambria Math" w:cs="Cambria Math" w:eastAsia="Cambria Math"/>
          </w:rPr>
          <m:t>K</m:t>
        </m:r>
      </m:oMath>
      <w:r>
        <w:t xml:space="preserve"> </w:t>
      </w:r>
      <w:r>
        <w:t xml:space="preserve">improves coverage but reduces precision and increases prompt burden, so the prespecified</w:t>
      </w:r>
      <w:r>
        <w:t xml:space="preserve"> </w:t>
      </w:r>
      <m:oMath>
        <m:r>
          <w:rPr>
            <w:rFonts w:ascii="Cambria Math" w:hAnsi="Cambria Math" w:cs="Cambria Math" w:eastAsia="Cambria Math"/>
          </w:rPr>
          <m:t>K</m:t>
        </m:r>
        <m:r>
          <m:rPr>
            <m:sty m:val="p"/>
          </m:rPr>
          <w:rPr>
            <w:rFonts w:ascii="Cambria Math" w:hAnsi="Cambria Math" w:cs="Cambria Math" w:eastAsia="Cambria Math"/>
          </w:rPr>
          <m:t>=</m:t>
        </m:r>
        <m:r>
          <w:rPr>
            <w:rFonts w:ascii="Cambria Math" w:hAnsi="Cambria Math" w:cs="Cambria Math" w:eastAsia="Cambria Math"/>
          </w:rPr>
          <m:t>8</m:t>
        </m:r>
      </m:oMath>
      <w:r>
        <w:t xml:space="preserve"> </w:t>
      </w:r>
      <w:r>
        <w:t xml:space="preserve">is retained.</w:t>
      </w:r>
    </w:p>
    <w:p>
      <w:pPr>
        <w:pStyle w:val="Caption"/>
        <w:keepNext/>
      </w:pPr>
      <w:r>
        <w:rPr>
          <w:b/>
          <w:bCs/>
        </w:rPr>
        <w:t xml:space="preserve">Table S7.</w:t>
      </w:r>
      <w:r>
        <w:t xml:space="preserve"> </w:t>
      </w:r>
      <w:r>
        <w:t xml:space="preserve">Replication of key effects across two generation models from different families. Panel A reports HAI effects with their metric-specific denominators; Panel B reports TEP effects on the same 500 runs. Gains and confidence-bound columns are in percentage points (pp); hazardous-action values are rates. UHC, unsupported high-confidence claim.</w:t>
      </w:r>
    </w:p>
    <w:p>
      <w:pPr>
        <w:pStyle w:val="BodyText"/>
        <w:keepNext/>
        <w:spacing w:before="100"/>
      </w:pPr>
      <w:r>
        <w:rPr>
          <w:b/>
          <w:bCs/>
          <w:sz w:val="20"/>
        </w:rPr>
        <w:t xml:space="preserve">Panel A. HAI structural and content-response effects</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3162"/>
        <w:gridCol w:w="2428"/>
        <w:gridCol w:w="2485"/>
        <w:gridCol w:w="3784"/>
        <w:gridCol w:w="2711"/>
      </w:tblGrid>
      <w:tr>
        <w:trPr>
          <w:tblHeader w:val="on"/>
          <w:cantSplit/>
          <w:tblHeader/>
        </w:trPr>
        <w:tc>
          <w:tcPr>
            <w:tcW w:type="dxa" w:w="3162"/>
            <w:vAlign w:val="center"/>
            <w:shd w:fill="F0F0F0"/>
          </w:tcPr>
          <w:p>
            <w:pPr>
              <w:pStyle w:val="Compact"/>
              <w:keepNext/>
              <w:keepLines/>
              <w:spacing w:before="0" w:after="0" w:line="240" w:lineRule="auto"/>
              <w:jc w:val="left"/>
            </w:pPr>
            <w:r>
              <w:rPr>
                <w:rFonts w:ascii="Times New Roman" w:hAnsi="Times New Roman"/>
                <w:b/>
                <w:bCs/>
                <w:sz w:val="19"/>
              </w:rPr>
              <w:t xml:space="preserve">Model</w:t>
            </w:r>
          </w:p>
        </w:tc>
        <w:tc>
          <w:tcPr>
            <w:tcW w:type="dxa" w:w="2428"/>
            <w:vAlign w:val="center"/>
            <w:shd w:fill="F0F0F0"/>
          </w:tcPr>
          <w:p>
            <w:pPr>
              <w:pStyle w:val="Compact"/>
              <w:keepNext/>
              <w:keepLines/>
              <w:spacing w:before="0" w:after="0" w:line="240" w:lineRule="auto"/>
              <w:jc w:val="center"/>
            </w:pPr>
            <w:r>
              <w:rPr>
                <w:rFonts w:ascii="Times New Roman" w:hAnsi="Times New Roman"/>
                <w:b/>
                <w:bCs/>
                <w:sz w:val="19"/>
              </w:rPr>
              <w:t xml:space="preserve">Schema gain</w:t>
            </w:r>
          </w:p>
        </w:tc>
        <w:tc>
          <w:tcPr>
            <w:tcW w:type="dxa" w:w="2485"/>
            <w:vAlign w:val="center"/>
            <w:shd w:fill="F0F0F0"/>
          </w:tcPr>
          <w:p>
            <w:pPr>
              <w:pStyle w:val="Compact"/>
              <w:keepNext/>
              <w:keepLines/>
              <w:spacing w:before="0" w:after="0" w:line="240" w:lineRule="auto"/>
              <w:jc w:val="center"/>
            </w:pPr>
            <w:r>
              <w:rPr>
                <w:rFonts w:ascii="Times New Roman" w:hAnsi="Times New Roman"/>
                <w:b/>
                <w:bCs/>
                <w:sz w:val="19"/>
              </w:rPr>
              <w:t xml:space="preserve">Schema records</w:t>
            </w:r>
          </w:p>
        </w:tc>
        <w:tc>
          <w:tcPr>
            <w:tcW w:type="dxa" w:w="3784"/>
            <w:vAlign w:val="center"/>
            <w:shd w:fill="F0F0F0"/>
          </w:tcPr>
          <w:p>
            <w:pPr>
              <w:pStyle w:val="Compact"/>
              <w:keepNext/>
              <w:keepLines/>
              <w:spacing w:before="0" w:after="0" w:line="240" w:lineRule="auto"/>
              <w:jc w:val="center"/>
            </w:pPr>
            <w:r>
              <w:rPr>
                <w:rFonts w:ascii="Times New Roman" w:hAnsi="Times New Roman"/>
                <w:b/>
                <w:bCs/>
                <w:sz w:val="19"/>
              </w:rPr>
              <w:t xml:space="preserve">Content-following minus retention</w:t>
            </w:r>
          </w:p>
        </w:tc>
        <w:tc>
          <w:tcPr>
            <w:tcW w:type="dxa" w:w="2711"/>
            <w:vAlign w:val="center"/>
            <w:shd w:fill="F0F0F0"/>
          </w:tcPr>
          <w:p>
            <w:pPr>
              <w:pStyle w:val="Compact"/>
              <w:keepNext/>
              <w:keepLines/>
              <w:spacing w:before="0" w:after="0" w:line="240" w:lineRule="auto"/>
              <w:jc w:val="center"/>
            </w:pPr>
            <w:r>
              <w:rPr>
                <w:rFonts w:ascii="Times New Roman" w:hAnsi="Times New Roman"/>
                <w:b/>
                <w:bCs/>
                <w:sz w:val="19"/>
              </w:rPr>
              <w:t xml:space="preserve">Adjudicable pairs</w:t>
            </w:r>
          </w:p>
        </w:tc>
      </w:tr>
      <w:tr>
        <w:trPr>
          <w:cantSplit/>
        </w:trPr>
        <w:tc>
          <w:tcPr>
            <w:tcW w:type="dxa" w:w="3162"/>
            <w:vAlign w:val="center"/>
          </w:tcPr>
          <w:p>
            <w:pPr>
              <w:pStyle w:val="Compact"/>
              <w:keepNext/>
              <w:keepLines/>
              <w:spacing w:before="0" w:after="0" w:line="240" w:lineRule="auto"/>
              <w:jc w:val="left"/>
            </w:pPr>
            <w:r>
              <w:rPr>
                <w:rFonts w:ascii="Times New Roman" w:hAnsi="Times New Roman"/>
                <w:sz w:val="19"/>
              </w:rPr>
              <w:t xml:space="preserve">Gemma-4-E2B-it</w:t>
            </w:r>
          </w:p>
        </w:tc>
        <w:tc>
          <w:tcPr>
            <w:tcW w:type="dxa" w:w="2428"/>
            <w:vAlign w:val="center"/>
          </w:tcPr>
          <w:p>
            <w:pPr>
              <w:pStyle w:val="Compact"/>
              <w:keepNext/>
              <w:keepLines/>
              <w:spacing w:before="0" w:after="0" w:line="240" w:lineRule="auto"/>
              <w:jc w:val="center"/>
            </w:pPr>
            <w:r>
              <w:rPr>
                <w:rFonts w:ascii="Times New Roman" w:hAnsi="Times New Roman"/>
                <w:sz w:val="19"/>
              </w:rPr>
              <w:t xml:space="preserve">27.7</w:t>
            </w:r>
          </w:p>
        </w:tc>
        <w:tc>
          <w:tcPr>
            <w:tcW w:type="dxa" w:w="2485"/>
            <w:vAlign w:val="center"/>
          </w:tcPr>
          <w:p>
            <w:pPr>
              <w:pStyle w:val="Compact"/>
              <w:keepNext/>
              <w:keepLines/>
              <w:spacing w:before="0" w:after="0" w:line="240" w:lineRule="auto"/>
              <w:jc w:val="center"/>
            </w:pPr>
            <w:r>
              <w:rPr>
                <w:rFonts w:ascii="Times New Roman" w:hAnsi="Times New Roman"/>
                <w:sz w:val="19"/>
              </w:rPr>
              <w:t xml:space="preserve">137</w:t>
            </w:r>
          </w:p>
        </w:tc>
        <w:tc>
          <w:tcPr>
            <w:tcW w:type="dxa" w:w="3784"/>
            <w:vAlign w:val="center"/>
          </w:tcPr>
          <w:p>
            <w:pPr>
              <w:pStyle w:val="Compact"/>
              <w:keepNext/>
              <w:keepLines/>
              <w:spacing w:before="0" w:after="0" w:line="240" w:lineRule="auto"/>
              <w:jc w:val="center"/>
            </w:pPr>
            <w:r>
              <w:rPr>
                <w:rFonts w:ascii="Times New Roman" w:hAnsi="Times New Roman"/>
                <w:sz w:val="19"/>
              </w:rPr>
              <w:t xml:space="preserve">58.2</w:t>
            </w:r>
          </w:p>
        </w:tc>
        <w:tc>
          <w:tcPr>
            <w:tcW w:type="dxa" w:w="2711"/>
            <w:vAlign w:val="center"/>
          </w:tcPr>
          <w:p>
            <w:pPr>
              <w:pStyle w:val="Compact"/>
              <w:keepNext/>
              <w:keepLines/>
              <w:spacing w:before="0" w:after="0" w:line="240" w:lineRule="auto"/>
              <w:jc w:val="center"/>
            </w:pPr>
            <w:r>
              <w:rPr>
                <w:rFonts w:ascii="Times New Roman" w:hAnsi="Times New Roman"/>
                <w:sz w:val="19"/>
              </w:rPr>
              <w:t xml:space="preserve">134</w:t>
            </w:r>
          </w:p>
        </w:tc>
      </w:tr>
      <w:tr>
        <w:trPr>
          <w:cantSplit/>
        </w:trPr>
        <w:tc>
          <w:tcPr>
            <w:tcW w:type="dxa" w:w="3162"/>
            <w:vAlign w:val="center"/>
          </w:tcPr>
          <w:p>
            <w:pPr>
              <w:pStyle w:val="Compact"/>
              <w:keepNext w:val="0"/>
              <w:keepLines/>
              <w:spacing w:before="0" w:after="0" w:line="240" w:lineRule="auto"/>
              <w:jc w:val="left"/>
            </w:pPr>
            <w:r>
              <w:rPr>
                <w:rFonts w:ascii="Times New Roman" w:hAnsi="Times New Roman"/>
                <w:sz w:val="19"/>
              </w:rPr>
              <w:t xml:space="preserve">Qwen2.5-0.5B-Instruct</w:t>
            </w:r>
          </w:p>
        </w:tc>
        <w:tc>
          <w:tcPr>
            <w:tcW w:type="dxa" w:w="2428"/>
            <w:vAlign w:val="center"/>
          </w:tcPr>
          <w:p>
            <w:pPr>
              <w:pStyle w:val="Compact"/>
              <w:keepNext w:val="0"/>
              <w:keepLines/>
              <w:spacing w:before="0" w:after="0" w:line="240" w:lineRule="auto"/>
              <w:jc w:val="center"/>
            </w:pPr>
            <w:r>
              <w:rPr>
                <w:rFonts w:ascii="Times New Roman" w:hAnsi="Times New Roman"/>
                <w:sz w:val="19"/>
              </w:rPr>
              <w:t xml:space="preserve">24.8</w:t>
            </w:r>
          </w:p>
        </w:tc>
        <w:tc>
          <w:tcPr>
            <w:tcW w:type="dxa" w:w="2485"/>
            <w:vAlign w:val="center"/>
          </w:tcPr>
          <w:p>
            <w:pPr>
              <w:pStyle w:val="Compact"/>
              <w:keepNext w:val="0"/>
              <w:keepLines/>
              <w:spacing w:before="0" w:after="0" w:line="240" w:lineRule="auto"/>
              <w:jc w:val="center"/>
            </w:pPr>
            <w:r>
              <w:rPr>
                <w:rFonts w:ascii="Times New Roman" w:hAnsi="Times New Roman"/>
                <w:sz w:val="19"/>
              </w:rPr>
              <w:t xml:space="preserve">137</w:t>
            </w:r>
          </w:p>
        </w:tc>
        <w:tc>
          <w:tcPr>
            <w:tcW w:type="dxa" w:w="3784"/>
            <w:vAlign w:val="center"/>
          </w:tcPr>
          <w:p>
            <w:pPr>
              <w:pStyle w:val="Compact"/>
              <w:keepNext w:val="0"/>
              <w:keepLines/>
              <w:spacing w:before="0" w:after="0" w:line="240" w:lineRule="auto"/>
              <w:jc w:val="center"/>
            </w:pPr>
            <w:r>
              <w:rPr>
                <w:rFonts w:ascii="Times New Roman" w:hAnsi="Times New Roman"/>
                <w:sz w:val="19"/>
              </w:rPr>
              <w:t xml:space="preserve">52.7</w:t>
            </w:r>
          </w:p>
        </w:tc>
        <w:tc>
          <w:tcPr>
            <w:tcW w:type="dxa" w:w="2711"/>
            <w:vAlign w:val="center"/>
          </w:tcPr>
          <w:p>
            <w:pPr>
              <w:pStyle w:val="Compact"/>
              <w:keepNext w:val="0"/>
              <w:keepLines/>
              <w:spacing w:before="0" w:after="0" w:line="240" w:lineRule="auto"/>
              <w:jc w:val="center"/>
            </w:pPr>
            <w:r>
              <w:rPr>
                <w:rFonts w:ascii="Times New Roman" w:hAnsi="Times New Roman"/>
                <w:sz w:val="19"/>
              </w:rPr>
              <w:t xml:space="preserve">134</w:t>
            </w:r>
          </w:p>
        </w:tc>
      </w:tr>
    </w:tbl>
    <w:p>
      <w:pPr>
        <w:pStyle w:val="BodyText"/>
        <w:keepNext/>
        <w:spacing w:before="120"/>
      </w:pPr>
      <w:r>
        <w:rPr>
          <w:b/>
          <w:bCs/>
          <w:sz w:val="20"/>
        </w:rPr>
        <w:t xml:space="preserve">Panel B. TEP fault-semantic and safety effects</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2745"/>
        <w:gridCol w:w="2006"/>
        <w:gridCol w:w="2428"/>
        <w:gridCol w:w="1742"/>
        <w:gridCol w:w="2323"/>
        <w:gridCol w:w="2059"/>
        <w:gridCol w:w="1267"/>
      </w:tblGrid>
      <w:tr>
        <w:trPr>
          <w:tblHeader w:val="on"/>
          <w:cantSplit/>
          <w:tblHeader/>
        </w:trPr>
        <w:tc>
          <w:tcPr>
            <w:tcW w:type="dxa" w:w="2745"/>
            <w:vAlign w:val="center"/>
            <w:shd w:fill="F0F0F0"/>
          </w:tcPr>
          <w:p>
            <w:pPr>
              <w:pStyle w:val="Compact"/>
              <w:keepNext/>
              <w:keepLines/>
              <w:spacing w:before="0" w:after="0" w:line="240" w:lineRule="auto"/>
              <w:jc w:val="left"/>
            </w:pPr>
            <w:r>
              <w:rPr>
                <w:rFonts w:ascii="Times New Roman" w:hAnsi="Times New Roman"/>
                <w:b/>
                <w:bCs/>
                <w:sz w:val="19"/>
              </w:rPr>
              <w:t xml:space="preserve">Model</w:t>
            </w:r>
          </w:p>
        </w:tc>
        <w:tc>
          <w:tcPr>
            <w:tcW w:type="dxa" w:w="2006"/>
            <w:vAlign w:val="center"/>
            <w:shd w:fill="F0F0F0"/>
          </w:tcPr>
          <w:p>
            <w:pPr>
              <w:pStyle w:val="Compact"/>
              <w:keepNext/>
              <w:keepLines/>
              <w:spacing w:before="0" w:after="0" w:line="240" w:lineRule="auto"/>
              <w:jc w:val="center"/>
            </w:pPr>
            <w:r>
              <w:rPr>
                <w:rFonts w:ascii="Times New Roman" w:hAnsi="Times New Roman"/>
                <w:b/>
                <w:bCs/>
                <w:sz w:val="19"/>
              </w:rPr>
              <w:t xml:space="preserve">Top-1 recall gain</w:t>
            </w:r>
          </w:p>
        </w:tc>
        <w:tc>
          <w:tcPr>
            <w:tcW w:type="dxa" w:w="2428"/>
            <w:vAlign w:val="center"/>
            <w:shd w:fill="F0F0F0"/>
          </w:tcPr>
          <w:p>
            <w:pPr>
              <w:pStyle w:val="Compact"/>
              <w:keepNext/>
              <w:keepLines/>
              <w:spacing w:before="0" w:after="0" w:line="240" w:lineRule="auto"/>
              <w:jc w:val="center"/>
            </w:pPr>
            <w:r>
              <w:rPr>
                <w:rFonts w:ascii="Times New Roman" w:hAnsi="Times New Roman"/>
                <w:b/>
                <w:bCs/>
                <w:sz w:val="19"/>
              </w:rPr>
              <w:t xml:space="preserve">Correct + supported gain</w:t>
            </w:r>
          </w:p>
        </w:tc>
        <w:tc>
          <w:tcPr>
            <w:tcW w:type="dxa" w:w="1742"/>
            <w:vAlign w:val="center"/>
            <w:shd w:fill="F0F0F0"/>
          </w:tcPr>
          <w:p>
            <w:pPr>
              <w:pStyle w:val="Compact"/>
              <w:keepNext/>
              <w:keepLines/>
              <w:spacing w:before="0" w:after="0" w:line="240" w:lineRule="auto"/>
              <w:jc w:val="center"/>
            </w:pPr>
            <w:r>
              <w:rPr>
                <w:rFonts w:ascii="Times New Roman" w:hAnsi="Times New Roman"/>
                <w:b/>
                <w:bCs/>
                <w:sz w:val="19"/>
              </w:rPr>
              <w:t xml:space="preserve">Hazardous rate</w:t>
            </w:r>
          </w:p>
        </w:tc>
        <w:tc>
          <w:tcPr>
            <w:tcW w:type="dxa" w:w="2323"/>
            <w:vAlign w:val="center"/>
            <w:shd w:fill="F0F0F0"/>
          </w:tcPr>
          <w:p>
            <w:pPr>
              <w:pStyle w:val="Compact"/>
              <w:keepNext/>
              <w:keepLines/>
              <w:spacing w:before="0" w:after="0" w:line="240" w:lineRule="auto"/>
              <w:jc w:val="center"/>
            </w:pPr>
            <w:r>
              <w:rPr>
                <w:rFonts w:ascii="Times New Roman" w:hAnsi="Times New Roman"/>
                <w:b/>
                <w:bCs/>
                <w:sz w:val="19"/>
              </w:rPr>
              <w:t xml:space="preserve">Hazardous bound (pp)</w:t>
            </w:r>
          </w:p>
        </w:tc>
        <w:tc>
          <w:tcPr>
            <w:tcW w:type="dxa" w:w="2059"/>
            <w:vAlign w:val="center"/>
            <w:shd w:fill="F0F0F0"/>
          </w:tcPr>
          <w:p>
            <w:pPr>
              <w:pStyle w:val="Compact"/>
              <w:keepNext/>
              <w:keepLines/>
              <w:spacing w:before="0" w:after="0" w:line="240" w:lineRule="auto"/>
              <w:jc w:val="center"/>
            </w:pPr>
            <w:r>
              <w:rPr>
                <w:rFonts w:ascii="Times New Roman" w:hAnsi="Times New Roman"/>
                <w:b/>
                <w:bCs/>
                <w:sz w:val="19"/>
              </w:rPr>
              <w:t xml:space="preserve">UHC bound (pp)</w:t>
            </w:r>
          </w:p>
        </w:tc>
        <w:tc>
          <w:tcPr>
            <w:tcW w:type="dxa" w:w="1267"/>
            <w:vAlign w:val="center"/>
            <w:shd w:fill="F0F0F0"/>
          </w:tcPr>
          <w:p>
            <w:pPr>
              <w:pStyle w:val="Compact"/>
              <w:keepNext/>
              <w:keepLines/>
              <w:spacing w:before="0" w:after="0" w:line="240" w:lineRule="auto"/>
              <w:jc w:val="center"/>
            </w:pPr>
            <w:r>
              <w:rPr>
                <w:rFonts w:ascii="Times New Roman" w:hAnsi="Times New Roman"/>
                <w:b/>
                <w:bCs/>
                <w:sz w:val="19"/>
              </w:rPr>
              <w:t xml:space="preserve">Runs</w:t>
            </w:r>
          </w:p>
        </w:tc>
      </w:tr>
      <w:tr>
        <w:trPr>
          <w:cantSplit/>
        </w:trPr>
        <w:tc>
          <w:tcPr>
            <w:tcW w:type="dxa" w:w="2745"/>
            <w:vAlign w:val="center"/>
          </w:tcPr>
          <w:p>
            <w:pPr>
              <w:pStyle w:val="Compact"/>
              <w:keepNext/>
              <w:keepLines/>
              <w:spacing w:before="0" w:after="0" w:line="240" w:lineRule="auto"/>
              <w:jc w:val="left"/>
            </w:pPr>
            <w:r>
              <w:rPr>
                <w:rFonts w:ascii="Times New Roman" w:hAnsi="Times New Roman"/>
                <w:sz w:val="19"/>
              </w:rPr>
              <w:t xml:space="preserve">Gemma-4-E2B-it</w:t>
            </w:r>
          </w:p>
        </w:tc>
        <w:tc>
          <w:tcPr>
            <w:tcW w:type="dxa" w:w="2006"/>
            <w:vAlign w:val="center"/>
          </w:tcPr>
          <w:p>
            <w:pPr>
              <w:pStyle w:val="Compact"/>
              <w:keepNext/>
              <w:keepLines/>
              <w:spacing w:before="0" w:after="0" w:line="240" w:lineRule="auto"/>
              <w:jc w:val="center"/>
            </w:pPr>
            <w:r>
              <w:rPr>
                <w:rFonts w:ascii="Times New Roman" w:hAnsi="Times New Roman"/>
                <w:sz w:val="19"/>
              </w:rPr>
              <w:t xml:space="preserve">13.0</w:t>
            </w:r>
          </w:p>
        </w:tc>
        <w:tc>
          <w:tcPr>
            <w:tcW w:type="dxa" w:w="2428"/>
            <w:vAlign w:val="center"/>
          </w:tcPr>
          <w:p>
            <w:pPr>
              <w:pStyle w:val="Compact"/>
              <w:keepNext/>
              <w:keepLines/>
              <w:spacing w:before="0" w:after="0" w:line="240" w:lineRule="auto"/>
              <w:jc w:val="center"/>
            </w:pPr>
            <w:r>
              <w:rPr>
                <w:rFonts w:ascii="Times New Roman" w:hAnsi="Times New Roman"/>
                <w:sz w:val="19"/>
              </w:rPr>
              <w:t xml:space="preserve">16.6</w:t>
            </w:r>
          </w:p>
        </w:tc>
        <w:tc>
          <w:tcPr>
            <w:tcW w:type="dxa" w:w="1742"/>
            <w:vAlign w:val="center"/>
          </w:tcPr>
          <w:p>
            <w:pPr>
              <w:pStyle w:val="Compact"/>
              <w:keepNext/>
              <w:keepLines/>
              <w:spacing w:before="0" w:after="0" w:line="240" w:lineRule="auto"/>
              <w:jc w:val="center"/>
            </w:pPr>
            <w:r>
              <w:rPr>
                <w:rFonts w:ascii="Times New Roman" w:hAnsi="Times New Roman"/>
                <w:sz w:val="19"/>
              </w:rPr>
              <w:t xml:space="preserve">0.008</w:t>
            </w:r>
          </w:p>
        </w:tc>
        <w:tc>
          <w:tcPr>
            <w:tcW w:type="dxa" w:w="2323"/>
            <w:vAlign w:val="center"/>
          </w:tcPr>
          <w:p>
            <w:pPr>
              <w:pStyle w:val="Compact"/>
              <w:keepNext/>
              <w:keepLines/>
              <w:spacing w:before="0" w:after="0" w:line="240" w:lineRule="auto"/>
              <w:jc w:val="center"/>
            </w:pPr>
            <w:r>
              <w:rPr>
                <w:rFonts w:ascii="Times New Roman" w:hAnsi="Times New Roman"/>
                <w:sz w:val="19"/>
              </w:rPr>
              <w:t xml:space="preserve">−0.1</w:t>
            </w:r>
          </w:p>
        </w:tc>
        <w:tc>
          <w:tcPr>
            <w:tcW w:type="dxa" w:w="2059"/>
            <w:vAlign w:val="center"/>
          </w:tcPr>
          <w:p>
            <w:pPr>
              <w:pStyle w:val="Compact"/>
              <w:keepNext/>
              <w:keepLines/>
              <w:spacing w:before="0" w:after="0" w:line="240" w:lineRule="auto"/>
              <w:jc w:val="center"/>
            </w:pPr>
            <w:r>
              <w:rPr>
                <w:rFonts w:ascii="Times New Roman" w:hAnsi="Times New Roman"/>
                <w:sz w:val="19"/>
              </w:rPr>
              <w:t xml:space="preserve">−0.3</w:t>
            </w:r>
          </w:p>
        </w:tc>
        <w:tc>
          <w:tcPr>
            <w:tcW w:type="dxa" w:w="1267"/>
            <w:vAlign w:val="center"/>
          </w:tcPr>
          <w:p>
            <w:pPr>
              <w:pStyle w:val="Compact"/>
              <w:keepNext/>
              <w:keepLines/>
              <w:spacing w:before="0" w:after="0" w:line="240" w:lineRule="auto"/>
              <w:jc w:val="center"/>
            </w:pPr>
            <w:r>
              <w:rPr>
                <w:rFonts w:ascii="Times New Roman" w:hAnsi="Times New Roman"/>
                <w:sz w:val="19"/>
              </w:rPr>
              <w:t xml:space="preserve">500</w:t>
            </w:r>
          </w:p>
        </w:tc>
      </w:tr>
      <w:tr>
        <w:trPr>
          <w:cantSplit/>
        </w:trPr>
        <w:tc>
          <w:tcPr>
            <w:tcW w:type="dxa" w:w="2745"/>
            <w:vAlign w:val="center"/>
          </w:tcPr>
          <w:p>
            <w:pPr>
              <w:pStyle w:val="Compact"/>
              <w:keepNext w:val="0"/>
              <w:keepLines/>
              <w:spacing w:before="0" w:after="0" w:line="240" w:lineRule="auto"/>
              <w:jc w:val="left"/>
            </w:pPr>
            <w:r>
              <w:rPr>
                <w:rFonts w:ascii="Times New Roman" w:hAnsi="Times New Roman"/>
                <w:sz w:val="19"/>
              </w:rPr>
              <w:t xml:space="preserve">Qwen2.5-0.5B-Instruct</w:t>
            </w:r>
          </w:p>
        </w:tc>
        <w:tc>
          <w:tcPr>
            <w:tcW w:type="dxa" w:w="2006"/>
            <w:vAlign w:val="center"/>
          </w:tcPr>
          <w:p>
            <w:pPr>
              <w:pStyle w:val="Compact"/>
              <w:keepNext w:val="0"/>
              <w:keepLines/>
              <w:spacing w:before="0" w:after="0" w:line="240" w:lineRule="auto"/>
              <w:jc w:val="center"/>
            </w:pPr>
            <w:r>
              <w:rPr>
                <w:rFonts w:ascii="Times New Roman" w:hAnsi="Times New Roman"/>
                <w:sz w:val="19"/>
              </w:rPr>
              <w:t xml:space="preserve">10.8</w:t>
            </w:r>
          </w:p>
        </w:tc>
        <w:tc>
          <w:tcPr>
            <w:tcW w:type="dxa" w:w="2428"/>
            <w:vAlign w:val="center"/>
          </w:tcPr>
          <w:p>
            <w:pPr>
              <w:pStyle w:val="Compact"/>
              <w:keepNext w:val="0"/>
              <w:keepLines/>
              <w:spacing w:before="0" w:after="0" w:line="240" w:lineRule="auto"/>
              <w:jc w:val="center"/>
            </w:pPr>
            <w:r>
              <w:rPr>
                <w:rFonts w:ascii="Times New Roman" w:hAnsi="Times New Roman"/>
                <w:sz w:val="19"/>
              </w:rPr>
              <w:t xml:space="preserve">13.2</w:t>
            </w:r>
          </w:p>
        </w:tc>
        <w:tc>
          <w:tcPr>
            <w:tcW w:type="dxa" w:w="1742"/>
            <w:vAlign w:val="center"/>
          </w:tcPr>
          <w:p>
            <w:pPr>
              <w:pStyle w:val="Compact"/>
              <w:keepNext w:val="0"/>
              <w:keepLines/>
              <w:spacing w:before="0" w:after="0" w:line="240" w:lineRule="auto"/>
              <w:jc w:val="center"/>
            </w:pPr>
            <w:r>
              <w:rPr>
                <w:rFonts w:ascii="Times New Roman" w:hAnsi="Times New Roman"/>
                <w:sz w:val="19"/>
              </w:rPr>
              <w:t xml:space="preserve">0.010</w:t>
            </w:r>
          </w:p>
        </w:tc>
        <w:tc>
          <w:tcPr>
            <w:tcW w:type="dxa" w:w="2323"/>
            <w:vAlign w:val="center"/>
          </w:tcPr>
          <w:p>
            <w:pPr>
              <w:pStyle w:val="Compact"/>
              <w:keepNext w:val="0"/>
              <w:keepLines/>
              <w:spacing w:before="0" w:after="0" w:line="240" w:lineRule="auto"/>
              <w:jc w:val="center"/>
            </w:pPr>
            <w:r>
              <w:rPr>
                <w:rFonts w:ascii="Times New Roman" w:hAnsi="Times New Roman"/>
                <w:sz w:val="19"/>
              </w:rPr>
              <w:t xml:space="preserve">−0.1</w:t>
            </w:r>
          </w:p>
        </w:tc>
        <w:tc>
          <w:tcPr>
            <w:tcW w:type="dxa" w:w="2059"/>
            <w:vAlign w:val="center"/>
          </w:tcPr>
          <w:p>
            <w:pPr>
              <w:pStyle w:val="Compact"/>
              <w:keepNext w:val="0"/>
              <w:keepLines/>
              <w:spacing w:before="0" w:after="0" w:line="240" w:lineRule="auto"/>
              <w:jc w:val="center"/>
            </w:pPr>
            <w:r>
              <w:rPr>
                <w:rFonts w:ascii="Times New Roman" w:hAnsi="Times New Roman"/>
                <w:sz w:val="19"/>
              </w:rPr>
              <w:t xml:space="preserve">−0.2</w:t>
            </w:r>
          </w:p>
        </w:tc>
        <w:tc>
          <w:tcPr>
            <w:tcW w:type="dxa" w:w="1267"/>
            <w:vAlign w:val="center"/>
          </w:tcPr>
          <w:p>
            <w:pPr>
              <w:pStyle w:val="Compact"/>
              <w:keepNext w:val="0"/>
              <w:keepLines/>
              <w:spacing w:before="0" w:after="0" w:line="240" w:lineRule="auto"/>
              <w:jc w:val="center"/>
            </w:pPr>
            <w:r>
              <w:rPr>
                <w:rFonts w:ascii="Times New Roman" w:hAnsi="Times New Roman"/>
                <w:sz w:val="19"/>
              </w:rPr>
              <w:t xml:space="preserve">500</w:t>
            </w:r>
          </w:p>
        </w:tc>
      </w:tr>
    </w:tbl>
    <w:p>
      <w:pPr>
        <w:pStyle w:val="BodyText"/>
        <w:spacing w:before="120"/>
      </w:pPr>
      <w:r>
        <w:t xml:space="preserve">The differences between the second and primary generation models in the paired HAI schema and content-following effects are −2.9 (95% confidence interval (CI), −7.0 to 1.4) and −5.5 (CI, −12.4 to 1.4) percentage points. The corresponding differences in the paired TEP top-1 recall and correct-plus-supported effects are −2.2 (CI, −5.9 to 1.5) and −3.4 (CI, −8.0 to 1.2) percentage points. Both generation models show effects in the same direction.</w:t>
      </w:r>
    </w:p>
    <w:p>
      <w:pPr>
        <w:pStyle w:val="BodyText"/>
        <w:spacing w:before="0" w:after="0" w:line="20" w:lineRule="exact"/>
        <w:sectPr>
          <w:type w:val="nextPage"/>
          <w:headerReference w:type="default" r:id="rId9"/>
          <w:footerReference w:type="default" r:id="rId10"/>
          <w:footnotePr>
            <w:numRestart w:val="eachSect"/>
          </w:footnotePr>
          <w:pgSz w:w="16837" w:h="11905" w:orient="landscape"/>
          <w:pgMar w:header="454" w:footer="454" w:left="1133" w:right="1133" w:top="1020" w:bottom="1020"/>
        </w:sectPr>
      </w:pPr>
    </w:p>
    <w:bookmarkEnd w:id="20"/>
    <w:bookmarkStart w:id="24" w:name="Xa260cf5dd64bcd410debb1ab8fc00b38e7b8018"/>
    <w:p>
      <w:pPr>
        <w:pStyle w:val="Heading1"/>
      </w:pPr>
      <w:r>
        <w:t xml:space="preserve">S5. Runtime, Failure Accounting, and Reproducibility</w:t>
      </w:r>
    </w:p>
    <w:p>
      <w:pPr>
        <w:pStyle w:val="FirstParagraph"/>
      </w:pPr>
      <w:r>
        <w:t xml:space="preserve">The complete metric list is grouped by evaluation layer. Structural metrics comprise first-pass strict-JSON and strict-schema success, the record-level dynamic foreign key pass rate, output-limit incidence, truncation, recovery, and failure type. The dynamic foreign key pass rate requires all evidence references in a record to resolve to the current event’s alias set. Provenance metrics cover event-local alias validity, hash consistency, conflict rejection, and source trace-back.</w:t>
      </w:r>
    </w:p>
    <w:p>
      <w:pPr>
        <w:pStyle w:val="BodyText"/>
      </w:pPr>
      <w:r>
        <w:t xml:space="preserve">Content-response metrics comprise citation following under attribute–identifier permutation, direction consistency, order stability, donor-explanation transfer under cross-event content replacement, insufficient-evidence selection, confidence change, and escalation. Diagnostic metrics include macro-averaged top-1 recall and F1, top-3 hit rate, per-fault recall, normal–fault Matthews correlation coefficient, and selective accuracy. Candidate-card relevance is assessed with TEP Hit@</w:t>
      </w:r>
      <m:oMath>
        <m:r>
          <w:rPr>
            <w:rFonts w:ascii="Cambria Math" w:hAnsi="Cambria Math" w:cs="Cambria Math" w:eastAsia="Cambria Math"/>
          </w:rPr>
          <m:t>K</m:t>
        </m:r>
      </m:oMath>
      <w:r>
        <w:t xml:space="preserve">, Precision@</w:t>
      </w:r>
      <m:oMath>
        <m:r>
          <w:rPr>
            <w:rFonts w:ascii="Cambria Math" w:hAnsi="Cambria Math" w:cs="Cambria Math" w:eastAsia="Cambria Math"/>
          </w:rPr>
          <m:t>K</m:t>
        </m:r>
      </m:oMath>
      <w:r>
        <w:t xml:space="preserve">, Recall@</w:t>
      </w:r>
      <m:oMath>
        <m:r>
          <w:rPr>
            <w:rFonts w:ascii="Cambria Math" w:hAnsi="Cambria Math" w:cs="Cambria Math" w:eastAsia="Cambria Math"/>
          </w:rPr>
          <m:t>K</m:t>
        </m:r>
      </m:oMath>
      <w:r>
        <w:t xml:space="preserve">, and normalized discounted cumulative gain at</w:t>
      </w:r>
      <w:r>
        <w:t xml:space="preserve"> </w:t>
      </w:r>
      <m:oMath>
        <m:r>
          <w:rPr>
            <w:rFonts w:ascii="Cambria Math" w:hAnsi="Cambria Math" w:cs="Cambria Math" w:eastAsia="Cambria Math"/>
          </w:rPr>
          <m:t>K</m:t>
        </m:r>
      </m:oMath>
      <w:r>
        <w:t xml:space="preserve">.</w:t>
      </w:r>
    </w:p>
    <w:p>
      <w:pPr>
        <w:pStyle w:val="BodyText"/>
      </w:pPr>
      <w:r>
        <w:t xml:space="preserve">Automated-evaluation and safety metrics comprise the correct-label-plus-supported-explanation rate, full support, counterevidence omission, confidence mismatch, action proportionality, potentially hazardous recommendations, unsupported high-confidence claims, invalid or uncertain judgments, and repeated-call stability. Brier score, calibration slope, and reliability diagrams compare generated confidence with the binary correct-and-supported outcome. Operational metrics comprise input and output token counts, latency, storage per accepted record, and record and request accounting. Storage is reported in kB, and differences between rates are reported in percentage points.</w:t>
      </w:r>
    </w:p>
    <w:p>
      <w:pPr>
        <w:pStyle w:val="BodyText"/>
      </w:pPr>
      <w:r>
        <w:t xml:space="preserve">Detector architecture, seeds, ensemble members, thresholds, and interval post-processing are selected using development data only. Training windows reset at official file boundaries, and each primary online window score is assigned to the window endpoint. The primary generation model is Gemma-4-E2B-it, with frozen model-weight SHA-256</w:t>
      </w:r>
      <w:r>
        <w:t xml:space="preserve"> </w:t>
      </w:r>
      <w:r>
        <w:rPr>
          <w:rStyle w:val="VerbatimChar"/>
        </w:rPr>
        <w:t xml:space="preserve">7d4748d0a8beab6666ce96ae7c98c924a31182204679254a80ad91da8537d9cb</w:t>
      </w:r>
      <w:r>
        <w:t xml:space="preserve">. The schema validator uses jsonschema 4.25.0, constrained decoding uses lm-format-enforcer 0.11.3, and the maximum output length is 768 new tokens. Hardware, operating-system, driver, remaining library, tokenizer, template, and detector versions are not enumerated in this draft and must be added to the versioned environment manifest before submission.</w:t>
      </w:r>
    </w:p>
    <w:p>
      <w:pPr>
        <w:pStyle w:val="BodyText"/>
      </w:pPr>
      <w:r>
        <w:t xml:space="preserve">Figure S3 decomposes the online acceptance path. Pre-invocation provenance conflict, post-invocation structural rejection, safety rejection, and human escalation are stored as distinct audit states; escalation may overlap a rejection and is therefore not added to acceptance and rejection counts.</w:t>
      </w:r>
    </w:p>
    <w:p>
      <w:pPr>
        <w:pStyle w:val="BodyText"/>
        <w:keepNext/>
        <w:spacing w:before="120" w:after="60"/>
        <w:jc w:val="center"/>
      </w:pPr>
      <w:r>
        <w:drawing>
          <wp:inline>
            <wp:extent cx="6080760" cy="2467338"/>
            <wp:effectExtent b="0" l="0" r="0" t="0"/>
            <wp:docPr descr="image" title="" id="22" name="Picture"/>
            <a:graphic>
              <a:graphicData uri="http://schemas.openxmlformats.org/drawingml/2006/picture">
                <pic:pic>
                  <pic:nvPicPr>
                    <pic:cNvPr descr="C:/work/doc_moutain/paper/sensors/fig5_failure_waterfall_en.png" id="23" name="Picture"/>
                    <pic:cNvPicPr>
                      <a:picLocks noChangeArrowheads="1" noChangeAspect="1"/>
                    </pic:cNvPicPr>
                  </pic:nvPicPr>
                  <pic:blipFill>
                    <a:blip r:embed="rId21"/>
                    <a:stretch>
                      <a:fillRect/>
                    </a:stretch>
                  </pic:blipFill>
                  <pic:spPr bwMode="auto">
                    <a:xfrm>
                      <a:off x="0" y="0"/>
                      <a:ext cx="6080760" cy="2467338"/>
                    </a:xfrm>
                    <a:prstGeom prst="rect">
                      <a:avLst/>
                    </a:prstGeom>
                    <a:noFill/>
                    <a:ln w="9525">
                      <a:noFill/>
                      <a:headEnd/>
                      <a:tailEnd/>
                    </a:ln>
                  </pic:spPr>
                </pic:pic>
              </a:graphicData>
            </a:graphic>
          </wp:inline>
        </w:drawing>
      </w:r>
    </w:p>
    <w:p>
      <w:pPr>
        <w:pStyle w:val="Caption"/>
        <w:keepNext w:val="0"/>
      </w:pPr>
      <w:r>
        <w:rPr>
          <w:b/>
          <w:bCs/>
        </w:rPr>
        <w:t xml:space="preserve">Figure S3.</w:t>
      </w:r>
      <w:r>
        <w:t xml:space="preserve"> </w:t>
      </w:r>
      <w:r>
        <w:t xml:space="preserve">Structural and audit failure waterfall. Each record remains in its planned denominator and is counted at the first failed deterministic gate before final acceptance or escalation.</w:t>
      </w:r>
    </w:p>
    <w:p>
      <w:pPr>
        <w:pStyle w:val="BodyText"/>
        <w:spacing w:before="0" w:after="0" w:line="20" w:lineRule="exact"/>
        <w:sectPr>
          <w:type w:val="nextPage"/>
          <w:headerReference w:type="default" r:id="rId9"/>
          <w:footerReference w:type="default" r:id="rId10"/>
          <w:footnotePr>
            <w:numRestart w:val="eachSect"/>
          </w:footnotePr>
          <w:pgSz w:w="11905" w:h="16837" w:orient="portrait"/>
          <w:pgMar w:header="454" w:footer="454" w:left="1133" w:right="1133" w:top="1020" w:bottom="1020"/>
        </w:sectPr>
      </w:pPr>
    </w:p>
    <w:p>
      <w:pPr>
        <w:pStyle w:val="Caption"/>
        <w:keepNext/>
      </w:pPr>
      <w:r>
        <w:rPr>
          <w:b/>
          <w:bCs/>
        </w:rPr>
        <w:t xml:space="preserve">Table S8.</w:t>
      </w:r>
      <w:r>
        <w:t xml:space="preserve"> </w:t>
      </w:r>
      <w:r>
        <w:t xml:space="preserve">End-to-end generation-record accounting for the selected audit subset. The target pool enumerates the planned model-condition records and deterministic references; the reported experiment uses the selected inputs shown below. Human escalation is a disposition that can overlap another state.</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1955"/>
        <w:gridCol w:w="1583"/>
        <w:gridCol w:w="1071"/>
        <w:gridCol w:w="1071"/>
        <w:gridCol w:w="1164"/>
        <w:gridCol w:w="1350"/>
        <w:gridCol w:w="1210"/>
        <w:gridCol w:w="1350"/>
        <w:gridCol w:w="1350"/>
        <w:gridCol w:w="1210"/>
        <w:gridCol w:w="1257"/>
      </w:tblGrid>
      <w:tr>
        <w:trPr>
          <w:tblHeader w:val="on"/>
          <w:cantSplit/>
          <w:tblHeader/>
        </w:trPr>
        <w:tc>
          <w:tcPr>
            <w:tcW w:type="dxa" w:w="1955"/>
            <w:vAlign w:val="center"/>
            <w:shd w:fill="F0F0F0"/>
          </w:tcPr>
          <w:p>
            <w:pPr>
              <w:pStyle w:val="Compact"/>
              <w:keepNext/>
              <w:keepLines/>
              <w:spacing w:before="0" w:after="0" w:line="240" w:lineRule="auto"/>
              <w:jc w:val="left"/>
            </w:pPr>
            <w:r>
              <w:rPr>
                <w:rFonts w:ascii="Times New Roman" w:hAnsi="Times New Roman"/>
                <w:b/>
                <w:bCs/>
                <w:sz w:val="19"/>
              </w:rPr>
              <w:t xml:space="preserve">Scope</w:t>
            </w:r>
          </w:p>
        </w:tc>
        <w:tc>
          <w:tcPr>
            <w:tcW w:type="dxa" w:w="1583"/>
            <w:vAlign w:val="center"/>
            <w:shd w:fill="F0F0F0"/>
          </w:tcPr>
          <w:p>
            <w:pPr>
              <w:pStyle w:val="Compact"/>
              <w:keepNext/>
              <w:keepLines/>
              <w:spacing w:before="0" w:after="0" w:line="240" w:lineRule="auto"/>
              <w:jc w:val="center"/>
            </w:pPr>
            <w:r>
              <w:rPr>
                <w:rFonts w:ascii="Times New Roman" w:hAnsi="Times New Roman"/>
                <w:b/>
                <w:bCs/>
                <w:sz w:val="19"/>
              </w:rPr>
              <w:t xml:space="preserve">Independent unit</w:t>
            </w:r>
          </w:p>
        </w:tc>
        <w:tc>
          <w:tcPr>
            <w:tcW w:type="dxa" w:w="1071"/>
            <w:vAlign w:val="center"/>
            <w:shd w:fill="F0F0F0"/>
          </w:tcPr>
          <w:p>
            <w:pPr>
              <w:pStyle w:val="Compact"/>
              <w:keepNext/>
              <w:keepLines/>
              <w:spacing w:before="0" w:after="0" w:line="240" w:lineRule="auto"/>
              <w:jc w:val="center"/>
            </w:pPr>
            <w:r>
              <w:rPr>
                <w:rFonts w:ascii="Times New Roman" w:hAnsi="Times New Roman"/>
                <w:b/>
                <w:bCs/>
                <w:sz w:val="19"/>
              </w:rPr>
              <w:t xml:space="preserve">Target pool</w:t>
            </w:r>
          </w:p>
        </w:tc>
        <w:tc>
          <w:tcPr>
            <w:tcW w:type="dxa" w:w="1071"/>
            <w:vAlign w:val="center"/>
            <w:shd w:fill="F0F0F0"/>
          </w:tcPr>
          <w:p>
            <w:pPr>
              <w:pStyle w:val="Compact"/>
              <w:keepNext/>
              <w:keepLines/>
              <w:spacing w:before="0" w:after="0" w:line="240" w:lineRule="auto"/>
              <w:jc w:val="center"/>
            </w:pPr>
            <w:r>
              <w:rPr>
                <w:rFonts w:ascii="Times New Roman" w:hAnsi="Times New Roman"/>
                <w:b/>
                <w:bCs/>
                <w:sz w:val="19"/>
              </w:rPr>
              <w:t xml:space="preserve">Not selected</w:t>
            </w:r>
          </w:p>
        </w:tc>
        <w:tc>
          <w:tcPr>
            <w:tcW w:type="dxa" w:w="1164"/>
            <w:vAlign w:val="center"/>
            <w:shd w:fill="F0F0F0"/>
          </w:tcPr>
          <w:p>
            <w:pPr>
              <w:pStyle w:val="Compact"/>
              <w:keepNext/>
              <w:keepLines/>
              <w:spacing w:before="0" w:after="0" w:line="240" w:lineRule="auto"/>
              <w:jc w:val="center"/>
            </w:pPr>
            <w:r>
              <w:rPr>
                <w:rFonts w:ascii="Times New Roman" w:hAnsi="Times New Roman"/>
                <w:b/>
                <w:bCs/>
                <w:sz w:val="19"/>
              </w:rPr>
              <w:t xml:space="preserve">Selected inputs</w:t>
            </w:r>
          </w:p>
        </w:tc>
        <w:tc>
          <w:tcPr>
            <w:tcW w:type="dxa" w:w="1350"/>
            <w:vAlign w:val="center"/>
            <w:shd w:fill="F0F0F0"/>
          </w:tcPr>
          <w:p>
            <w:pPr>
              <w:pStyle w:val="Compact"/>
              <w:keepNext/>
              <w:keepLines/>
              <w:spacing w:before="0" w:after="0" w:line="240" w:lineRule="auto"/>
              <w:jc w:val="center"/>
            </w:pPr>
            <w:r>
              <w:rPr>
                <w:rFonts w:ascii="Times New Roman" w:hAnsi="Times New Roman"/>
                <w:b/>
                <w:bCs/>
                <w:sz w:val="19"/>
              </w:rPr>
              <w:t xml:space="preserve">Pre-invocation rejection</w:t>
            </w:r>
          </w:p>
        </w:tc>
        <w:tc>
          <w:tcPr>
            <w:tcW w:type="dxa" w:w="1210"/>
            <w:vAlign w:val="center"/>
            <w:shd w:fill="F0F0F0"/>
          </w:tcPr>
          <w:p>
            <w:pPr>
              <w:pStyle w:val="Compact"/>
              <w:keepNext/>
              <w:keepLines/>
              <w:spacing w:before="0" w:after="0" w:line="240" w:lineRule="auto"/>
              <w:jc w:val="center"/>
            </w:pPr>
            <w:r>
              <w:rPr>
                <w:rFonts w:ascii="Times New Roman" w:hAnsi="Times New Roman"/>
                <w:b/>
                <w:bCs/>
                <w:sz w:val="19"/>
              </w:rPr>
              <w:t xml:space="preserve">Generation calls</w:t>
            </w:r>
          </w:p>
        </w:tc>
        <w:tc>
          <w:tcPr>
            <w:tcW w:type="dxa" w:w="1350"/>
            <w:vAlign w:val="center"/>
            <w:shd w:fill="F0F0F0"/>
          </w:tcPr>
          <w:p>
            <w:pPr>
              <w:pStyle w:val="Compact"/>
              <w:keepNext/>
              <w:keepLines/>
              <w:spacing w:before="0" w:after="0" w:line="240" w:lineRule="auto"/>
              <w:jc w:val="center"/>
            </w:pPr>
            <w:r>
              <w:rPr>
                <w:rFonts w:ascii="Times New Roman" w:hAnsi="Times New Roman"/>
                <w:b/>
                <w:bCs/>
                <w:sz w:val="19"/>
              </w:rPr>
              <w:t xml:space="preserve">Structural acceptance</w:t>
            </w:r>
          </w:p>
        </w:tc>
        <w:tc>
          <w:tcPr>
            <w:tcW w:type="dxa" w:w="1350"/>
            <w:vAlign w:val="center"/>
            <w:shd w:fill="F0F0F0"/>
          </w:tcPr>
          <w:p>
            <w:pPr>
              <w:pStyle w:val="Compact"/>
              <w:keepNext/>
              <w:keepLines/>
              <w:spacing w:before="0" w:after="0" w:line="240" w:lineRule="auto"/>
              <w:jc w:val="center"/>
            </w:pPr>
            <w:r>
              <w:rPr>
                <w:rFonts w:ascii="Times New Roman" w:hAnsi="Times New Roman"/>
                <w:b/>
                <w:bCs/>
                <w:sz w:val="19"/>
              </w:rPr>
              <w:t xml:space="preserve">Structural rejection</w:t>
            </w:r>
          </w:p>
        </w:tc>
        <w:tc>
          <w:tcPr>
            <w:tcW w:type="dxa" w:w="1210"/>
            <w:vAlign w:val="center"/>
            <w:shd w:fill="F0F0F0"/>
          </w:tcPr>
          <w:p>
            <w:pPr>
              <w:pStyle w:val="Compact"/>
              <w:keepNext/>
              <w:keepLines/>
              <w:spacing w:before="0" w:after="0" w:line="240" w:lineRule="auto"/>
              <w:jc w:val="center"/>
            </w:pPr>
            <w:r>
              <w:rPr>
                <w:rFonts w:ascii="Times New Roman" w:hAnsi="Times New Roman"/>
                <w:b/>
                <w:bCs/>
                <w:sz w:val="19"/>
              </w:rPr>
              <w:t xml:space="preserve">Safety rejection</w:t>
            </w:r>
          </w:p>
        </w:tc>
        <w:tc>
          <w:tcPr>
            <w:tcW w:type="dxa" w:w="1257"/>
            <w:vAlign w:val="center"/>
            <w:shd w:fill="F0F0F0"/>
          </w:tcPr>
          <w:p>
            <w:pPr>
              <w:pStyle w:val="Compact"/>
              <w:keepNext/>
              <w:keepLines/>
              <w:spacing w:before="0" w:after="0" w:line="240" w:lineRule="auto"/>
              <w:jc w:val="center"/>
            </w:pPr>
            <w:r>
              <w:rPr>
                <w:rFonts w:ascii="Times New Roman" w:hAnsi="Times New Roman"/>
                <w:b/>
                <w:bCs/>
                <w:sz w:val="19"/>
              </w:rPr>
              <w:t xml:space="preserve">Human escalation</w:t>
            </w:r>
          </w:p>
        </w:tc>
      </w:tr>
      <w:tr>
        <w:trPr>
          <w:cantSplit/>
        </w:trPr>
        <w:tc>
          <w:tcPr>
            <w:tcW w:type="dxa" w:w="1955"/>
            <w:vAlign w:val="center"/>
          </w:tcPr>
          <w:p>
            <w:pPr>
              <w:pStyle w:val="Compact"/>
              <w:keepNext/>
              <w:keepLines/>
              <w:spacing w:before="0" w:after="0" w:line="240" w:lineRule="auto"/>
              <w:jc w:val="left"/>
            </w:pPr>
            <w:r>
              <w:rPr>
                <w:rFonts w:ascii="Times New Roman" w:hAnsi="Times New Roman"/>
                <w:sz w:val="19"/>
              </w:rPr>
              <w:t xml:space="preserve">HAI primary model</w:t>
            </w:r>
          </w:p>
        </w:tc>
        <w:tc>
          <w:tcPr>
            <w:tcW w:type="dxa" w:w="1583"/>
            <w:vAlign w:val="center"/>
          </w:tcPr>
          <w:p>
            <w:pPr>
              <w:pStyle w:val="Compact"/>
              <w:keepNext/>
              <w:keepLines/>
              <w:spacing w:before="0" w:after="0" w:line="240" w:lineRule="auto"/>
              <w:jc w:val="center"/>
            </w:pPr>
            <w:r>
              <w:rPr>
                <w:rFonts w:ascii="Times New Roman" w:hAnsi="Times New Roman"/>
                <w:sz w:val="19"/>
              </w:rPr>
              <w:t xml:space="preserve">50 clusters</w:t>
            </w:r>
          </w:p>
        </w:tc>
        <w:tc>
          <w:tcPr>
            <w:tcW w:type="dxa" w:w="1071"/>
            <w:vAlign w:val="center"/>
          </w:tcPr>
          <w:p>
            <w:pPr>
              <w:pStyle w:val="Compact"/>
              <w:keepNext/>
              <w:keepLines/>
              <w:spacing w:before="0" w:after="0" w:line="240" w:lineRule="auto"/>
              <w:jc w:val="center"/>
            </w:pPr>
            <w:r>
              <w:rPr>
                <w:rFonts w:ascii="Times New Roman" w:hAnsi="Times New Roman"/>
                <w:sz w:val="19"/>
              </w:rPr>
              <w:t xml:space="preserve">1364</w:t>
            </w:r>
          </w:p>
        </w:tc>
        <w:tc>
          <w:tcPr>
            <w:tcW w:type="dxa" w:w="1071"/>
            <w:vAlign w:val="center"/>
          </w:tcPr>
          <w:p>
            <w:pPr>
              <w:pStyle w:val="Compact"/>
              <w:keepNext/>
              <w:keepLines/>
              <w:spacing w:before="0" w:after="0" w:line="240" w:lineRule="auto"/>
              <w:jc w:val="center"/>
            </w:pPr>
            <w:r>
              <w:rPr>
                <w:rFonts w:ascii="Times New Roman" w:hAnsi="Times New Roman"/>
                <w:sz w:val="19"/>
              </w:rPr>
              <w:t xml:space="preserve">0</w:t>
            </w:r>
          </w:p>
        </w:tc>
        <w:tc>
          <w:tcPr>
            <w:tcW w:type="dxa" w:w="1164"/>
            <w:vAlign w:val="center"/>
          </w:tcPr>
          <w:p>
            <w:pPr>
              <w:pStyle w:val="Compact"/>
              <w:keepNext/>
              <w:keepLines/>
              <w:spacing w:before="0" w:after="0" w:line="240" w:lineRule="auto"/>
              <w:jc w:val="center"/>
            </w:pPr>
            <w:r>
              <w:rPr>
                <w:rFonts w:ascii="Times New Roman" w:hAnsi="Times New Roman"/>
                <w:sz w:val="19"/>
              </w:rPr>
              <w:t xml:space="preserve">1364</w:t>
            </w:r>
          </w:p>
        </w:tc>
        <w:tc>
          <w:tcPr>
            <w:tcW w:type="dxa" w:w="1350"/>
            <w:vAlign w:val="center"/>
          </w:tcPr>
          <w:p>
            <w:pPr>
              <w:pStyle w:val="Compact"/>
              <w:keepNext/>
              <w:keepLines/>
              <w:spacing w:before="0" w:after="0" w:line="240" w:lineRule="auto"/>
              <w:jc w:val="center"/>
            </w:pPr>
            <w:r>
              <w:rPr>
                <w:rFonts w:ascii="Times New Roman" w:hAnsi="Times New Roman"/>
                <w:sz w:val="19"/>
              </w:rPr>
              <w:t xml:space="preserve">134</w:t>
            </w:r>
          </w:p>
        </w:tc>
        <w:tc>
          <w:tcPr>
            <w:tcW w:type="dxa" w:w="1210"/>
            <w:vAlign w:val="center"/>
          </w:tcPr>
          <w:p>
            <w:pPr>
              <w:pStyle w:val="Compact"/>
              <w:keepNext/>
              <w:keepLines/>
              <w:spacing w:before="0" w:after="0" w:line="240" w:lineRule="auto"/>
              <w:jc w:val="center"/>
            </w:pPr>
            <w:r>
              <w:rPr>
                <w:rFonts w:ascii="Times New Roman" w:hAnsi="Times New Roman"/>
                <w:sz w:val="19"/>
              </w:rPr>
              <w:t xml:space="preserve">1230</w:t>
            </w:r>
          </w:p>
        </w:tc>
        <w:tc>
          <w:tcPr>
            <w:tcW w:type="dxa" w:w="1350"/>
            <w:vAlign w:val="center"/>
          </w:tcPr>
          <w:p>
            <w:pPr>
              <w:pStyle w:val="Compact"/>
              <w:keepNext/>
              <w:keepLines/>
              <w:spacing w:before="0" w:after="0" w:line="240" w:lineRule="auto"/>
              <w:jc w:val="center"/>
            </w:pPr>
            <w:r>
              <w:rPr>
                <w:rFonts w:ascii="Times New Roman" w:hAnsi="Times New Roman"/>
                <w:sz w:val="19"/>
              </w:rPr>
              <w:t xml:space="preserve">1158</w:t>
            </w:r>
          </w:p>
        </w:tc>
        <w:tc>
          <w:tcPr>
            <w:tcW w:type="dxa" w:w="1350"/>
            <w:vAlign w:val="center"/>
          </w:tcPr>
          <w:p>
            <w:pPr>
              <w:pStyle w:val="Compact"/>
              <w:keepNext/>
              <w:keepLines/>
              <w:spacing w:before="0" w:after="0" w:line="240" w:lineRule="auto"/>
              <w:jc w:val="center"/>
            </w:pPr>
            <w:r>
              <w:rPr>
                <w:rFonts w:ascii="Times New Roman" w:hAnsi="Times New Roman"/>
                <w:sz w:val="19"/>
              </w:rPr>
              <w:t xml:space="preserve">72</w:t>
            </w:r>
          </w:p>
        </w:tc>
        <w:tc>
          <w:tcPr>
            <w:tcW w:type="dxa" w:w="1210"/>
            <w:vAlign w:val="center"/>
          </w:tcPr>
          <w:p>
            <w:pPr>
              <w:pStyle w:val="Compact"/>
              <w:keepNext/>
              <w:keepLines/>
              <w:spacing w:before="0" w:after="0" w:line="240" w:lineRule="auto"/>
              <w:jc w:val="center"/>
            </w:pPr>
            <w:r>
              <w:rPr>
                <w:rFonts w:ascii="Times New Roman" w:hAnsi="Times New Roman"/>
                <w:sz w:val="19"/>
              </w:rPr>
              <w:t xml:space="preserve">19</w:t>
            </w:r>
          </w:p>
        </w:tc>
        <w:tc>
          <w:tcPr>
            <w:tcW w:type="dxa" w:w="1257"/>
            <w:vAlign w:val="center"/>
          </w:tcPr>
          <w:p>
            <w:pPr>
              <w:pStyle w:val="Compact"/>
              <w:keepNext/>
              <w:keepLines/>
              <w:spacing w:before="0" w:after="0" w:line="240" w:lineRule="auto"/>
              <w:jc w:val="center"/>
            </w:pPr>
            <w:r>
              <w:rPr>
                <w:rFonts w:ascii="Times New Roman" w:hAnsi="Times New Roman"/>
                <w:sz w:val="19"/>
              </w:rPr>
              <w:t xml:space="preserve">183</w:t>
            </w:r>
          </w:p>
        </w:tc>
      </w:tr>
      <w:tr>
        <w:trPr>
          <w:cantSplit/>
        </w:trPr>
        <w:tc>
          <w:tcPr>
            <w:tcW w:type="dxa" w:w="1955"/>
            <w:vAlign w:val="center"/>
          </w:tcPr>
          <w:p>
            <w:pPr>
              <w:pStyle w:val="Compact"/>
              <w:keepNext/>
              <w:keepLines/>
              <w:spacing w:before="0" w:after="0" w:line="240" w:lineRule="auto"/>
              <w:jc w:val="left"/>
            </w:pPr>
            <w:r>
              <w:rPr>
                <w:rFonts w:ascii="Times New Roman" w:hAnsi="Times New Roman"/>
                <w:sz w:val="19"/>
              </w:rPr>
              <w:t xml:space="preserve">TEP primary model</w:t>
            </w:r>
          </w:p>
        </w:tc>
        <w:tc>
          <w:tcPr>
            <w:tcW w:type="dxa" w:w="1583"/>
            <w:vAlign w:val="center"/>
          </w:tcPr>
          <w:p>
            <w:pPr>
              <w:pStyle w:val="Compact"/>
              <w:keepNext/>
              <w:keepLines/>
              <w:spacing w:before="0" w:after="0" w:line="240" w:lineRule="auto"/>
              <w:jc w:val="center"/>
            </w:pPr>
            <w:r>
              <w:rPr>
                <w:rFonts w:ascii="Times New Roman" w:hAnsi="Times New Roman"/>
                <w:sz w:val="19"/>
              </w:rPr>
              <w:t xml:space="preserve">500 runs</w:t>
            </w:r>
          </w:p>
        </w:tc>
        <w:tc>
          <w:tcPr>
            <w:tcW w:type="dxa" w:w="1071"/>
            <w:vAlign w:val="center"/>
          </w:tcPr>
          <w:p>
            <w:pPr>
              <w:pStyle w:val="Compact"/>
              <w:keepNext/>
              <w:keepLines/>
              <w:spacing w:before="0" w:after="0" w:line="240" w:lineRule="auto"/>
              <w:jc w:val="center"/>
            </w:pPr>
            <w:r>
              <w:rPr>
                <w:rFonts w:ascii="Times New Roman" w:hAnsi="Times New Roman"/>
                <w:sz w:val="19"/>
              </w:rPr>
              <w:t xml:space="preserve">3000</w:t>
            </w:r>
          </w:p>
        </w:tc>
        <w:tc>
          <w:tcPr>
            <w:tcW w:type="dxa" w:w="1071"/>
            <w:vAlign w:val="center"/>
          </w:tcPr>
          <w:p>
            <w:pPr>
              <w:pStyle w:val="Compact"/>
              <w:keepNext/>
              <w:keepLines/>
              <w:spacing w:before="0" w:after="0" w:line="240" w:lineRule="auto"/>
              <w:jc w:val="center"/>
            </w:pPr>
            <w:r>
              <w:rPr>
                <w:rFonts w:ascii="Times New Roman" w:hAnsi="Times New Roman"/>
                <w:sz w:val="19"/>
              </w:rPr>
              <w:t xml:space="preserve">1000</w:t>
            </w:r>
          </w:p>
        </w:tc>
        <w:tc>
          <w:tcPr>
            <w:tcW w:type="dxa" w:w="1164"/>
            <w:vAlign w:val="center"/>
          </w:tcPr>
          <w:p>
            <w:pPr>
              <w:pStyle w:val="Compact"/>
              <w:keepNext/>
              <w:keepLines/>
              <w:spacing w:before="0" w:after="0" w:line="240" w:lineRule="auto"/>
              <w:jc w:val="center"/>
            </w:pPr>
            <w:r>
              <w:rPr>
                <w:rFonts w:ascii="Times New Roman" w:hAnsi="Times New Roman"/>
                <w:sz w:val="19"/>
              </w:rPr>
              <w:t xml:space="preserve">2000</w:t>
            </w:r>
          </w:p>
        </w:tc>
        <w:tc>
          <w:tcPr>
            <w:tcW w:type="dxa" w:w="1350"/>
            <w:vAlign w:val="center"/>
          </w:tcPr>
          <w:p>
            <w:pPr>
              <w:pStyle w:val="Compact"/>
              <w:keepNext/>
              <w:keepLines/>
              <w:spacing w:before="0" w:after="0" w:line="240" w:lineRule="auto"/>
              <w:jc w:val="center"/>
            </w:pPr>
            <w:r>
              <w:rPr>
                <w:rFonts w:ascii="Times New Roman" w:hAnsi="Times New Roman"/>
                <w:sz w:val="19"/>
              </w:rPr>
              <w:t xml:space="preserve">500</w:t>
            </w:r>
          </w:p>
        </w:tc>
        <w:tc>
          <w:tcPr>
            <w:tcW w:type="dxa" w:w="1210"/>
            <w:vAlign w:val="center"/>
          </w:tcPr>
          <w:p>
            <w:pPr>
              <w:pStyle w:val="Compact"/>
              <w:keepNext/>
              <w:keepLines/>
              <w:spacing w:before="0" w:after="0" w:line="240" w:lineRule="auto"/>
              <w:jc w:val="center"/>
            </w:pPr>
            <w:r>
              <w:rPr>
                <w:rFonts w:ascii="Times New Roman" w:hAnsi="Times New Roman"/>
                <w:sz w:val="19"/>
              </w:rPr>
              <w:t xml:space="preserve">1500</w:t>
            </w:r>
          </w:p>
        </w:tc>
        <w:tc>
          <w:tcPr>
            <w:tcW w:type="dxa" w:w="1350"/>
            <w:vAlign w:val="center"/>
          </w:tcPr>
          <w:p>
            <w:pPr>
              <w:pStyle w:val="Compact"/>
              <w:keepNext/>
              <w:keepLines/>
              <w:spacing w:before="0" w:after="0" w:line="240" w:lineRule="auto"/>
              <w:jc w:val="center"/>
            </w:pPr>
            <w:r>
              <w:rPr>
                <w:rFonts w:ascii="Times New Roman" w:hAnsi="Times New Roman"/>
                <w:sz w:val="19"/>
              </w:rPr>
              <w:t xml:space="preserve">1442</w:t>
            </w:r>
          </w:p>
        </w:tc>
        <w:tc>
          <w:tcPr>
            <w:tcW w:type="dxa" w:w="1350"/>
            <w:vAlign w:val="center"/>
          </w:tcPr>
          <w:p>
            <w:pPr>
              <w:pStyle w:val="Compact"/>
              <w:keepNext/>
              <w:keepLines/>
              <w:spacing w:before="0" w:after="0" w:line="240" w:lineRule="auto"/>
              <w:jc w:val="center"/>
            </w:pPr>
            <w:r>
              <w:rPr>
                <w:rFonts w:ascii="Times New Roman" w:hAnsi="Times New Roman"/>
                <w:sz w:val="19"/>
              </w:rPr>
              <w:t xml:space="preserve">58</w:t>
            </w:r>
          </w:p>
        </w:tc>
        <w:tc>
          <w:tcPr>
            <w:tcW w:type="dxa" w:w="1210"/>
            <w:vAlign w:val="center"/>
          </w:tcPr>
          <w:p>
            <w:pPr>
              <w:pStyle w:val="Compact"/>
              <w:keepNext/>
              <w:keepLines/>
              <w:spacing w:before="0" w:after="0" w:line="240" w:lineRule="auto"/>
              <w:jc w:val="center"/>
            </w:pPr>
            <w:r>
              <w:rPr>
                <w:rFonts w:ascii="Times New Roman" w:hAnsi="Times New Roman"/>
                <w:sz w:val="19"/>
              </w:rPr>
              <w:t xml:space="preserve">31</w:t>
            </w:r>
          </w:p>
        </w:tc>
        <w:tc>
          <w:tcPr>
            <w:tcW w:type="dxa" w:w="1257"/>
            <w:vAlign w:val="center"/>
          </w:tcPr>
          <w:p>
            <w:pPr>
              <w:pStyle w:val="Compact"/>
              <w:keepNext/>
              <w:keepLines/>
              <w:spacing w:before="0" w:after="0" w:line="240" w:lineRule="auto"/>
              <w:jc w:val="center"/>
            </w:pPr>
            <w:r>
              <w:rPr>
                <w:rFonts w:ascii="Times New Roman" w:hAnsi="Times New Roman"/>
                <w:sz w:val="19"/>
              </w:rPr>
              <w:t xml:space="preserve">276</w:t>
            </w:r>
          </w:p>
        </w:tc>
      </w:tr>
      <w:tr>
        <w:trPr>
          <w:cantSplit/>
        </w:trPr>
        <w:tc>
          <w:tcPr>
            <w:tcW w:type="dxa" w:w="1955"/>
            <w:vAlign w:val="center"/>
          </w:tcPr>
          <w:p>
            <w:pPr>
              <w:pStyle w:val="Compact"/>
              <w:keepNext w:val="0"/>
              <w:keepLines/>
              <w:spacing w:before="0" w:after="0" w:line="240" w:lineRule="auto"/>
              <w:jc w:val="left"/>
            </w:pPr>
            <w:r>
              <w:rPr>
                <w:rFonts w:ascii="Times New Roman" w:hAnsi="Times New Roman"/>
                <w:sz w:val="19"/>
              </w:rPr>
              <w:t xml:space="preserve">TEP second model</w:t>
            </w:r>
          </w:p>
        </w:tc>
        <w:tc>
          <w:tcPr>
            <w:tcW w:type="dxa" w:w="1583"/>
            <w:vAlign w:val="center"/>
          </w:tcPr>
          <w:p>
            <w:pPr>
              <w:pStyle w:val="Compact"/>
              <w:keepNext w:val="0"/>
              <w:keepLines/>
              <w:spacing w:before="0" w:after="0" w:line="240" w:lineRule="auto"/>
              <w:jc w:val="center"/>
            </w:pPr>
            <w:r>
              <w:rPr>
                <w:rFonts w:ascii="Times New Roman" w:hAnsi="Times New Roman"/>
                <w:sz w:val="19"/>
              </w:rPr>
              <w:t xml:space="preserve">500 runs</w:t>
            </w:r>
          </w:p>
        </w:tc>
        <w:tc>
          <w:tcPr>
            <w:tcW w:type="dxa" w:w="1071"/>
            <w:vAlign w:val="center"/>
          </w:tcPr>
          <w:p>
            <w:pPr>
              <w:pStyle w:val="Compact"/>
              <w:keepNext w:val="0"/>
              <w:keepLines/>
              <w:spacing w:before="0" w:after="0" w:line="240" w:lineRule="auto"/>
              <w:jc w:val="center"/>
            </w:pPr>
            <w:r>
              <w:rPr>
                <w:rFonts w:ascii="Times New Roman" w:hAnsi="Times New Roman"/>
                <w:sz w:val="19"/>
              </w:rPr>
              <w:t xml:space="preserve">3000</w:t>
            </w:r>
          </w:p>
        </w:tc>
        <w:tc>
          <w:tcPr>
            <w:tcW w:type="dxa" w:w="1071"/>
            <w:vAlign w:val="center"/>
          </w:tcPr>
          <w:p>
            <w:pPr>
              <w:pStyle w:val="Compact"/>
              <w:keepNext w:val="0"/>
              <w:keepLines/>
              <w:spacing w:before="0" w:after="0" w:line="240" w:lineRule="auto"/>
              <w:jc w:val="center"/>
            </w:pPr>
            <w:r>
              <w:rPr>
                <w:rFonts w:ascii="Times New Roman" w:hAnsi="Times New Roman"/>
                <w:sz w:val="19"/>
              </w:rPr>
              <w:t xml:space="preserve">1000</w:t>
            </w:r>
          </w:p>
        </w:tc>
        <w:tc>
          <w:tcPr>
            <w:tcW w:type="dxa" w:w="1164"/>
            <w:vAlign w:val="center"/>
          </w:tcPr>
          <w:p>
            <w:pPr>
              <w:pStyle w:val="Compact"/>
              <w:keepNext w:val="0"/>
              <w:keepLines/>
              <w:spacing w:before="0" w:after="0" w:line="240" w:lineRule="auto"/>
              <w:jc w:val="center"/>
            </w:pPr>
            <w:r>
              <w:rPr>
                <w:rFonts w:ascii="Times New Roman" w:hAnsi="Times New Roman"/>
                <w:sz w:val="19"/>
              </w:rPr>
              <w:t xml:space="preserve">2000</w:t>
            </w:r>
          </w:p>
        </w:tc>
        <w:tc>
          <w:tcPr>
            <w:tcW w:type="dxa" w:w="1350"/>
            <w:vAlign w:val="center"/>
          </w:tcPr>
          <w:p>
            <w:pPr>
              <w:pStyle w:val="Compact"/>
              <w:keepNext w:val="0"/>
              <w:keepLines/>
              <w:spacing w:before="0" w:after="0" w:line="240" w:lineRule="auto"/>
              <w:jc w:val="center"/>
            </w:pPr>
            <w:r>
              <w:rPr>
                <w:rFonts w:ascii="Times New Roman" w:hAnsi="Times New Roman"/>
                <w:sz w:val="19"/>
              </w:rPr>
              <w:t xml:space="preserve">500</w:t>
            </w:r>
          </w:p>
        </w:tc>
        <w:tc>
          <w:tcPr>
            <w:tcW w:type="dxa" w:w="1210"/>
            <w:vAlign w:val="center"/>
          </w:tcPr>
          <w:p>
            <w:pPr>
              <w:pStyle w:val="Compact"/>
              <w:keepNext w:val="0"/>
              <w:keepLines/>
              <w:spacing w:before="0" w:after="0" w:line="240" w:lineRule="auto"/>
              <w:jc w:val="center"/>
            </w:pPr>
            <w:r>
              <w:rPr>
                <w:rFonts w:ascii="Times New Roman" w:hAnsi="Times New Roman"/>
                <w:sz w:val="19"/>
              </w:rPr>
              <w:t xml:space="preserve">1500</w:t>
            </w:r>
          </w:p>
        </w:tc>
        <w:tc>
          <w:tcPr>
            <w:tcW w:type="dxa" w:w="1350"/>
            <w:vAlign w:val="center"/>
          </w:tcPr>
          <w:p>
            <w:pPr>
              <w:pStyle w:val="Compact"/>
              <w:keepNext w:val="0"/>
              <w:keepLines/>
              <w:spacing w:before="0" w:after="0" w:line="240" w:lineRule="auto"/>
              <w:jc w:val="center"/>
            </w:pPr>
            <w:r>
              <w:rPr>
                <w:rFonts w:ascii="Times New Roman" w:hAnsi="Times New Roman"/>
                <w:sz w:val="19"/>
              </w:rPr>
              <w:t xml:space="preserve">1419</w:t>
            </w:r>
          </w:p>
        </w:tc>
        <w:tc>
          <w:tcPr>
            <w:tcW w:type="dxa" w:w="1350"/>
            <w:vAlign w:val="center"/>
          </w:tcPr>
          <w:p>
            <w:pPr>
              <w:pStyle w:val="Compact"/>
              <w:keepNext w:val="0"/>
              <w:keepLines/>
              <w:spacing w:before="0" w:after="0" w:line="240" w:lineRule="auto"/>
              <w:jc w:val="center"/>
            </w:pPr>
            <w:r>
              <w:rPr>
                <w:rFonts w:ascii="Times New Roman" w:hAnsi="Times New Roman"/>
                <w:sz w:val="19"/>
              </w:rPr>
              <w:t xml:space="preserve">81</w:t>
            </w:r>
          </w:p>
        </w:tc>
        <w:tc>
          <w:tcPr>
            <w:tcW w:type="dxa" w:w="1210"/>
            <w:vAlign w:val="center"/>
          </w:tcPr>
          <w:p>
            <w:pPr>
              <w:pStyle w:val="Compact"/>
              <w:keepNext w:val="0"/>
              <w:keepLines/>
              <w:spacing w:before="0" w:after="0" w:line="240" w:lineRule="auto"/>
              <w:jc w:val="center"/>
            </w:pPr>
            <w:r>
              <w:rPr>
                <w:rFonts w:ascii="Times New Roman" w:hAnsi="Times New Roman"/>
                <w:sz w:val="19"/>
              </w:rPr>
              <w:t xml:space="preserve">34</w:t>
            </w:r>
          </w:p>
        </w:tc>
        <w:tc>
          <w:tcPr>
            <w:tcW w:type="dxa" w:w="1257"/>
            <w:vAlign w:val="center"/>
          </w:tcPr>
          <w:p>
            <w:pPr>
              <w:pStyle w:val="Compact"/>
              <w:keepNext w:val="0"/>
              <w:keepLines/>
              <w:spacing w:before="0" w:after="0" w:line="240" w:lineRule="auto"/>
              <w:jc w:val="center"/>
            </w:pPr>
            <w:r>
              <w:rPr>
                <w:rFonts w:ascii="Times New Roman" w:hAnsi="Times New Roman"/>
                <w:sz w:val="19"/>
              </w:rPr>
              <w:t xml:space="preserve">294</w:t>
            </w:r>
          </w:p>
        </w:tc>
      </w:tr>
    </w:tbl>
    <w:p>
      <w:pPr>
        <w:pStyle w:val="BodyText"/>
        <w:spacing w:before="120"/>
        <w:jc w:val="left"/>
      </w:pPr>
      <w:r>
        <w:rPr>
          <w:sz w:val="19"/>
        </w:rPr>
        <w:t xml:space="preserve">For each TEP model, the target pool contains five model-condition records and one deterministic reference per run. An excerpt of 2,000 records was selected for the end-to-end audit: 500 were rejected before invocation and 1,500 proceeded to generation. Thus, selected inputs equal pre-invocation rejections plus generation calls, and generation calls equal structural acceptances plus structural rejections.</w:t>
      </w:r>
      <w:r>
        <w:t xml:space="preserve"> Table S8 counts selected inputs and their progression through the audit gates. Table S9 separately counts records submitted for automated semantic evaluation. The two tables serve different accounting purposes, and their totals are not interchangeable denominators.</w:t>
      </w:r>
    </w:p>
    <w:p>
      <w:pPr>
        <w:pStyle w:val="Caption"/>
        <w:keepNext/>
      </w:pPr>
      <w:r>
        <w:rPr>
          <w:b/>
          <w:bCs/>
        </w:rPr>
        <w:t xml:space="preserve">Table S9.</w:t>
      </w:r>
      <w:r>
        <w:t xml:space="preserve"> </w:t>
      </w:r>
      <w:r>
        <w:t xml:space="preserve">Requests to the automated evaluator. Request counts are audit quantities, not sample sizes.</w:t>
      </w:r>
    </w:p>
    <w:tbl>
      <w:tblPr>
        <w:tblStyle w:val="Table"/>
        <w:tblW w:type="auto" w:w="0"/>
        <w:jc w:val="center"/>
        <w:tblLayout w:type="fixed"/>
        <w:tblLook w:firstRow="1" w:lastRow="0" w:firstColumn="0" w:lastColumn="0" w:noHBand="0" w:noVBand="0" w:val="0020"/>
        <w:tblBorders>
          <w:top w:val="single" w:color="D9D9D9" w:sz="4"/>
          <w:left w:val="single" w:color="D9D9D9" w:sz="4"/>
          <w:bottom w:val="single" w:color="D9D9D9" w:sz="4"/>
          <w:right w:val="single" w:color="D9D9D9" w:sz="4"/>
          <w:insideH w:val="single" w:color="D9D9D9" w:sz="4"/>
          <w:insideV w:val="single" w:color="D9D9D9" w:sz="4"/>
        </w:tblBorders>
        <w:tblCellMar>
          <w:top w:w="75" w:type="dxa"/>
          <w:bottom w:w="75" w:type="dxa"/>
          <w:left w:w="80" w:type="dxa"/>
          <w:right w:w="80" w:type="dxa"/>
        </w:tblCellMar>
      </w:tblPr>
      <w:tblGrid>
        <w:gridCol w:w="3388"/>
        <w:gridCol w:w="2259"/>
        <w:gridCol w:w="1751"/>
        <w:gridCol w:w="1581"/>
        <w:gridCol w:w="2541"/>
        <w:gridCol w:w="3050"/>
      </w:tblGrid>
      <w:tr>
        <w:trPr>
          <w:tblHeader w:val="on"/>
          <w:cantSplit/>
          <w:tblHeader/>
        </w:trPr>
        <w:tc>
          <w:tcPr>
            <w:tcW w:type="dxa" w:w="3388"/>
            <w:vAlign w:val="center"/>
            <w:shd w:fill="F0F0F0"/>
          </w:tcPr>
          <w:p>
            <w:pPr>
              <w:pStyle w:val="Compact"/>
              <w:keepNext/>
              <w:keepLines/>
              <w:spacing w:before="0" w:after="0" w:line="240" w:lineRule="auto"/>
              <w:jc w:val="left"/>
            </w:pPr>
            <w:r>
              <w:rPr>
                <w:rFonts w:ascii="Times New Roman" w:hAnsi="Times New Roman"/>
                <w:b/>
                <w:bCs/>
                <w:sz w:val="19"/>
              </w:rPr>
              <w:t xml:space="preserve">Scope</w:t>
            </w:r>
          </w:p>
        </w:tc>
        <w:tc>
          <w:tcPr>
            <w:tcW w:type="dxa" w:w="2259"/>
            <w:vAlign w:val="center"/>
            <w:shd w:fill="F0F0F0"/>
          </w:tcPr>
          <w:p>
            <w:pPr>
              <w:pStyle w:val="Compact"/>
              <w:keepNext/>
              <w:keepLines/>
              <w:spacing w:before="0" w:after="0" w:line="240" w:lineRule="auto"/>
              <w:jc w:val="center"/>
            </w:pPr>
            <w:r>
              <w:rPr>
                <w:rFonts w:ascii="Times New Roman" w:hAnsi="Times New Roman"/>
                <w:b/>
                <w:bCs/>
                <w:sz w:val="19"/>
              </w:rPr>
              <w:t xml:space="preserve">Unique records</w:t>
            </w:r>
          </w:p>
        </w:tc>
        <w:tc>
          <w:tcPr>
            <w:tcW w:type="dxa" w:w="1751"/>
            <w:vAlign w:val="center"/>
            <w:shd w:fill="F0F0F0"/>
          </w:tcPr>
          <w:p>
            <w:pPr>
              <w:pStyle w:val="Compact"/>
              <w:keepNext/>
              <w:keepLines/>
              <w:spacing w:before="0" w:after="0" w:line="240" w:lineRule="auto"/>
              <w:jc w:val="center"/>
            </w:pPr>
            <w:r>
              <w:rPr>
                <w:rFonts w:ascii="Times New Roman" w:hAnsi="Times New Roman"/>
                <w:b/>
                <w:bCs/>
                <w:sz w:val="19"/>
              </w:rPr>
              <w:t xml:space="preserve">Replicates</w:t>
            </w:r>
          </w:p>
        </w:tc>
        <w:tc>
          <w:tcPr>
            <w:tcW w:type="dxa" w:w="1581"/>
            <w:vAlign w:val="center"/>
            <w:shd w:fill="F0F0F0"/>
          </w:tcPr>
          <w:p>
            <w:pPr>
              <w:pStyle w:val="Compact"/>
              <w:keepNext/>
              <w:keepLines/>
              <w:spacing w:before="0" w:after="0" w:line="240" w:lineRule="auto"/>
              <w:jc w:val="center"/>
            </w:pPr>
            <w:r>
              <w:rPr>
                <w:rFonts w:ascii="Times New Roman" w:hAnsi="Times New Roman"/>
                <w:b/>
                <w:bCs/>
                <w:sz w:val="19"/>
              </w:rPr>
              <w:t xml:space="preserve">Stages</w:t>
            </w:r>
          </w:p>
        </w:tc>
        <w:tc>
          <w:tcPr>
            <w:tcW w:type="dxa" w:w="2541"/>
            <w:vAlign w:val="center"/>
            <w:shd w:fill="F0F0F0"/>
          </w:tcPr>
          <w:p>
            <w:pPr>
              <w:pStyle w:val="Compact"/>
              <w:keepNext/>
              <w:keepLines/>
              <w:spacing w:before="0" w:after="0" w:line="240" w:lineRule="auto"/>
              <w:jc w:val="center"/>
            </w:pPr>
            <w:r>
              <w:rPr>
                <w:rFonts w:ascii="Times New Roman" w:hAnsi="Times New Roman"/>
                <w:b/>
                <w:bCs/>
                <w:sz w:val="19"/>
              </w:rPr>
              <w:t xml:space="preserve">Pointwise requests</w:t>
            </w:r>
          </w:p>
        </w:tc>
        <w:tc>
          <w:tcPr>
            <w:tcW w:type="dxa" w:w="3050"/>
            <w:vAlign w:val="center"/>
            <w:shd w:fill="F0F0F0"/>
          </w:tcPr>
          <w:p>
            <w:pPr>
              <w:pStyle w:val="Compact"/>
              <w:keepNext/>
              <w:keepLines/>
              <w:spacing w:before="0" w:after="0" w:line="240" w:lineRule="auto"/>
              <w:jc w:val="center"/>
            </w:pPr>
            <w:r>
              <w:rPr>
                <w:rFonts w:ascii="Times New Roman" w:hAnsi="Times New Roman"/>
                <w:b/>
                <w:bCs/>
                <w:sz w:val="19"/>
              </w:rPr>
              <w:t xml:space="preserve">Additional requests</w:t>
            </w:r>
          </w:p>
        </w:tc>
      </w:tr>
      <w:tr>
        <w:trPr>
          <w:cantSplit/>
        </w:trPr>
        <w:tc>
          <w:tcPr>
            <w:tcW w:type="dxa" w:w="3388"/>
            <w:vAlign w:val="center"/>
          </w:tcPr>
          <w:p>
            <w:pPr>
              <w:pStyle w:val="Compact"/>
              <w:keepNext/>
              <w:keepLines/>
              <w:spacing w:before="0" w:after="0" w:line="240" w:lineRule="auto"/>
              <w:jc w:val="left"/>
            </w:pPr>
            <w:r>
              <w:rPr>
                <w:rFonts w:ascii="Times New Roman" w:hAnsi="Times New Roman"/>
                <w:sz w:val="19"/>
              </w:rPr>
              <w:t xml:space="preserve">Primary-model TEP</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2000</w:t>
            </w:r>
          </w:p>
        </w:tc>
        <w:tc>
          <w:tcPr>
            <w:tcW w:type="dxa" w:w="1751"/>
            <w:vAlign w:val="center"/>
          </w:tcPr>
          <w:p>
            <w:pPr>
              <w:pStyle w:val="Compact"/>
              <w:keepNext/>
              <w:keepLines/>
              <w:spacing w:before="0" w:after="0" w:line="240" w:lineRule="auto"/>
              <w:jc w:val="center"/>
            </w:pPr>
            <w:r>
              <w:rPr>
                <w:rFonts w:ascii="Times New Roman" w:hAnsi="Times New Roman"/>
                <w:sz w:val="19"/>
              </w:rPr>
              <w:t xml:space="preserve">3</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2</w:t>
            </w:r>
          </w:p>
        </w:tc>
        <w:tc>
          <w:tcPr>
            <w:tcW w:type="dxa" w:w="2541"/>
            <w:vAlign w:val="center"/>
          </w:tcPr>
          <w:p>
            <w:pPr>
              <w:pStyle w:val="Compact"/>
              <w:keepNext/>
              <w:keepLines/>
              <w:spacing w:before="0" w:after="0" w:line="240" w:lineRule="auto"/>
              <w:jc w:val="center"/>
            </w:pPr>
            <w:r>
              <w:rPr>
                <w:rFonts w:ascii="Times New Roman" w:hAnsi="Times New Roman"/>
                <w:sz w:val="19"/>
              </w:rPr>
              <w:t xml:space="preserve">12000</w:t>
            </w:r>
          </w:p>
        </w:tc>
        <w:tc>
          <w:tcPr>
            <w:tcW w:type="dxa" w:w="3050"/>
            <w:vAlign w:val="center"/>
          </w:tcPr>
          <w:p>
            <w:pPr>
              <w:pStyle w:val="Compact"/>
              <w:keepNext/>
              <w:keepLines/>
              <w:spacing w:before="0" w:after="0" w:line="240" w:lineRule="auto"/>
              <w:jc w:val="center"/>
            </w:pPr>
            <w:r>
              <w:rPr>
                <w:rFonts w:ascii="Times New Roman" w:hAnsi="Times New Roman"/>
                <w:sz w:val="19"/>
              </w:rPr>
              <w:t xml:space="preserve">Not applicable</w:t>
            </w:r>
          </w:p>
        </w:tc>
      </w:tr>
      <w:tr>
        <w:trPr>
          <w:cantSplit/>
        </w:trPr>
        <w:tc>
          <w:tcPr>
            <w:tcW w:type="dxa" w:w="3388"/>
            <w:vAlign w:val="center"/>
          </w:tcPr>
          <w:p>
            <w:pPr>
              <w:pStyle w:val="Compact"/>
              <w:keepNext/>
              <w:keepLines/>
              <w:spacing w:before="0" w:after="0" w:line="240" w:lineRule="auto"/>
              <w:jc w:val="left"/>
            </w:pPr>
            <w:r>
              <w:rPr>
                <w:rFonts w:ascii="Times New Roman" w:hAnsi="Times New Roman"/>
                <w:sz w:val="19"/>
              </w:rPr>
              <w:t xml:space="preserve">Second-model TEP</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2000</w:t>
            </w:r>
          </w:p>
        </w:tc>
        <w:tc>
          <w:tcPr>
            <w:tcW w:type="dxa" w:w="1751"/>
            <w:vAlign w:val="center"/>
          </w:tcPr>
          <w:p>
            <w:pPr>
              <w:pStyle w:val="Compact"/>
              <w:keepNext/>
              <w:keepLines/>
              <w:spacing w:before="0" w:after="0" w:line="240" w:lineRule="auto"/>
              <w:jc w:val="center"/>
            </w:pPr>
            <w:r>
              <w:rPr>
                <w:rFonts w:ascii="Times New Roman" w:hAnsi="Times New Roman"/>
                <w:sz w:val="19"/>
              </w:rPr>
              <w:t xml:space="preserve">3</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2</w:t>
            </w:r>
          </w:p>
        </w:tc>
        <w:tc>
          <w:tcPr>
            <w:tcW w:type="dxa" w:w="2541"/>
            <w:vAlign w:val="center"/>
          </w:tcPr>
          <w:p>
            <w:pPr>
              <w:pStyle w:val="Compact"/>
              <w:keepNext/>
              <w:keepLines/>
              <w:spacing w:before="0" w:after="0" w:line="240" w:lineRule="auto"/>
              <w:jc w:val="center"/>
            </w:pPr>
            <w:r>
              <w:rPr>
                <w:rFonts w:ascii="Times New Roman" w:hAnsi="Times New Roman"/>
                <w:sz w:val="19"/>
              </w:rPr>
              <w:t xml:space="preserve">12000</w:t>
            </w:r>
          </w:p>
        </w:tc>
        <w:tc>
          <w:tcPr>
            <w:tcW w:type="dxa" w:w="3050"/>
            <w:vAlign w:val="center"/>
          </w:tcPr>
          <w:p>
            <w:pPr>
              <w:pStyle w:val="Compact"/>
              <w:keepNext/>
              <w:keepLines/>
              <w:spacing w:before="0" w:after="0" w:line="240" w:lineRule="auto"/>
              <w:jc w:val="center"/>
            </w:pPr>
            <w:r>
              <w:rPr>
                <w:rFonts w:ascii="Times New Roman" w:hAnsi="Times New Roman"/>
                <w:sz w:val="19"/>
              </w:rPr>
              <w:t xml:space="preserve">Not applicable</w:t>
            </w:r>
          </w:p>
        </w:tc>
      </w:tr>
      <w:tr>
        <w:trPr>
          <w:cantSplit/>
        </w:trPr>
        <w:tc>
          <w:tcPr>
            <w:tcW w:type="dxa" w:w="3388"/>
            <w:vAlign w:val="center"/>
          </w:tcPr>
          <w:p>
            <w:pPr>
              <w:pStyle w:val="Compact"/>
              <w:keepNext/>
              <w:keepLines/>
              <w:spacing w:before="0" w:after="0" w:line="240" w:lineRule="auto"/>
              <w:jc w:val="left"/>
            </w:pPr>
            <w:r>
              <w:rPr>
                <w:rFonts w:ascii="Times New Roman" w:hAnsi="Times New Roman"/>
                <w:sz w:val="19"/>
              </w:rPr>
              <w:t xml:space="preserve">Primary-model HAI</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682</w:t>
            </w:r>
          </w:p>
        </w:tc>
        <w:tc>
          <w:tcPr>
            <w:tcW w:type="dxa" w:w="1751"/>
            <w:vAlign w:val="center"/>
          </w:tcPr>
          <w:p>
            <w:pPr>
              <w:pStyle w:val="Compact"/>
              <w:keepNext/>
              <w:keepLines/>
              <w:spacing w:before="0" w:after="0" w:line="240" w:lineRule="auto"/>
              <w:jc w:val="center"/>
            </w:pPr>
            <w:r>
              <w:rPr>
                <w:rFonts w:ascii="Times New Roman" w:hAnsi="Times New Roman"/>
                <w:sz w:val="19"/>
              </w:rPr>
              <w:t xml:space="preserve">3</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1</w:t>
            </w:r>
          </w:p>
        </w:tc>
        <w:tc>
          <w:tcPr>
            <w:tcW w:type="dxa" w:w="2541"/>
            <w:vAlign w:val="center"/>
          </w:tcPr>
          <w:p>
            <w:pPr>
              <w:pStyle w:val="Compact"/>
              <w:keepNext/>
              <w:keepLines/>
              <w:spacing w:before="0" w:after="0" w:line="240" w:lineRule="auto"/>
              <w:jc w:val="center"/>
            </w:pPr>
            <w:r>
              <w:rPr>
                <w:rFonts w:ascii="Times New Roman" w:hAnsi="Times New Roman"/>
                <w:sz w:val="19"/>
              </w:rPr>
              <w:t xml:space="preserve">2046</w:t>
            </w:r>
          </w:p>
        </w:tc>
        <w:tc>
          <w:tcPr>
            <w:tcW w:type="dxa" w:w="3050"/>
            <w:vAlign w:val="center"/>
          </w:tcPr>
          <w:p>
            <w:pPr>
              <w:pStyle w:val="Compact"/>
              <w:keepNext/>
              <w:keepLines/>
              <w:spacing w:before="0" w:after="0" w:line="240" w:lineRule="auto"/>
              <w:jc w:val="center"/>
            </w:pPr>
            <w:r>
              <w:rPr>
                <w:rFonts w:ascii="Times New Roman" w:hAnsi="Times New Roman"/>
                <w:sz w:val="19"/>
              </w:rPr>
              <w:t xml:space="preserve">Not applicable</w:t>
            </w:r>
          </w:p>
        </w:tc>
      </w:tr>
      <w:tr>
        <w:trPr>
          <w:cantSplit/>
        </w:trPr>
        <w:tc>
          <w:tcPr>
            <w:tcW w:type="dxa" w:w="3388"/>
            <w:vAlign w:val="center"/>
          </w:tcPr>
          <w:p>
            <w:pPr>
              <w:pStyle w:val="Compact"/>
              <w:keepNext/>
              <w:keepLines/>
              <w:spacing w:before="0" w:after="0" w:line="240" w:lineRule="auto"/>
              <w:jc w:val="left"/>
            </w:pPr>
            <w:r>
              <w:rPr>
                <w:rFonts w:ascii="Times New Roman" w:hAnsi="Times New Roman"/>
                <w:sz w:val="19"/>
              </w:rPr>
              <w:t xml:space="preserve">Independent controls</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168</w:t>
            </w:r>
          </w:p>
        </w:tc>
        <w:tc>
          <w:tcPr>
            <w:tcW w:type="dxa" w:w="1751"/>
            <w:vAlign w:val="center"/>
          </w:tcPr>
          <w:p>
            <w:pPr>
              <w:pStyle w:val="Compact"/>
              <w:keepNext/>
              <w:keepLines/>
              <w:spacing w:before="0" w:after="0" w:line="240" w:lineRule="auto"/>
              <w:jc w:val="center"/>
            </w:pPr>
            <w:r>
              <w:rPr>
                <w:rFonts w:ascii="Times New Roman" w:hAnsi="Times New Roman"/>
                <w:sz w:val="19"/>
              </w:rPr>
              <w:t xml:space="preserve">3</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2</w:t>
            </w:r>
          </w:p>
        </w:tc>
        <w:tc>
          <w:tcPr>
            <w:tcW w:type="dxa" w:w="254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3050"/>
            <w:vAlign w:val="center"/>
          </w:tcPr>
          <w:p>
            <w:pPr>
              <w:pStyle w:val="Compact"/>
              <w:keepNext/>
              <w:keepLines/>
              <w:spacing w:before="0" w:after="0" w:line="240" w:lineRule="auto"/>
              <w:jc w:val="center"/>
            </w:pPr>
            <w:r>
              <w:rPr>
                <w:rFonts w:ascii="Times New Roman" w:hAnsi="Times New Roman"/>
                <w:sz w:val="19"/>
              </w:rPr>
              <w:t xml:space="preserve">1008</w:t>
            </w:r>
          </w:p>
        </w:tc>
      </w:tr>
      <w:tr>
        <w:trPr>
          <w:cantSplit/>
        </w:trPr>
        <w:tc>
          <w:tcPr>
            <w:tcW w:type="dxa" w:w="3388"/>
            <w:vAlign w:val="center"/>
          </w:tcPr>
          <w:p>
            <w:pPr>
              <w:pStyle w:val="Compact"/>
              <w:keepNext/>
              <w:keepLines/>
              <w:spacing w:before="0" w:after="0" w:line="240" w:lineRule="auto"/>
              <w:jc w:val="left"/>
            </w:pPr>
            <w:r>
              <w:rPr>
                <w:rFonts w:ascii="Times New Roman" w:hAnsi="Times New Roman"/>
                <w:sz w:val="19"/>
              </w:rPr>
              <w:t xml:space="preserve">Paired order sensitivity</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180</w:t>
            </w:r>
          </w:p>
        </w:tc>
        <w:tc>
          <w:tcPr>
            <w:tcW w:type="dxa" w:w="1751"/>
            <w:vAlign w:val="center"/>
          </w:tcPr>
          <w:p>
            <w:pPr>
              <w:pStyle w:val="Compact"/>
              <w:keepNext/>
              <w:keepLines/>
              <w:spacing w:before="0" w:after="0" w:line="240" w:lineRule="auto"/>
              <w:jc w:val="center"/>
            </w:pPr>
            <w:r>
              <w:rPr>
                <w:rFonts w:ascii="Times New Roman" w:hAnsi="Times New Roman"/>
                <w:sz w:val="19"/>
              </w:rPr>
              <w:t xml:space="preserve">3</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2</w:t>
            </w:r>
          </w:p>
        </w:tc>
        <w:tc>
          <w:tcPr>
            <w:tcW w:type="dxa" w:w="254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3050"/>
            <w:vAlign w:val="center"/>
          </w:tcPr>
          <w:p>
            <w:pPr>
              <w:pStyle w:val="Compact"/>
              <w:keepNext/>
              <w:keepLines/>
              <w:spacing w:before="0" w:after="0" w:line="240" w:lineRule="auto"/>
              <w:jc w:val="center"/>
            </w:pPr>
            <w:r>
              <w:rPr>
                <w:rFonts w:ascii="Times New Roman" w:hAnsi="Times New Roman"/>
                <w:sz w:val="19"/>
              </w:rPr>
              <w:t xml:space="preserve">1080</w:t>
            </w:r>
          </w:p>
        </w:tc>
      </w:tr>
      <w:tr>
        <w:trPr>
          <w:cantSplit/>
        </w:trPr>
        <w:tc>
          <w:tcPr>
            <w:tcW w:type="dxa" w:w="3388"/>
            <w:vAlign w:val="center"/>
          </w:tcPr>
          <w:p>
            <w:pPr>
              <w:pStyle w:val="Compact"/>
              <w:keepNext/>
              <w:keepLines/>
              <w:spacing w:before="0" w:after="0" w:line="240" w:lineRule="auto"/>
              <w:jc w:val="left"/>
            </w:pPr>
            <w:r>
              <w:rPr>
                <w:rFonts w:ascii="Times New Roman" w:hAnsi="Times New Roman"/>
                <w:sz w:val="19"/>
              </w:rPr>
              <w:t xml:space="preserve">Interface failures/resubmissions</w:t>
            </w:r>
          </w:p>
        </w:tc>
        <w:tc>
          <w:tcPr>
            <w:tcW w:type="dxa" w:w="2259"/>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75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158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2541"/>
            <w:vAlign w:val="center"/>
          </w:tcPr>
          <w:p>
            <w:pPr>
              <w:pStyle w:val="Compact"/>
              <w:keepNext/>
              <w:keepLines/>
              <w:spacing w:before="0" w:after="0" w:line="240" w:lineRule="auto"/>
              <w:jc w:val="center"/>
            </w:pPr>
            <w:r>
              <w:rPr>
                <w:rFonts w:ascii="Times New Roman" w:hAnsi="Times New Roman"/>
                <w:sz w:val="19"/>
              </w:rPr>
              <w:t xml:space="preserve">Not applicable</w:t>
            </w:r>
          </w:p>
        </w:tc>
        <w:tc>
          <w:tcPr>
            <w:tcW w:type="dxa" w:w="3050"/>
            <w:vAlign w:val="center"/>
          </w:tcPr>
          <w:p>
            <w:pPr>
              <w:pStyle w:val="Compact"/>
              <w:keepNext/>
              <w:keepLines/>
              <w:spacing w:before="0" w:after="0" w:line="240" w:lineRule="auto"/>
              <w:jc w:val="center"/>
            </w:pPr>
            <w:r>
              <w:rPr>
                <w:rFonts w:ascii="Times New Roman" w:hAnsi="Times New Roman"/>
                <w:sz w:val="19"/>
              </w:rPr>
              <w:t xml:space="preserve">37</w:t>
            </w:r>
          </w:p>
        </w:tc>
      </w:tr>
      <w:tr>
        <w:trPr>
          <w:cantSplit/>
        </w:trPr>
        <w:tc>
          <w:tcPr>
            <w:tcW w:type="dxa" w:w="3388"/>
            <w:vAlign w:val="center"/>
          </w:tcPr>
          <w:p>
            <w:pPr>
              <w:pStyle w:val="Compact"/>
              <w:keepNext w:val="0"/>
              <w:keepLines/>
              <w:spacing w:before="0" w:after="0" w:line="240" w:lineRule="auto"/>
              <w:jc w:val="left"/>
            </w:pPr>
            <w:r>
              <w:rPr>
                <w:rFonts w:ascii="Times New Roman" w:hAnsi="Times New Roman"/>
                <w:b/>
                <w:bCs/>
                <w:sz w:val="19"/>
              </w:rPr>
              <w:t xml:space="preserve">Total</w:t>
            </w:r>
          </w:p>
        </w:tc>
        <w:tc>
          <w:tcPr>
            <w:tcW w:type="dxa" w:w="2259"/>
            <w:vAlign w:val="center"/>
          </w:tcPr>
          <w:p>
            <w:pPr>
              <w:pStyle w:val="Compact"/>
              <w:keepNext w:val="0"/>
              <w:keepLines/>
              <w:spacing w:before="0" w:after="0" w:line="240" w:lineRule="auto"/>
              <w:jc w:val="center"/>
            </w:pPr>
            <w:r>
              <w:rPr>
                <w:rFonts w:ascii="Times New Roman" w:hAnsi="Times New Roman"/>
                <w:sz w:val="19"/>
              </w:rPr>
              <w:t xml:space="preserve">Not pooled</w:t>
            </w:r>
          </w:p>
        </w:tc>
        <w:tc>
          <w:tcPr>
            <w:tcW w:type="dxa" w:w="1751"/>
            <w:vAlign w:val="center"/>
          </w:tcPr>
          <w:p>
            <w:pPr>
              <w:pStyle w:val="Compact"/>
              <w:keepNext w:val="0"/>
              <w:keepLines/>
              <w:spacing w:before="0" w:after="0" w:line="240" w:lineRule="auto"/>
              <w:jc w:val="center"/>
            </w:pPr>
            <w:r>
              <w:rPr>
                <w:rFonts w:ascii="Times New Roman" w:hAnsi="Times New Roman"/>
                <w:sz w:val="19"/>
              </w:rPr>
              <w:t xml:space="preserve">Not applicable</w:t>
            </w:r>
          </w:p>
        </w:tc>
        <w:tc>
          <w:tcPr>
            <w:tcW w:type="dxa" w:w="1581"/>
            <w:vAlign w:val="center"/>
          </w:tcPr>
          <w:p>
            <w:pPr>
              <w:pStyle w:val="Compact"/>
              <w:keepNext w:val="0"/>
              <w:keepLines/>
              <w:spacing w:before="0" w:after="0" w:line="240" w:lineRule="auto"/>
              <w:jc w:val="center"/>
            </w:pPr>
            <w:r>
              <w:rPr>
                <w:rFonts w:ascii="Times New Roman" w:hAnsi="Times New Roman"/>
                <w:sz w:val="19"/>
              </w:rPr>
              <w:t xml:space="preserve">Not applicable</w:t>
            </w:r>
          </w:p>
        </w:tc>
        <w:tc>
          <w:tcPr>
            <w:tcW w:type="dxa" w:w="2541"/>
            <w:vAlign w:val="center"/>
          </w:tcPr>
          <w:p>
            <w:pPr>
              <w:pStyle w:val="Compact"/>
              <w:keepNext w:val="0"/>
              <w:keepLines/>
              <w:spacing w:before="0" w:after="0" w:line="240" w:lineRule="auto"/>
              <w:jc w:val="center"/>
            </w:pPr>
            <w:r>
              <w:rPr>
                <w:rFonts w:ascii="Times New Roman" w:hAnsi="Times New Roman"/>
                <w:b/>
                <w:bCs/>
                <w:sz w:val="19"/>
              </w:rPr>
              <w:t xml:space="preserve">26046</w:t>
            </w:r>
          </w:p>
        </w:tc>
        <w:tc>
          <w:tcPr>
            <w:tcW w:type="dxa" w:w="3050"/>
            <w:vAlign w:val="center"/>
          </w:tcPr>
          <w:p>
            <w:pPr>
              <w:pStyle w:val="Compact"/>
              <w:keepNext w:val="0"/>
              <w:keepLines/>
              <w:spacing w:before="0" w:after="0" w:line="240" w:lineRule="auto"/>
              <w:jc w:val="center"/>
            </w:pPr>
            <w:r>
              <w:rPr>
                <w:rFonts w:ascii="Times New Roman" w:hAnsi="Times New Roman"/>
                <w:b/>
                <w:bCs/>
                <w:sz w:val="19"/>
              </w:rPr>
              <w:t xml:space="preserve">2125</w:t>
            </w:r>
          </w:p>
        </w:tc>
      </w:tr>
    </w:tbl>
    <w:p>
      <w:pPr>
        <w:pStyle w:val="BodyText"/>
        <w:spacing w:before="120"/>
      </w:pPr>
      <w:r>
        <w:t xml:space="preserve">The final system has mean input and output lengths of 1842 and 526 tokens, mean latency of 3.12 s per record, and mean package-plus-audit storage of 42.6 kB per accepted record. Relative to the information-matched summary, the complete package adds 438 input tokens and 0.27 s while increasing the correct-label-plus-supported-explanation rate by 16.6 percentage points.</w:t>
      </w:r>
    </w:p>
    <w:bookmarkEnd w:id="24"/>
    <w:sectPr>
      <w:type w:val="nextPage"/>
      <w:headerReference w:type="default" r:id="rId9"/>
      <w:footerReference w:type="default" r:id="rId10"/>
      <w:footnotePr>
        <w:numRestart w:val="eachSect"/>
      </w:footnotePr>
      <w:pgSz w:w="16837" w:h="11905" w:orient="landscape"/>
      <w:pgMar w:header="454" w:footer="454" w:left="1133" w:right="1133"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8"/>
      </w:rPr>
      <w:t>Supplementary Materials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20" w:line="264" w:lineRule="auto"/>
      <w:ind w:firstLine="0"/>
      <w:jc w:val="both"/>
    </w:pPr>
    <w:rPr>
      <w:rFonts w:ascii="Times New Roman" w:hAnsi="Times New Roman"/>
      <w:color w:val="000000"/>
      <w:sz w:val="22"/>
    </w:rPr>
  </w:style>
  <w:style w:styleId="BodyText" w:type="paragraph">
    <w:name w:val="Body Text"/>
    <w:basedOn w:val="Normal"/>
    <w:link w:val="BodyTextChar"/>
    <w:qFormat/>
    <w:pPr>
      <w:widowControl/>
      <w:spacing w:after="120" w:before="0" w:line="264" w:lineRule="auto"/>
      <w:ind w:firstLine="0"/>
      <w:jc w:val="both"/>
    </w:pPr>
    <w:rPr>
      <w:rFonts w:ascii="Times New Roman" w:hAnsi="Times New Roman"/>
      <w:color w:val="000000"/>
      <w:sz w:val="22"/>
    </w:rPr>
  </w:style>
  <w:style w:customStyle="1" w:styleId="FirstParagraph" w:type="paragraph">
    <w:name w:val="First Paragraph"/>
    <w:basedOn w:val="BodyText"/>
    <w:next w:val="BodyText"/>
    <w:qFormat/>
    <w:pPr>
      <w:widowControl/>
      <w:spacing w:before="0" w:after="120" w:line="264" w:lineRule="auto"/>
      <w:ind w:firstLine="0"/>
      <w:jc w:val="both"/>
    </w:pPr>
    <w:rPr>
      <w:rFonts w:ascii="Times New Roman" w:hAnsi="Times New Roman"/>
      <w:color w:val="000000"/>
      <w:sz w:val="22"/>
    </w:rPr>
  </w:style>
  <w:style w:customStyle="1" w:styleId="Compact" w:type="paragraph">
    <w:name w:val="Compact"/>
    <w:basedOn w:val="BodyText"/>
    <w:qFormat/>
    <w:pPr>
      <w:widowControl/>
      <w:spacing w:after="120" w:before="0" w:line="264" w:lineRule="auto"/>
      <w:ind w:firstLine="0"/>
      <w:jc w:val="both"/>
    </w:pPr>
    <w:rPr>
      <w:rFonts w:ascii="Times New Roman" w:hAnsi="Times New Roman"/>
      <w:color w:val="000000"/>
      <w:sz w:val="22"/>
    </w:rPr>
  </w:style>
  <w:style w:styleId="Title" w:type="paragraph">
    <w:name w:val="Title"/>
    <w:basedOn w:val="Normal"/>
    <w:next w:val="BodyText"/>
    <w:link w:val="TitleChar"/>
    <w:uiPriority w:val="10"/>
    <w:qFormat/>
    <w:rsid w:val="00A10FD9"/>
    <w:pPr>
      <w:keepNext/>
      <w:keepLines/>
      <w:widowControl/>
      <w:spacing w:after="120" w:line="240" w:lineRule="auto" w:before="0"/>
      <w:ind w:firstLine="0"/>
      <w:contextualSpacing/>
      <w:jc w:val="left"/>
    </w:pPr>
    <w:rPr>
      <w:rFonts w:ascii="Times New Roman" w:hAnsi="Times New Roman"/>
      <w:b/>
      <w:color w:val="000000"/>
      <w:sz w:val="34"/>
      <w:szCs w:val="56"/>
    </w:rPr>
  </w:style>
  <w:style w:customStyle="1" w:styleId="TitleChar" w:type="character">
    <w:name w:val="Title Char"/>
    <w:basedOn w:val="DefaultParagraphFont"/>
    <w:link w:val="Title"/>
    <w:uiPriority w:val="10"/>
    <w:rsid w:val="00A10FD9"/>
    <w:rPr>
      <w:rFonts w:ascii="Times New Roman" w:hAnsi="Times New Roman"/>
      <w:color w:val="000000"/>
      <w:sz w:val="22"/>
      <w:szCs w:val="56"/>
    </w:rPr>
  </w:style>
  <w:style w:styleId="Subtitle" w:type="paragraph">
    <w:name w:val="Subtitle"/>
    <w:basedOn w:val="Title"/>
    <w:next w:val="BodyText"/>
    <w:link w:val="SubtitleChar"/>
    <w:uiPriority w:val="11"/>
    <w:qFormat/>
    <w:rsid w:val="00A10FD9"/>
    <w:pPr>
      <w:keepNext/>
      <w:keepLines/>
      <w:widowControl/>
      <w:numPr>
        <w:ilvl w:val="1"/>
      </w:numPr>
      <w:spacing w:before="0" w:after="200" w:line="240" w:lineRule="auto"/>
      <w:ind w:firstLine="0"/>
      <w:jc w:val="left"/>
    </w:pPr>
    <w:rPr>
      <w:rFonts w:ascii="Times New Roman" w:hAnsi="Times New Roman"/>
      <w:b/>
      <w:color w:val="000000"/>
      <w:sz w:val="28"/>
      <w:szCs w:val="28"/>
    </w:rPr>
  </w:style>
  <w:style w:customStyle="1" w:styleId="SubtitleChar" w:type="character">
    <w:name w:val="Subtitle Char"/>
    <w:basedOn w:val="DefaultParagraphFont"/>
    <w:link w:val="Subtitle"/>
    <w:uiPriority w:val="11"/>
    <w:rsid w:val="00A10FD9"/>
    <w:rPr>
      <w:rFonts w:ascii="Times New Roman" w:hAnsi="Times New Roman"/>
      <w:color w:val="000000"/>
      <w:spacing w:val="15"/>
      <w:sz w:val="22"/>
      <w:szCs w:val="28"/>
    </w:rPr>
  </w:style>
  <w:style w:customStyle="1" w:styleId="Author" w:type="paragraph">
    <w:name w:val="Author"/>
    <w:basedOn w:val="Title"/>
    <w:next w:val="BodyText"/>
    <w:qFormat/>
    <w:pPr>
      <w:keepNext/>
      <w:keepLines/>
      <w:widowControl/>
      <w:spacing w:before="0" w:after="120" w:line="264" w:lineRule="auto"/>
      <w:ind w:firstLine="0"/>
      <w:jc w:val="both"/>
    </w:pPr>
    <w:rPr>
      <w:rFonts w:ascii="Times New Roman" w:hAnsi="Times New Roman"/>
      <w:color w:val="000000"/>
      <w:sz w:val="22"/>
      <w:szCs w:val="24"/>
    </w:rPr>
  </w:style>
  <w:style w:styleId="Date" w:type="paragraph">
    <w:name w:val="Date"/>
    <w:basedOn w:val="Title"/>
    <w:next w:val="BodyText"/>
    <w:qFormat/>
    <w:pPr>
      <w:keepNext/>
      <w:keepLines/>
      <w:widowControl/>
      <w:spacing w:before="0" w:after="120" w:line="264" w:lineRule="auto"/>
      <w:ind w:firstLine="0"/>
      <w:jc w:val="both"/>
    </w:pPr>
    <w:rPr>
      <w:rFonts w:ascii="Times New Roman" w:hAnsi="Times New Roman"/>
      <w:color w:val="000000"/>
      <w:sz w:val="22"/>
      <w:szCs w:val="24"/>
    </w:rPr>
  </w:style>
  <w:style w:customStyle="1" w:styleId="AbstractTitle" w:type="paragraph">
    <w:name w:val="Abstract Title"/>
    <w:basedOn w:val="Normal"/>
    <w:next w:val="Abstract"/>
    <w:qFormat/>
    <w:pPr>
      <w:keepNext/>
      <w:keepLines/>
      <w:widowControl/>
      <w:spacing w:after="120" w:before="0" w:line="264" w:lineRule="auto"/>
      <w:ind w:firstLine="0"/>
      <w:jc w:val="both"/>
    </w:pPr>
    <w:rPr>
      <w:rFonts w:ascii="Times New Roman" w:hAnsi="Times New Roman"/>
      <w:b/>
      <w:color w:val="000000"/>
      <w:sz w:val="22"/>
      <w:szCs w:val="20"/>
    </w:rPr>
  </w:style>
  <w:style w:customStyle="1" w:styleId="Abstract" w:type="paragraph">
    <w:name w:val="Abstract"/>
    <w:basedOn w:val="Normal"/>
    <w:next w:val="BodyText"/>
    <w:qFormat/>
    <w:pPr>
      <w:keepNext/>
      <w:keepLines/>
      <w:widowControl/>
      <w:spacing w:after="120" w:before="0" w:line="264" w:lineRule="auto"/>
      <w:ind w:firstLine="0"/>
      <w:jc w:val="both"/>
    </w:pPr>
    <w:rPr>
      <w:rFonts w:ascii="Times New Roman" w:hAnsi="Times New Roman"/>
      <w:color w:val="000000"/>
      <w:sz w:val="22"/>
      <w:szCs w:val="20"/>
    </w:rPr>
  </w:style>
  <w:style w:styleId="Bibliography" w:type="paragraph">
    <w:name w:val="Bibliography"/>
    <w:basedOn w:val="Normal"/>
    <w:next w:val="Bibliography"/>
    <w:qFormat/>
    <w:pPr>
      <w:widowControl/>
      <w:spacing w:before="0" w:after="120" w:line="264" w:lineRule="auto"/>
      <w:ind w:firstLine="0"/>
      <w:jc w:val="both"/>
    </w:pPr>
    <w:rPr>
      <w:rFonts w:ascii="Times New Roman" w:hAnsi="Times New Roman"/>
      <w:color w:val="000000"/>
      <w:sz w:val="22"/>
    </w:rPr>
  </w:style>
  <w:style w:styleId="Heading1" w:type="paragraph">
    <w:name w:val="heading 1"/>
    <w:basedOn w:val="Normal"/>
    <w:next w:val="BodyText"/>
    <w:link w:val="Heading1Char"/>
    <w:uiPriority w:val="9"/>
    <w:qFormat/>
    <w:rsid w:val="00A10FD9"/>
    <w:pPr>
      <w:keepNext/>
      <w:keepLines/>
      <w:widowControl/>
      <w:spacing w:after="120" w:before="200" w:line="240" w:lineRule="auto"/>
      <w:ind w:firstLine="0"/>
      <w:jc w:val="left"/>
      <w:outlineLvl w:val="0"/>
    </w:pPr>
    <w:rPr>
      <w:rFonts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widowControl/>
      <w:spacing w:after="120" w:before="0" w:line="264" w:lineRule="auto"/>
      <w:ind w:firstLine="0"/>
      <w:jc w:val="both"/>
      <w:outlineLvl w:val="1"/>
    </w:pPr>
    <w:rPr>
      <w:rFonts w:ascii="Times New Roman" w:hAnsi="Times New Roman"/>
      <w:color w:val="000000"/>
      <w:sz w:val="22"/>
      <w:szCs w:val="32"/>
    </w:rPr>
  </w:style>
  <w:style w:styleId="Heading3" w:type="paragraph">
    <w:name w:val="heading 3"/>
    <w:basedOn w:val="Normal"/>
    <w:next w:val="BodyText"/>
    <w:link w:val="Heading3Char"/>
    <w:uiPriority w:val="9"/>
    <w:semiHidden/>
    <w:unhideWhenUsed/>
    <w:qFormat/>
    <w:rsid w:val="00A10FD9"/>
    <w:pPr>
      <w:keepNext/>
      <w:keepLines/>
      <w:widowControl/>
      <w:spacing w:after="120" w:before="0" w:line="264" w:lineRule="auto"/>
      <w:ind w:firstLine="0"/>
      <w:jc w:val="both"/>
      <w:outlineLvl w:val="2"/>
    </w:pPr>
    <w:rPr>
      <w:rFonts w:ascii="Times New Roman" w:hAnsi="Times New Roman"/>
      <w:color w:val="000000"/>
      <w:sz w:val="22"/>
      <w:szCs w:val="28"/>
    </w:rPr>
  </w:style>
  <w:style w:styleId="Heading4" w:type="paragraph">
    <w:name w:val="heading 4"/>
    <w:basedOn w:val="Normal"/>
    <w:next w:val="BodyText"/>
    <w:link w:val="Heading4Char"/>
    <w:uiPriority w:val="9"/>
    <w:semiHidden/>
    <w:unhideWhenUsed/>
    <w:qFormat/>
    <w:rsid w:val="00A10FD9"/>
    <w:pPr>
      <w:keepNext/>
      <w:keepLines/>
      <w:widowControl/>
      <w:spacing w:after="120" w:before="0" w:line="264" w:lineRule="auto"/>
      <w:ind w:firstLine="0"/>
      <w:jc w:val="both"/>
      <w:outlineLvl w:val="3"/>
    </w:pPr>
    <w:rPr>
      <w:rFonts w:ascii="Times New Roman" w:hAnsi="Times New Roman"/>
      <w:i/>
      <w:iCs/>
      <w:color w:val="000000"/>
      <w:sz w:val="22"/>
    </w:rPr>
  </w:style>
  <w:style w:styleId="Heading5" w:type="paragraph">
    <w:name w:val="heading 5"/>
    <w:basedOn w:val="Normal"/>
    <w:next w:val="BodyText"/>
    <w:link w:val="Heading5Char"/>
    <w:uiPriority w:val="9"/>
    <w:semiHidden/>
    <w:unhideWhenUsed/>
    <w:qFormat/>
    <w:rsid w:val="00A10FD9"/>
    <w:pPr>
      <w:keepNext/>
      <w:keepLines/>
      <w:widowControl/>
      <w:spacing w:after="120" w:before="0" w:line="264" w:lineRule="auto"/>
      <w:ind w:firstLine="0"/>
      <w:jc w:val="both"/>
      <w:outlineLvl w:val="4"/>
    </w:pPr>
    <w:rPr>
      <w:rFonts w:ascii="Times New Roman" w:hAnsi="Times New Roman"/>
      <w:color w:val="000000"/>
      <w:sz w:val="22"/>
    </w:rPr>
  </w:style>
  <w:style w:styleId="Heading6" w:type="paragraph">
    <w:name w:val="heading 6"/>
    <w:basedOn w:val="Normal"/>
    <w:next w:val="BodyText"/>
    <w:link w:val="Heading6Char"/>
    <w:uiPriority w:val="9"/>
    <w:semiHidden/>
    <w:unhideWhenUsed/>
    <w:qFormat/>
    <w:rsid w:val="00A10FD9"/>
    <w:pPr>
      <w:keepNext/>
      <w:keepLines/>
      <w:widowControl/>
      <w:spacing w:after="120" w:before="0" w:line="264" w:lineRule="auto"/>
      <w:ind w:firstLine="0"/>
      <w:jc w:val="both"/>
      <w:outlineLvl w:val="5"/>
    </w:pPr>
    <w:rPr>
      <w:rFonts w:ascii="Times New Roman" w:hAnsi="Times New Roman"/>
      <w:i/>
      <w:iCs/>
      <w:color w:val="000000"/>
      <w:sz w:val="22"/>
    </w:rPr>
  </w:style>
  <w:style w:styleId="Heading7" w:type="paragraph">
    <w:name w:val="heading 7"/>
    <w:basedOn w:val="Normal"/>
    <w:next w:val="BodyText"/>
    <w:link w:val="Heading7Char"/>
    <w:uiPriority w:val="9"/>
    <w:semiHidden/>
    <w:unhideWhenUsed/>
    <w:qFormat/>
    <w:rsid w:val="00A10FD9"/>
    <w:pPr>
      <w:keepNext/>
      <w:keepLines/>
      <w:widowControl/>
      <w:spacing w:after="120" w:before="0" w:line="264" w:lineRule="auto"/>
      <w:ind w:firstLine="0"/>
      <w:jc w:val="both"/>
      <w:outlineLvl w:val="6"/>
    </w:pPr>
    <w:rPr>
      <w:rFonts w:ascii="Times New Roman" w:hAnsi="Times New Roman"/>
      <w:color w:val="000000"/>
      <w:sz w:val="22"/>
    </w:rPr>
  </w:style>
  <w:style w:styleId="Heading8" w:type="paragraph">
    <w:name w:val="heading 8"/>
    <w:basedOn w:val="Normal"/>
    <w:next w:val="BodyText"/>
    <w:link w:val="Heading8Char"/>
    <w:uiPriority w:val="9"/>
    <w:semiHidden/>
    <w:unhideWhenUsed/>
    <w:qFormat/>
    <w:rsid w:val="00A10FD9"/>
    <w:pPr>
      <w:keepNext/>
      <w:keepLines/>
      <w:widowControl/>
      <w:spacing w:after="120" w:before="0" w:line="264" w:lineRule="auto"/>
      <w:ind w:firstLine="0"/>
      <w:jc w:val="both"/>
      <w:outlineLvl w:val="7"/>
    </w:pPr>
    <w:rPr>
      <w:rFonts w:ascii="Times New Roman" w:hAnsi="Times New Roman"/>
      <w:i/>
      <w:iCs/>
      <w:color w:val="000000"/>
      <w:sz w:val="22"/>
    </w:rPr>
  </w:style>
  <w:style w:styleId="Heading9" w:type="paragraph">
    <w:name w:val="heading 9"/>
    <w:basedOn w:val="Normal"/>
    <w:next w:val="BodyText"/>
    <w:link w:val="Heading9Char"/>
    <w:uiPriority w:val="9"/>
    <w:semiHidden/>
    <w:unhideWhenUsed/>
    <w:qFormat/>
    <w:rsid w:val="00A10FD9"/>
    <w:pPr>
      <w:keepNext/>
      <w:keepLines/>
      <w:widowControl/>
      <w:spacing w:after="120" w:before="0" w:line="264" w:lineRule="auto"/>
      <w:ind w:firstLine="0"/>
      <w:jc w:val="both"/>
      <w:outlineLvl w:val="8"/>
    </w:pPr>
    <w:rPr>
      <w:rFonts w:ascii="Times New Roman" w:hAnsi="Times New Roman"/>
      <w:color w:val="000000"/>
      <w:sz w:val="22"/>
    </w:rPr>
  </w:style>
  <w:style w:customStyle="1" w:styleId="Heading1Char" w:type="character">
    <w:name w:val="Heading 1 Char"/>
    <w:basedOn w:val="DefaultParagraphFont"/>
    <w:link w:val="Heading1"/>
    <w:uiPriority w:val="9"/>
    <w:rsid w:val="00A10FD9"/>
    <w:rPr>
      <w:rFonts w:ascii="Times New Roman" w:hAnsi="Times New Roman"/>
      <w:color w:val="000000"/>
      <w:sz w:val="22"/>
      <w:szCs w:val="40"/>
    </w:rPr>
  </w:style>
  <w:style w:customStyle="1" w:styleId="Heading2Char" w:type="character">
    <w:name w:val="Heading 2 Char"/>
    <w:basedOn w:val="DefaultParagraphFont"/>
    <w:link w:val="Heading2"/>
    <w:uiPriority w:val="9"/>
    <w:semiHidden/>
    <w:rsid w:val="00A10FD9"/>
    <w:rPr>
      <w:rFonts w:ascii="Times New Roman" w:hAnsi="Times New Roman"/>
      <w:color w:val="000000"/>
      <w:sz w:val="22"/>
      <w:szCs w:val="32"/>
    </w:rPr>
  </w:style>
  <w:style w:customStyle="1" w:styleId="Heading3Char" w:type="character">
    <w:name w:val="Heading 3 Char"/>
    <w:basedOn w:val="DefaultParagraphFont"/>
    <w:link w:val="Heading3"/>
    <w:uiPriority w:val="9"/>
    <w:semiHidden/>
    <w:rsid w:val="00A10FD9"/>
    <w:rPr>
      <w:rFonts w:ascii="Times New Roman" w:hAnsi="Times New Roman"/>
      <w:color w:val="000000"/>
      <w:sz w:val="22"/>
      <w:szCs w:val="28"/>
    </w:rPr>
  </w:style>
  <w:style w:customStyle="1" w:styleId="Heading4Char" w:type="character">
    <w:name w:val="Heading 4 Char"/>
    <w:basedOn w:val="DefaultParagraphFont"/>
    <w:link w:val="Heading4"/>
    <w:uiPriority w:val="9"/>
    <w:semiHidden/>
    <w:rsid w:val="00A10FD9"/>
    <w:rPr>
      <w:rFonts w:ascii="Times New Roman" w:hAnsi="Times New Roman"/>
      <w:i/>
      <w:iCs/>
      <w:color w:val="000000"/>
      <w:sz w:val="22"/>
    </w:rPr>
  </w:style>
  <w:style w:customStyle="1" w:styleId="Heading5Char" w:type="character">
    <w:name w:val="Heading 5 Char"/>
    <w:basedOn w:val="DefaultParagraphFont"/>
    <w:link w:val="Heading5"/>
    <w:uiPriority w:val="9"/>
    <w:semiHidden/>
    <w:rsid w:val="00A10FD9"/>
    <w:rPr>
      <w:rFonts w:ascii="Times New Roman" w:hAnsi="Times New Roman"/>
      <w:color w:val="000000"/>
      <w:sz w:val="22"/>
    </w:rPr>
  </w:style>
  <w:style w:customStyle="1" w:styleId="Heading6Char" w:type="character">
    <w:name w:val="Heading 6 Char"/>
    <w:basedOn w:val="DefaultParagraphFont"/>
    <w:link w:val="Heading6"/>
    <w:uiPriority w:val="9"/>
    <w:semiHidden/>
    <w:rsid w:val="00A10FD9"/>
    <w:rPr>
      <w:rFonts w:ascii="Times New Roman" w:hAnsi="Times New Roman"/>
      <w:i/>
      <w:iCs/>
      <w:color w:val="000000"/>
      <w:sz w:val="22"/>
    </w:rPr>
  </w:style>
  <w:style w:customStyle="1" w:styleId="Heading7Char" w:type="character">
    <w:name w:val="Heading 7 Char"/>
    <w:basedOn w:val="DefaultParagraphFont"/>
    <w:link w:val="Heading7"/>
    <w:uiPriority w:val="9"/>
    <w:semiHidden/>
    <w:rsid w:val="00A10FD9"/>
    <w:rPr>
      <w:rFonts w:ascii="Times New Roman" w:hAnsi="Times New Roman"/>
      <w:color w:val="000000"/>
      <w:sz w:val="22"/>
    </w:rPr>
  </w:style>
  <w:style w:customStyle="1" w:styleId="Heading8Char" w:type="character">
    <w:name w:val="Heading 8 Char"/>
    <w:basedOn w:val="DefaultParagraphFont"/>
    <w:link w:val="Heading8"/>
    <w:uiPriority w:val="9"/>
    <w:semiHidden/>
    <w:rsid w:val="00A10FD9"/>
    <w:rPr>
      <w:rFonts w:ascii="Times New Roman" w:hAnsi="Times New Roman"/>
      <w:i/>
      <w:iCs/>
      <w:color w:val="000000"/>
      <w:sz w:val="22"/>
    </w:rPr>
  </w:style>
  <w:style w:customStyle="1" w:styleId="Heading9Char" w:type="character">
    <w:name w:val="Heading 9 Char"/>
    <w:basedOn w:val="DefaultParagraphFont"/>
    <w:link w:val="Heading9"/>
    <w:uiPriority w:val="9"/>
    <w:semiHidden/>
    <w:rsid w:val="00A10FD9"/>
    <w:rPr>
      <w:rFonts w:ascii="Times New Roman" w:hAnsi="Times New Roman"/>
      <w:color w:val="000000"/>
      <w:sz w:val="22"/>
    </w:rPr>
  </w:style>
  <w:style w:styleId="BlockText" w:type="paragraph">
    <w:name w:val="Block Text"/>
    <w:basedOn w:val="BodyText"/>
    <w:next w:val="BodyText"/>
    <w:uiPriority w:val="9"/>
    <w:unhideWhenUsed/>
    <w:qFormat/>
    <w:pPr>
      <w:widowControl/>
      <w:spacing w:after="120" w:before="0" w:line="264" w:lineRule="auto"/>
      <w:ind w:left="480" w:right="480" w:firstLine="0"/>
      <w:jc w:val="both"/>
    </w:pPr>
    <w:rPr>
      <w:rFonts w:ascii="Times New Roman" w:hAnsi="Times New Roman"/>
      <w:color w:val="000000"/>
      <w:sz w:val="22"/>
    </w:rPr>
  </w:style>
  <w:style w:styleId="FootnoteText" w:type="paragraph">
    <w:name w:val="Footnote Text"/>
    <w:basedOn w:val="Normal"/>
    <w:next w:val="FootnoteText"/>
    <w:uiPriority w:val="9"/>
    <w:unhideWhenUsed/>
    <w:qFormat/>
    <w:pPr>
      <w:widowControl/>
      <w:spacing w:before="0" w:after="120" w:line="264" w:lineRule="auto"/>
      <w:ind w:firstLine="0"/>
      <w:jc w:val="both"/>
    </w:pPr>
    <w:rPr>
      <w:rFonts w:ascii="Times New Roman" w:hAnsi="Times New Roman"/>
      <w:color w:val="000000"/>
      <w:sz w:val="22"/>
    </w:rPr>
  </w:style>
  <w:style w:styleId="FootnoteBlockText" w:type="paragraph">
    <w:name w:val="Footnote Block Text"/>
    <w:basedOn w:val="FootnoteText"/>
    <w:next w:val="FootnoteText"/>
    <w:uiPriority w:val="9"/>
    <w:unhideWhenUsed/>
    <w:qFormat/>
    <w:pPr>
      <w:widowControl/>
      <w:spacing w:after="120" w:before="0" w:line="264" w:lineRule="auto"/>
      <w:ind w:left="480" w:right="480" w:firstLine="0"/>
      <w:jc w:val="both"/>
    </w:pPr>
    <w:rPr>
      <w:rFonts w:ascii="Times New Roman" w:hAnsi="Times New Roman"/>
      <w:color w:val="000000"/>
      <w:sz w:val="22"/>
    </w:rPr>
  </w:style>
  <w:style w:default="1" w:styleId="DefaultParagraphFont" w:type="character">
    <w:name w:val="Default Paragraph Font"/>
    <w:semiHidden/>
    <w:unhideWhenUsed/>
    <w:rPr>
      <w:rFonts w:ascii="Times New Roman" w:hAnsi="Times New Roman"/>
      <w:color w:val="000000"/>
      <w:sz w:val="22"/>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widowControl/>
      <w:spacing w:after="120" w:before="0" w:line="264" w:lineRule="auto"/>
      <w:ind w:firstLine="0"/>
      <w:jc w:val="both"/>
    </w:pPr>
    <w:rPr>
      <w:rFonts w:ascii="Times New Roman" w:hAnsi="Times New Roman"/>
      <w:b/>
      <w:color w:val="000000"/>
      <w:sz w:val="22"/>
    </w:rPr>
  </w:style>
  <w:style w:customStyle="1" w:styleId="Definition" w:type="paragraph">
    <w:name w:val="Definition"/>
    <w:basedOn w:val="Normal"/>
    <w:pPr>
      <w:widowControl/>
      <w:spacing w:before="0" w:after="120" w:line="264" w:lineRule="auto"/>
      <w:ind w:firstLine="0"/>
      <w:jc w:val="both"/>
    </w:pPr>
    <w:rPr>
      <w:rFonts w:ascii="Times New Roman" w:hAnsi="Times New Roman"/>
      <w:color w:val="000000"/>
      <w:sz w:val="22"/>
    </w:rPr>
  </w:style>
  <w:style w:styleId="Caption" w:type="paragraph">
    <w:name w:val="Caption"/>
    <w:basedOn w:val="Normal"/>
    <w:link w:val="BodyTextChar"/>
    <w:pPr>
      <w:keepLines/>
      <w:widowControl/>
      <w:spacing w:after="120" w:before="100" w:line="245" w:lineRule="auto"/>
      <w:ind w:firstLine="0"/>
      <w:jc w:val="left"/>
    </w:pPr>
    <w:rPr>
      <w:rFonts w:ascii="Times New Roman" w:hAnsi="Times New Roman"/>
      <w:i w:val="0"/>
      <w:color w:val="000000"/>
      <w:sz w:val="20"/>
    </w:rPr>
  </w:style>
  <w:style w:customStyle="1" w:styleId="TableCaption" w:type="paragraph">
    <w:name w:val="Table Caption"/>
    <w:basedOn w:val="Caption"/>
    <w:pPr>
      <w:keepNext/>
      <w:keepLines/>
      <w:widowControl/>
      <w:spacing w:before="100" w:after="120" w:line="245" w:lineRule="auto"/>
      <w:ind w:firstLine="0"/>
      <w:jc w:val="left"/>
    </w:pPr>
    <w:rPr>
      <w:rFonts w:ascii="Times New Roman" w:hAnsi="Times New Roman"/>
      <w:i w:val="0"/>
      <w:color w:val="000000"/>
      <w:sz w:val="20"/>
    </w:rPr>
  </w:style>
  <w:style w:customStyle="1" w:styleId="ImageCaption" w:type="paragraph">
    <w:name w:val="Image Caption"/>
    <w:basedOn w:val="Caption"/>
    <w:pPr>
      <w:keepLines/>
      <w:widowControl/>
      <w:spacing w:before="100" w:after="120" w:line="245" w:lineRule="auto"/>
      <w:ind w:firstLine="0"/>
      <w:jc w:val="left"/>
    </w:pPr>
    <w:rPr>
      <w:rFonts w:ascii="Times New Roman" w:hAnsi="Times New Roman"/>
      <w:i w:val="0"/>
      <w:color w:val="000000"/>
      <w:sz w:val="20"/>
    </w:rPr>
  </w:style>
  <w:style w:customStyle="1" w:styleId="Figure" w:type="paragraph">
    <w:name w:val="Figure"/>
    <w:basedOn w:val="Normal"/>
    <w:pPr>
      <w:widowControl/>
      <w:spacing w:before="0" w:after="120" w:line="264" w:lineRule="auto"/>
      <w:ind w:firstLine="0"/>
      <w:jc w:val="both"/>
    </w:pPr>
    <w:rPr>
      <w:rFonts w:ascii="Times New Roman" w:hAnsi="Times New Roman"/>
      <w:color w:val="000000"/>
      <w:sz w:val="22"/>
    </w:rPr>
  </w:style>
  <w:style w:customStyle="1" w:styleId="CaptionedFigure" w:type="paragraph">
    <w:name w:val="Captioned Figure"/>
    <w:basedOn w:val="Figure"/>
    <w:pPr>
      <w:keepNext/>
      <w:widowControl/>
      <w:spacing w:before="0" w:after="120" w:line="264" w:lineRule="auto"/>
      <w:ind w:firstLine="0"/>
      <w:jc w:val="both"/>
    </w:pPr>
    <w:rPr>
      <w:rFonts w:ascii="Times New Roman" w:hAnsi="Times New Roman"/>
      <w:color w:val="000000"/>
      <w:sz w:val="22"/>
    </w:rPr>
  </w:style>
  <w:style w:customStyle="1" w:styleId="BodyTextChar" w:type="character">
    <w:name w:val="Body Text Char"/>
    <w:basedOn w:val="DefaultParagraphFont"/>
    <w:link w:val="BodyText"/>
    <w:rPr>
      <w:rFonts w:ascii="Times New Roman" w:hAnsi="Times New Roman"/>
      <w:color w:val="000000"/>
      <w:sz w:val="22"/>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sz w:val="22"/>
    </w:rPr>
  </w:style>
  <w:style w:styleId="FootnoteReference" w:type="character">
    <w:name w:val="Footnote Reference"/>
    <w:basedOn w:val="BodyTextChar"/>
    <w:rPr>
      <w:rFonts w:ascii="Times New Roman" w:hAnsi="Times New Roman"/>
      <w:color w:val="000000"/>
      <w:sz w:val="22"/>
      <w:vertAlign w:val="superscript"/>
    </w:rPr>
  </w:style>
  <w:style w:styleId="Hyperlink" w:type="character">
    <w:name w:val="Hyperlink"/>
    <w:basedOn w:val="BodyTextChar"/>
    <w:rPr>
      <w:rFonts w:ascii="Times New Roman" w:hAnsi="Times New Roman"/>
      <w:color w:val="000000"/>
      <w:sz w:val="22"/>
    </w:rPr>
  </w:style>
  <w:style w:styleId="TOCHeading" w:type="paragraph">
    <w:name w:val="TOC Heading"/>
    <w:basedOn w:val="Heading1"/>
    <w:next w:val="BodyText"/>
    <w:uiPriority w:val="39"/>
    <w:unhideWhenUsed/>
    <w:qFormat/>
    <w:pPr>
      <w:widowControl/>
      <w:spacing w:before="0" w:line="264" w:lineRule="auto" w:after="120"/>
      <w:ind w:firstLine="0"/>
      <w:jc w:val="both"/>
      <w:outlineLvl w:val="9"/>
    </w:pPr>
    <w:rPr>
      <w:rFonts w:ascii="Times New Roman" w:hAnsi="Times New Roman"/>
      <w:b w:val="0"/>
      <w:bCs w:val="0"/>
      <w:color w:val="000000"/>
      <w:sz w:val="22"/>
    </w:rPr>
  </w:style>
  <w:style w:type="paragraph" w:customStyle="1" w:styleId="SourceCode">
    <w:name w:val="Source Code"/>
    <w:basedOn w:val="Normal"/>
    <w:link w:val="VerbatimChar"/>
    <w:pPr>
      <w:widowControl/>
      <w:wordWrap w:val="off"/>
      <w:spacing w:before="0" w:after="120" w:line="264" w:lineRule="auto"/>
      <w:ind w:firstLine="0"/>
      <w:jc w:val="both"/>
    </w:pPr>
    <w:rPr>
      <w:rFonts w:ascii="Times New Roman" w:hAnsi="Times New Roman"/>
      <w:color w:val="000000"/>
      <w:sz w:val="22"/>
    </w:r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6" Type="http://schemas.openxmlformats.org/officeDocument/2006/relationships/image" Target="media/rId16.png"/><Relationship Id="rId21" Type="http://schemas.openxmlformats.org/officeDocument/2006/relationships/image" Target="media/rId2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 Auditable Evidence Binding for Large Language Model-Assisted Post-Alarm Diagnosis in Industrial Sensor Time Series</dc:title>
  <dc:creator>Wu Zhang; Tianwu Lei; Luo Xiao; Yong Yang</dc:creator>
  <cp:keywords/>
  <dcterms:created xsi:type="dcterms:W3CDTF">2026-09-16T09:30:06Z</dcterms:created>
  <dcterms:modified xsi:type="dcterms:W3CDTF">2026-09-16T09:30:06Z</dcterms:modified>
  <dc:subject>Supplementary materials for the revised manuscript</dc:subject>
</cp:coreProperties>
</file>

<file path=docProps/custom.xml><?xml version="1.0" encoding="utf-8"?>
<Properties xmlns="http://schemas.openxmlformats.org/officeDocument/2006/custom-properties" xmlns:vt="http://schemas.openxmlformats.org/officeDocument/2006/docPropsVTypes"/>
</file>