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F4D7E">
      <w:pPr>
        <w:rPr>
          <w:rFonts w:hint="eastAsia" w:ascii="黑体" w:hAnsi="黑体" w:eastAsia="黑体" w:cs="黑体"/>
        </w:rPr>
      </w:pPr>
    </w:p>
    <w:tbl>
      <w:tblPr>
        <w:tblStyle w:val="3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500"/>
        <w:gridCol w:w="6500"/>
      </w:tblGrid>
      <w:tr w14:paraId="7133891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shd w:val="clear" w:color="auto" w:fill="1F4E79"/>
            <w:vAlign w:val="center"/>
          </w:tcPr>
          <w:p w14:paraId="07DD1450">
            <w:pPr>
              <w:spacing w:after="0" w:line="240" w:lineRule="auto"/>
              <w:rPr>
                <w:rFonts w:hint="eastAsia" w:ascii="黑体" w:hAnsi="黑体" w:eastAsia="黑体" w:cs="黑体"/>
              </w:rPr>
            </w:pPr>
            <w:r>
              <w:rPr>
                <w:rFonts w:hint="eastAsia" w:ascii="黑体" w:hAnsi="黑体" w:eastAsia="黑体" w:cs="黑体"/>
                <w:b/>
                <w:color w:val="FFFFFF"/>
                <w:sz w:val="20"/>
              </w:rPr>
              <w:t>项目</w:t>
            </w:r>
          </w:p>
        </w:tc>
        <w:tc>
          <w:tcPr>
            <w:tcW w:w="6500" w:type="dxa"/>
            <w:shd w:val="clear" w:color="auto" w:fill="1F4E79"/>
            <w:vAlign w:val="center"/>
          </w:tcPr>
          <w:p w14:paraId="4942CBF0">
            <w:pPr>
              <w:spacing w:after="0" w:line="240" w:lineRule="auto"/>
              <w:rPr>
                <w:rFonts w:hint="eastAsia" w:ascii="黑体" w:hAnsi="黑体" w:eastAsia="黑体" w:cs="黑体"/>
              </w:rPr>
            </w:pPr>
            <w:r>
              <w:rPr>
                <w:rFonts w:hint="eastAsia" w:ascii="黑体" w:hAnsi="黑体" w:eastAsia="黑体" w:cs="黑体"/>
                <w:b/>
                <w:color w:val="FFFFFF"/>
                <w:sz w:val="20"/>
              </w:rPr>
              <w:t>内容</w:t>
            </w:r>
          </w:p>
        </w:tc>
      </w:tr>
      <w:tr w14:paraId="51B32B2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3A9A9274">
            <w:pPr>
              <w:spacing w:after="0" w:line="240" w:lineRule="auto"/>
              <w:rPr>
                <w:rFonts w:hint="eastAsia" w:ascii="黑体" w:hAnsi="黑体" w:eastAsia="黑体" w:cs="黑体"/>
              </w:rPr>
            </w:pPr>
            <w:r>
              <w:rPr>
                <w:rFonts w:hint="eastAsia" w:ascii="黑体" w:hAnsi="黑体" w:eastAsia="黑体" w:cs="黑体"/>
                <w:b w:val="0"/>
                <w:sz w:val="19"/>
              </w:rPr>
              <w:t>论文题目</w:t>
            </w:r>
          </w:p>
        </w:tc>
        <w:tc>
          <w:tcPr>
            <w:tcW w:w="6500" w:type="dxa"/>
            <w:vAlign w:val="center"/>
          </w:tcPr>
          <w:p w14:paraId="079BDAA3">
            <w:pPr>
              <w:spacing w:after="0" w:line="240" w:lineRule="auto"/>
              <w:rPr>
                <w:rFonts w:hint="eastAsia" w:ascii="黑体" w:hAnsi="黑体" w:eastAsia="黑体" w:cs="黑体"/>
              </w:rPr>
            </w:pPr>
            <w:r>
              <w:rPr>
                <w:rFonts w:hint="eastAsia" w:ascii="黑体" w:hAnsi="黑体" w:eastAsia="黑体" w:cs="黑体"/>
                <w:b w:val="0"/>
                <w:sz w:val="19"/>
              </w:rPr>
              <w:t>Composite GDP nowcasting using macroeconomic variables and electricity data</w:t>
            </w:r>
          </w:p>
        </w:tc>
      </w:tr>
      <w:tr w14:paraId="7D424F2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562CA417">
            <w:pPr>
              <w:spacing w:after="0" w:line="240" w:lineRule="auto"/>
              <w:rPr>
                <w:rFonts w:hint="eastAsia" w:ascii="黑体" w:hAnsi="黑体" w:eastAsia="黑体" w:cs="黑体"/>
              </w:rPr>
            </w:pPr>
            <w:r>
              <w:rPr>
                <w:rFonts w:hint="eastAsia" w:ascii="黑体" w:hAnsi="黑体" w:eastAsia="黑体" w:cs="黑体"/>
                <w:b w:val="0"/>
                <w:sz w:val="19"/>
              </w:rPr>
              <w:t>作者与年份</w:t>
            </w:r>
          </w:p>
        </w:tc>
        <w:tc>
          <w:tcPr>
            <w:tcW w:w="6500" w:type="dxa"/>
            <w:vAlign w:val="center"/>
          </w:tcPr>
          <w:p w14:paraId="10DF3C2C">
            <w:pPr>
              <w:spacing w:after="0" w:line="240" w:lineRule="auto"/>
              <w:rPr>
                <w:rFonts w:hint="eastAsia" w:ascii="黑体" w:hAnsi="黑体" w:eastAsia="黑体" w:cs="黑体"/>
              </w:rPr>
            </w:pPr>
            <w:r>
              <w:rPr>
                <w:rFonts w:hint="eastAsia" w:ascii="黑体" w:hAnsi="黑体" w:eastAsia="黑体" w:cs="黑体"/>
                <w:b w:val="0"/>
                <w:sz w:val="19"/>
              </w:rPr>
              <w:t>Zhiqiang Lan, Zidi Liu, Guoyao Wu，2025 年发表在 PLOS ONE</w:t>
            </w:r>
          </w:p>
        </w:tc>
      </w:tr>
      <w:tr w14:paraId="5C79949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6506F974">
            <w:pPr>
              <w:spacing w:after="0" w:line="240" w:lineRule="auto"/>
              <w:rPr>
                <w:rFonts w:hint="eastAsia" w:ascii="黑体" w:hAnsi="黑体" w:eastAsia="黑体" w:cs="黑体"/>
              </w:rPr>
            </w:pPr>
            <w:r>
              <w:rPr>
                <w:rFonts w:hint="eastAsia" w:ascii="黑体" w:hAnsi="黑体" w:eastAsia="黑体" w:cs="黑体"/>
                <w:b w:val="0"/>
                <w:sz w:val="19"/>
              </w:rPr>
              <w:t>研究对象</w:t>
            </w:r>
          </w:p>
        </w:tc>
        <w:tc>
          <w:tcPr>
            <w:tcW w:w="6500" w:type="dxa"/>
            <w:vAlign w:val="center"/>
          </w:tcPr>
          <w:p w14:paraId="44745147">
            <w:pPr>
              <w:spacing w:after="0" w:line="240" w:lineRule="auto"/>
              <w:rPr>
                <w:rFonts w:hint="eastAsia" w:ascii="黑体" w:hAnsi="黑体" w:eastAsia="黑体" w:cs="黑体"/>
              </w:rPr>
            </w:pPr>
            <w:r>
              <w:rPr>
                <w:rFonts w:hint="eastAsia" w:ascii="黑体" w:hAnsi="黑体" w:eastAsia="黑体" w:cs="黑体"/>
                <w:b w:val="0"/>
                <w:sz w:val="19"/>
              </w:rPr>
              <w:t>以中国福建省为例，利用宏观经济指标与电力数据对季度 GDP 同比增速进行即时预测。</w:t>
            </w:r>
          </w:p>
        </w:tc>
      </w:tr>
      <w:tr w14:paraId="19A0BB4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5226138F">
            <w:pPr>
              <w:spacing w:after="0" w:line="240" w:lineRule="auto"/>
              <w:rPr>
                <w:rFonts w:hint="eastAsia" w:ascii="黑体" w:hAnsi="黑体" w:eastAsia="黑体" w:cs="黑体"/>
              </w:rPr>
            </w:pPr>
            <w:r>
              <w:rPr>
                <w:rFonts w:hint="eastAsia" w:ascii="黑体" w:hAnsi="黑体" w:eastAsia="黑体" w:cs="黑体"/>
                <w:b w:val="0"/>
                <w:sz w:val="19"/>
              </w:rPr>
              <w:t>核心数据</w:t>
            </w:r>
          </w:p>
        </w:tc>
        <w:tc>
          <w:tcPr>
            <w:tcW w:w="6500" w:type="dxa"/>
            <w:vAlign w:val="center"/>
          </w:tcPr>
          <w:p w14:paraId="3E4723D5">
            <w:pPr>
              <w:spacing w:after="0" w:line="240" w:lineRule="auto"/>
              <w:rPr>
                <w:rFonts w:hint="eastAsia" w:ascii="黑体" w:hAnsi="黑体" w:eastAsia="黑体" w:cs="黑体"/>
              </w:rPr>
            </w:pPr>
            <w:r>
              <w:rPr>
                <w:rFonts w:hint="eastAsia" w:ascii="黑体" w:hAnsi="黑体" w:eastAsia="黑体" w:cs="黑体"/>
                <w:b w:val="0"/>
                <w:sz w:val="19"/>
              </w:rPr>
              <w:t>宏观经济指标、月度用电量、月度电力容量变化。</w:t>
            </w:r>
          </w:p>
        </w:tc>
      </w:tr>
      <w:tr w14:paraId="474A92A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5B282060">
            <w:pPr>
              <w:spacing w:after="0" w:line="240" w:lineRule="auto"/>
              <w:rPr>
                <w:rFonts w:hint="eastAsia" w:ascii="黑体" w:hAnsi="黑体" w:eastAsia="黑体" w:cs="黑体"/>
              </w:rPr>
            </w:pPr>
            <w:r>
              <w:rPr>
                <w:rFonts w:hint="eastAsia" w:ascii="黑体" w:hAnsi="黑体" w:eastAsia="黑体" w:cs="黑体"/>
                <w:b w:val="0"/>
                <w:sz w:val="19"/>
              </w:rPr>
              <w:t>核心方法</w:t>
            </w:r>
          </w:p>
        </w:tc>
        <w:tc>
          <w:tcPr>
            <w:tcW w:w="6500" w:type="dxa"/>
            <w:vAlign w:val="center"/>
          </w:tcPr>
          <w:p w14:paraId="6FD53786">
            <w:pPr>
              <w:spacing w:after="0" w:line="240" w:lineRule="auto"/>
              <w:rPr>
                <w:rFonts w:hint="eastAsia" w:ascii="黑体" w:hAnsi="黑体" w:eastAsia="黑体" w:cs="黑体"/>
                <w:b w:val="0"/>
                <w:sz w:val="19"/>
              </w:rPr>
            </w:pPr>
            <w:r>
              <w:rPr>
                <w:rFonts w:hint="eastAsia" w:ascii="黑体" w:hAnsi="黑体" w:eastAsia="黑体" w:cs="黑体"/>
                <w:b w:val="0"/>
                <w:sz w:val="19"/>
              </w:rPr>
              <w:t>动态因子模型 DFM + 电力数据回归模型 + 模型加权融合。</w:t>
            </w:r>
          </w:p>
        </w:tc>
      </w:tr>
      <w:tr w14:paraId="0B51390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2242E03A">
            <w:pPr>
              <w:spacing w:after="0" w:line="240" w:lineRule="auto"/>
              <w:rPr>
                <w:rFonts w:hint="eastAsia" w:ascii="黑体" w:hAnsi="黑体" w:eastAsia="黑体" w:cs="黑体"/>
              </w:rPr>
            </w:pPr>
            <w:r>
              <w:rPr>
                <w:rFonts w:hint="eastAsia" w:ascii="黑体" w:hAnsi="黑体" w:eastAsia="黑体" w:cs="黑体"/>
                <w:b w:val="0"/>
                <w:sz w:val="19"/>
              </w:rPr>
              <w:t>与本项目关系</w:t>
            </w:r>
          </w:p>
        </w:tc>
        <w:tc>
          <w:tcPr>
            <w:tcW w:w="6500" w:type="dxa"/>
            <w:vAlign w:val="center"/>
          </w:tcPr>
          <w:p w14:paraId="390BE47C">
            <w:pPr>
              <w:spacing w:after="0" w:line="240" w:lineRule="auto"/>
              <w:rPr>
                <w:rFonts w:hint="eastAsia" w:ascii="黑体" w:hAnsi="黑体" w:eastAsia="黑体" w:cs="黑体"/>
                <w:b w:val="0"/>
                <w:sz w:val="19"/>
              </w:rPr>
            </w:pPr>
            <w:r>
              <w:rPr>
                <w:rFonts w:hint="eastAsia" w:ascii="黑体" w:hAnsi="黑体" w:eastAsia="黑体" w:cs="黑体"/>
                <w:b w:val="0"/>
                <w:sz w:val="19"/>
              </w:rPr>
              <w:t>为“电力数据如何转化为经济态势判断”提供了可参考的理论依据、指标构造方法和实证验证思路。</w:t>
            </w:r>
          </w:p>
        </w:tc>
      </w:tr>
      <w:tr w14:paraId="7AF2462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500" w:type="dxa"/>
            <w:vAlign w:val="center"/>
          </w:tcPr>
          <w:p w14:paraId="6CA61D3C">
            <w:pPr>
              <w:spacing w:after="0" w:line="240" w:lineRule="auto"/>
              <w:rPr>
                <w:rFonts w:hint="eastAsia" w:ascii="黑体" w:hAnsi="黑体" w:eastAsia="黑体" w:cs="黑体"/>
                <w:b w:val="0"/>
                <w:sz w:val="19"/>
              </w:rPr>
            </w:pPr>
            <w:r>
              <w:rPr>
                <w:rFonts w:hint="eastAsia" w:ascii="黑体" w:hAnsi="黑体" w:eastAsia="黑体" w:cs="黑体"/>
                <w:color w:val="505050"/>
                <w:sz w:val="20"/>
              </w:rPr>
              <w:t>DOI</w:t>
            </w:r>
          </w:p>
        </w:tc>
        <w:tc>
          <w:tcPr>
            <w:tcW w:w="6500" w:type="dxa"/>
            <w:vAlign w:val="center"/>
          </w:tcPr>
          <w:p w14:paraId="6804C819">
            <w:pPr>
              <w:spacing w:after="0" w:line="240" w:lineRule="auto"/>
              <w:rPr>
                <w:rFonts w:hint="eastAsia" w:ascii="黑体" w:hAnsi="黑体" w:eastAsia="黑体" w:cs="黑体"/>
                <w:b w:val="0"/>
                <w:sz w:val="19"/>
              </w:rPr>
            </w:pPr>
            <w:r>
              <w:rPr>
                <w:rFonts w:hint="eastAsia" w:ascii="黑体" w:hAnsi="黑体" w:eastAsia="黑体" w:cs="黑体"/>
                <w:b w:val="0"/>
                <w:sz w:val="19"/>
              </w:rPr>
              <w:t>10.1371/journal.pone.0324381</w:t>
            </w:r>
          </w:p>
        </w:tc>
      </w:tr>
    </w:tbl>
    <w:p w14:paraId="29EB77BA">
      <w:pPr>
        <w:spacing w:after="40"/>
        <w:rPr>
          <w:rFonts w:hint="eastAsia" w:ascii="黑体" w:hAnsi="黑体" w:eastAsia="黑体" w:cs="黑体"/>
        </w:rPr>
      </w:pPr>
    </w:p>
    <w:p w14:paraId="1FEAE413">
      <w:pPr>
        <w:spacing w:after="80" w:line="288" w:lineRule="auto"/>
        <w:ind w:firstLine="420"/>
        <w:rPr>
          <w:rFonts w:hint="eastAsia" w:ascii="黑体" w:hAnsi="黑体" w:eastAsia="黑体" w:cs="黑体"/>
        </w:rPr>
      </w:pPr>
      <w:r>
        <w:rPr>
          <w:rFonts w:hint="eastAsia" w:ascii="黑体" w:hAnsi="黑体" w:eastAsia="黑体" w:cs="黑体"/>
          <w:b w:val="0"/>
          <w:sz w:val="21"/>
        </w:rPr>
        <w:t>这篇论文的价值在于证明了一个关键事实：电力数据确实能够为 GDP 即时预测提供有效信息。论文把电力消费数据和电力容量变化引入经济预测模型，并通过福建省实证数据说明，将电力数据与宏观经济指标结合后，可以降低 GDP 增速预测误差。</w:t>
      </w:r>
    </w:p>
    <w:p w14:paraId="5FD5C7B4">
      <w:pPr>
        <w:pStyle w:val="3"/>
        <w:spacing w:before="200" w:after="80"/>
        <w:rPr>
          <w:rFonts w:hint="eastAsia" w:ascii="黑体" w:hAnsi="黑体" w:eastAsia="黑体" w:cs="黑体"/>
        </w:rPr>
      </w:pPr>
      <w:r>
        <w:rPr>
          <w:rFonts w:hint="eastAsia" w:ascii="黑体" w:hAnsi="黑体" w:eastAsia="黑体" w:cs="黑体"/>
          <w:b/>
          <w:color w:val="1F4E79"/>
          <w:sz w:val="30"/>
        </w:rPr>
        <w:t>二、论文中最值得本项目参考的内容</w:t>
      </w:r>
    </w:p>
    <w:tbl>
      <w:tblPr>
        <w:tblStyle w:val="3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400"/>
        <w:gridCol w:w="3600"/>
        <w:gridCol w:w="3600"/>
      </w:tblGrid>
      <w:tr w14:paraId="63EF1AA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shd w:val="clear" w:color="auto" w:fill="1F4E79"/>
            <w:vAlign w:val="center"/>
          </w:tcPr>
          <w:p w14:paraId="5641F5F9">
            <w:pPr>
              <w:spacing w:after="0" w:line="240" w:lineRule="auto"/>
              <w:rPr>
                <w:rFonts w:hint="eastAsia" w:ascii="黑体" w:hAnsi="黑体" w:eastAsia="黑体" w:cs="黑体"/>
              </w:rPr>
            </w:pPr>
            <w:r>
              <w:rPr>
                <w:rFonts w:hint="eastAsia" w:ascii="黑体" w:hAnsi="黑体" w:eastAsia="黑体" w:cs="黑体"/>
                <w:b/>
                <w:color w:val="FFFFFF"/>
                <w:sz w:val="20"/>
              </w:rPr>
              <w:t>可参考内容</w:t>
            </w:r>
          </w:p>
        </w:tc>
        <w:tc>
          <w:tcPr>
            <w:tcW w:w="3600" w:type="dxa"/>
            <w:shd w:val="clear" w:color="auto" w:fill="1F4E79"/>
            <w:vAlign w:val="center"/>
          </w:tcPr>
          <w:p w14:paraId="5EADE2F9">
            <w:pPr>
              <w:spacing w:after="0" w:line="240" w:lineRule="auto"/>
              <w:rPr>
                <w:rFonts w:hint="eastAsia" w:ascii="黑体" w:hAnsi="黑体" w:eastAsia="黑体" w:cs="黑体"/>
              </w:rPr>
            </w:pPr>
            <w:r>
              <w:rPr>
                <w:rFonts w:hint="eastAsia" w:ascii="黑体" w:hAnsi="黑体" w:eastAsia="黑体" w:cs="黑体"/>
                <w:b/>
                <w:color w:val="FFFFFF"/>
                <w:sz w:val="20"/>
              </w:rPr>
              <w:t>论文中的含义</w:t>
            </w:r>
          </w:p>
        </w:tc>
        <w:tc>
          <w:tcPr>
            <w:tcW w:w="3600" w:type="dxa"/>
            <w:shd w:val="clear" w:color="auto" w:fill="1F4E79"/>
            <w:vAlign w:val="center"/>
          </w:tcPr>
          <w:p w14:paraId="49DC423C">
            <w:pPr>
              <w:spacing w:after="0" w:line="240" w:lineRule="auto"/>
              <w:rPr>
                <w:rFonts w:hint="eastAsia" w:ascii="黑体" w:hAnsi="黑体" w:eastAsia="黑体" w:cs="黑体"/>
              </w:rPr>
            </w:pPr>
            <w:r>
              <w:rPr>
                <w:rFonts w:hint="eastAsia" w:ascii="黑体" w:hAnsi="黑体" w:eastAsia="黑体" w:cs="黑体"/>
                <w:b/>
                <w:color w:val="FFFFFF"/>
                <w:sz w:val="20"/>
              </w:rPr>
              <w:t>对本项目的启发</w:t>
            </w:r>
          </w:p>
        </w:tc>
      </w:tr>
      <w:tr w14:paraId="73A9AFB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vAlign w:val="center"/>
          </w:tcPr>
          <w:p w14:paraId="482C4608">
            <w:pPr>
              <w:spacing w:after="0" w:line="240" w:lineRule="auto"/>
              <w:rPr>
                <w:rFonts w:hint="eastAsia" w:ascii="黑体" w:hAnsi="黑体" w:eastAsia="黑体" w:cs="黑体"/>
              </w:rPr>
            </w:pPr>
            <w:r>
              <w:rPr>
                <w:rFonts w:hint="eastAsia" w:ascii="黑体" w:hAnsi="黑体" w:eastAsia="黑体" w:cs="黑体"/>
                <w:b w:val="0"/>
                <w:sz w:val="19"/>
              </w:rPr>
              <w:t>1. 电力数据作为经济高频代理变量</w:t>
            </w:r>
          </w:p>
        </w:tc>
        <w:tc>
          <w:tcPr>
            <w:tcW w:w="3600" w:type="dxa"/>
            <w:vAlign w:val="center"/>
          </w:tcPr>
          <w:p w14:paraId="6C9E7D1D">
            <w:pPr>
              <w:spacing w:after="0" w:line="240" w:lineRule="auto"/>
              <w:rPr>
                <w:rFonts w:hint="eastAsia" w:ascii="黑体" w:hAnsi="黑体" w:eastAsia="黑体" w:cs="黑体"/>
              </w:rPr>
            </w:pPr>
            <w:r>
              <w:rPr>
                <w:rFonts w:hint="eastAsia" w:ascii="黑体" w:hAnsi="黑体" w:eastAsia="黑体" w:cs="黑体"/>
                <w:b w:val="0"/>
                <w:sz w:val="19"/>
              </w:rPr>
              <w:t>论文指出 GDP 发布频率低且有滞后，而电力消费数据与生产活动密切相关，能够反映短期经济变化。</w:t>
            </w:r>
          </w:p>
        </w:tc>
        <w:tc>
          <w:tcPr>
            <w:tcW w:w="3600" w:type="dxa"/>
            <w:vAlign w:val="center"/>
          </w:tcPr>
          <w:p w14:paraId="1588F665">
            <w:pPr>
              <w:spacing w:after="0" w:line="240" w:lineRule="auto"/>
              <w:rPr>
                <w:rFonts w:hint="eastAsia" w:ascii="黑体" w:hAnsi="黑体" w:eastAsia="黑体" w:cs="黑体"/>
              </w:rPr>
            </w:pPr>
            <w:r>
              <w:rPr>
                <w:rFonts w:hint="eastAsia" w:ascii="黑体" w:hAnsi="黑体" w:eastAsia="黑体" w:cs="黑体"/>
                <w:b w:val="0"/>
                <w:sz w:val="19"/>
              </w:rPr>
              <w:t>可用于支撑本项目“通过电力数据感知经济态势”的研究背景。</w:t>
            </w:r>
          </w:p>
        </w:tc>
      </w:tr>
      <w:tr w14:paraId="5BCB204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vAlign w:val="center"/>
          </w:tcPr>
          <w:p w14:paraId="4F51BD3A">
            <w:pPr>
              <w:spacing w:after="0" w:line="240" w:lineRule="auto"/>
              <w:rPr>
                <w:rFonts w:hint="eastAsia" w:ascii="黑体" w:hAnsi="黑体" w:eastAsia="黑体" w:cs="黑体"/>
              </w:rPr>
            </w:pPr>
            <w:r>
              <w:rPr>
                <w:rFonts w:hint="eastAsia" w:ascii="黑体" w:hAnsi="黑体" w:eastAsia="黑体" w:cs="黑体"/>
                <w:b w:val="0"/>
                <w:sz w:val="19"/>
              </w:rPr>
              <w:t>2. 用电量同比增速指标</w:t>
            </w:r>
          </w:p>
        </w:tc>
        <w:tc>
          <w:tcPr>
            <w:tcW w:w="3600" w:type="dxa"/>
            <w:vAlign w:val="center"/>
          </w:tcPr>
          <w:p w14:paraId="4D8BC1BB">
            <w:pPr>
              <w:spacing w:after="0" w:line="240" w:lineRule="auto"/>
              <w:rPr>
                <w:rFonts w:hint="eastAsia" w:ascii="黑体" w:hAnsi="黑体" w:eastAsia="黑体" w:cs="黑体"/>
              </w:rPr>
            </w:pPr>
            <w:r>
              <w:rPr>
                <w:rFonts w:hint="eastAsia" w:ascii="黑体" w:hAnsi="黑体" w:eastAsia="黑体" w:cs="黑体"/>
                <w:b w:val="0"/>
                <w:sz w:val="19"/>
              </w:rPr>
              <w:t>论文将月度用电量转换为</w:t>
            </w:r>
            <w:r>
              <w:rPr>
                <w:rFonts w:hint="eastAsia" w:ascii="黑体" w:hAnsi="黑体" w:eastAsia="黑体" w:cs="黑体"/>
                <w:b w:val="0"/>
                <w:sz w:val="19"/>
                <w:highlight w:val="yellow"/>
              </w:rPr>
              <w:t>同比增长率</w:t>
            </w:r>
            <w:r>
              <w:rPr>
                <w:rFonts w:hint="eastAsia" w:ascii="黑体" w:hAnsi="黑体" w:eastAsia="黑体" w:cs="黑体"/>
                <w:b w:val="0"/>
                <w:sz w:val="19"/>
              </w:rPr>
              <w:t>，用于衡量当前月份相对去年同月的用电变化。</w:t>
            </w:r>
          </w:p>
        </w:tc>
        <w:tc>
          <w:tcPr>
            <w:tcW w:w="3600" w:type="dxa"/>
            <w:vAlign w:val="center"/>
          </w:tcPr>
          <w:p w14:paraId="5530D282">
            <w:pPr>
              <w:spacing w:after="0" w:line="240" w:lineRule="auto"/>
              <w:rPr>
                <w:rFonts w:hint="eastAsia" w:ascii="黑体" w:hAnsi="黑体" w:eastAsia="黑体" w:cs="黑体"/>
              </w:rPr>
            </w:pPr>
            <w:r>
              <w:rPr>
                <w:rFonts w:hint="eastAsia" w:ascii="黑体" w:hAnsi="黑体" w:eastAsia="黑体" w:cs="黑体"/>
                <w:b w:val="0"/>
                <w:sz w:val="19"/>
              </w:rPr>
              <w:t>智能体输入电力数据后，应先计算同比、环比、移动平均等基础特征，而不是直接分析原始用电量。</w:t>
            </w:r>
          </w:p>
        </w:tc>
      </w:tr>
      <w:tr w14:paraId="3578E32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vAlign w:val="center"/>
          </w:tcPr>
          <w:p w14:paraId="44CE4443">
            <w:pPr>
              <w:spacing w:after="0" w:line="240" w:lineRule="auto"/>
              <w:rPr>
                <w:rFonts w:hint="eastAsia" w:ascii="黑体" w:hAnsi="黑体" w:eastAsia="黑体" w:cs="黑体"/>
              </w:rPr>
            </w:pPr>
            <w:r>
              <w:rPr>
                <w:rFonts w:hint="eastAsia" w:ascii="黑体" w:hAnsi="黑体" w:eastAsia="黑体" w:cs="黑体"/>
                <w:b w:val="0"/>
                <w:sz w:val="19"/>
              </w:rPr>
              <w:t>3. 电力容量净增量</w:t>
            </w:r>
          </w:p>
        </w:tc>
        <w:tc>
          <w:tcPr>
            <w:tcW w:w="3600" w:type="dxa"/>
            <w:vAlign w:val="center"/>
          </w:tcPr>
          <w:p w14:paraId="1DE5030B">
            <w:pPr>
              <w:spacing w:after="0" w:line="240" w:lineRule="auto"/>
              <w:rPr>
                <w:rFonts w:hint="eastAsia" w:ascii="黑体" w:hAnsi="黑体" w:eastAsia="黑体" w:cs="黑体"/>
              </w:rPr>
            </w:pPr>
            <w:r>
              <w:rPr>
                <w:rFonts w:hint="eastAsia" w:ascii="黑体" w:hAnsi="黑体" w:eastAsia="黑体" w:cs="黑体"/>
                <w:b w:val="0"/>
                <w:sz w:val="19"/>
              </w:rPr>
              <w:t>论文引入过去三个月</w:t>
            </w:r>
            <w:r>
              <w:rPr>
                <w:rFonts w:hint="eastAsia" w:ascii="黑体" w:hAnsi="黑体" w:eastAsia="黑体" w:cs="黑体"/>
                <w:b w:val="0"/>
                <w:sz w:val="19"/>
                <w:highlight w:val="yellow"/>
              </w:rPr>
              <w:t>电力容量净增量</w:t>
            </w:r>
            <w:r>
              <w:rPr>
                <w:rFonts w:hint="eastAsia" w:ascii="黑体" w:hAnsi="黑体" w:eastAsia="黑体" w:cs="黑体"/>
                <w:b w:val="0"/>
                <w:sz w:val="19"/>
              </w:rPr>
              <w:t>，认为其能够反映后续月份用电需求预期。</w:t>
            </w:r>
          </w:p>
        </w:tc>
        <w:tc>
          <w:tcPr>
            <w:tcW w:w="3600" w:type="dxa"/>
            <w:vAlign w:val="center"/>
          </w:tcPr>
          <w:p w14:paraId="5A8A66C3">
            <w:pPr>
              <w:spacing w:after="0" w:line="240" w:lineRule="auto"/>
              <w:rPr>
                <w:rFonts w:hint="eastAsia" w:ascii="黑体" w:hAnsi="黑体" w:eastAsia="黑体" w:cs="黑体"/>
              </w:rPr>
            </w:pPr>
            <w:r>
              <w:rPr>
                <w:rFonts w:hint="eastAsia" w:ascii="黑体" w:hAnsi="黑体" w:eastAsia="黑体" w:cs="黑体"/>
                <w:b w:val="0"/>
                <w:sz w:val="19"/>
              </w:rPr>
              <w:t>可作为本项目的先行指标：企业扩产、项目投产、新增报装容量可能预示未来经济活动增强。</w:t>
            </w:r>
          </w:p>
        </w:tc>
      </w:tr>
      <w:tr w14:paraId="38E80B3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vAlign w:val="center"/>
          </w:tcPr>
          <w:p w14:paraId="6A39D67A">
            <w:pPr>
              <w:spacing w:after="0" w:line="240" w:lineRule="auto"/>
              <w:rPr>
                <w:rFonts w:hint="eastAsia" w:ascii="黑体" w:hAnsi="黑体" w:eastAsia="黑体" w:cs="黑体"/>
              </w:rPr>
            </w:pPr>
            <w:r>
              <w:rPr>
                <w:rFonts w:hint="eastAsia" w:ascii="黑体" w:hAnsi="黑体" w:eastAsia="黑体" w:cs="黑体"/>
                <w:b w:val="0"/>
                <w:sz w:val="19"/>
              </w:rPr>
              <w:t>4. 分季度阶段预测机制</w:t>
            </w:r>
          </w:p>
        </w:tc>
        <w:tc>
          <w:tcPr>
            <w:tcW w:w="3600" w:type="dxa"/>
            <w:vAlign w:val="center"/>
          </w:tcPr>
          <w:p w14:paraId="74D65861">
            <w:pPr>
              <w:spacing w:after="0" w:line="240" w:lineRule="auto"/>
              <w:rPr>
                <w:rFonts w:hint="eastAsia" w:ascii="黑体" w:hAnsi="黑体" w:eastAsia="黑体" w:cs="黑体"/>
              </w:rPr>
            </w:pPr>
            <w:r>
              <w:rPr>
                <w:rFonts w:hint="eastAsia" w:ascii="黑体" w:hAnsi="黑体" w:eastAsia="黑体" w:cs="黑体"/>
                <w:b w:val="0"/>
                <w:sz w:val="19"/>
              </w:rPr>
              <w:t>论文针对季度第 1、2、3 个月分别设计不同回归模型，因为不同时间点可获得的数据不同。</w:t>
            </w:r>
          </w:p>
        </w:tc>
        <w:tc>
          <w:tcPr>
            <w:tcW w:w="3600" w:type="dxa"/>
            <w:vAlign w:val="center"/>
          </w:tcPr>
          <w:p w14:paraId="41A15423">
            <w:pPr>
              <w:spacing w:after="0" w:line="240" w:lineRule="auto"/>
              <w:rPr>
                <w:rFonts w:hint="eastAsia" w:ascii="黑体" w:hAnsi="黑体" w:eastAsia="黑体" w:cs="黑体"/>
              </w:rPr>
            </w:pPr>
            <w:r>
              <w:rPr>
                <w:rFonts w:hint="eastAsia" w:ascii="黑体" w:hAnsi="黑体" w:eastAsia="黑体" w:cs="黑体"/>
                <w:b w:val="0"/>
                <w:sz w:val="19"/>
              </w:rPr>
              <w:t>智能体应根据用户上传数据的完整程度自动选择分析策略：一个月数据给初步判断，三个月数据给完整季度研判。</w:t>
            </w:r>
          </w:p>
        </w:tc>
      </w:tr>
      <w:tr w14:paraId="57DE284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vAlign w:val="center"/>
          </w:tcPr>
          <w:p w14:paraId="5E1A32A6">
            <w:pPr>
              <w:spacing w:after="0" w:line="240" w:lineRule="auto"/>
              <w:rPr>
                <w:rFonts w:hint="eastAsia" w:ascii="黑体" w:hAnsi="黑体" w:eastAsia="黑体" w:cs="黑体"/>
              </w:rPr>
            </w:pPr>
            <w:r>
              <w:rPr>
                <w:rFonts w:hint="eastAsia" w:ascii="黑体" w:hAnsi="黑体" w:eastAsia="黑体" w:cs="黑体"/>
                <w:b w:val="0"/>
                <w:sz w:val="19"/>
              </w:rPr>
              <w:t>5. 滚动窗口估计</w:t>
            </w:r>
          </w:p>
        </w:tc>
        <w:tc>
          <w:tcPr>
            <w:tcW w:w="3600" w:type="dxa"/>
            <w:vAlign w:val="center"/>
          </w:tcPr>
          <w:p w14:paraId="1B10194A">
            <w:pPr>
              <w:spacing w:after="0" w:line="240" w:lineRule="auto"/>
              <w:rPr>
                <w:rFonts w:hint="eastAsia" w:ascii="黑体" w:hAnsi="黑体" w:eastAsia="黑体" w:cs="黑体"/>
              </w:rPr>
            </w:pPr>
            <w:r>
              <w:rPr>
                <w:rFonts w:hint="eastAsia" w:ascii="黑体" w:hAnsi="黑体" w:eastAsia="黑体" w:cs="黑体"/>
                <w:b w:val="0"/>
                <w:sz w:val="19"/>
              </w:rPr>
              <w:t>论文使用 9 个季度滚动窗口，使模型更贴近当前电力—经济关系。</w:t>
            </w:r>
          </w:p>
        </w:tc>
        <w:tc>
          <w:tcPr>
            <w:tcW w:w="3600" w:type="dxa"/>
            <w:vAlign w:val="center"/>
          </w:tcPr>
          <w:p w14:paraId="6B47C3FB">
            <w:pPr>
              <w:spacing w:after="0" w:line="240" w:lineRule="auto"/>
              <w:rPr>
                <w:rFonts w:hint="eastAsia" w:ascii="黑体" w:hAnsi="黑体" w:eastAsia="黑体" w:cs="黑体"/>
              </w:rPr>
            </w:pPr>
            <w:r>
              <w:rPr>
                <w:rFonts w:hint="eastAsia" w:ascii="黑体" w:hAnsi="黑体" w:eastAsia="黑体" w:cs="黑体"/>
                <w:b w:val="0"/>
                <w:sz w:val="19"/>
              </w:rPr>
              <w:t>本项目不能长期使用固定系数，应定期更新模型，适应产业结构和能效水平变化。</w:t>
            </w:r>
          </w:p>
        </w:tc>
      </w:tr>
      <w:tr w14:paraId="3F0D230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00" w:type="dxa"/>
            <w:vAlign w:val="center"/>
          </w:tcPr>
          <w:p w14:paraId="3553E53B">
            <w:pPr>
              <w:spacing w:after="0" w:line="240" w:lineRule="auto"/>
              <w:rPr>
                <w:rFonts w:hint="eastAsia" w:ascii="黑体" w:hAnsi="黑体" w:eastAsia="黑体" w:cs="黑体"/>
              </w:rPr>
            </w:pPr>
            <w:r>
              <w:rPr>
                <w:rFonts w:hint="eastAsia" w:ascii="黑体" w:hAnsi="黑体" w:eastAsia="黑体" w:cs="黑体"/>
                <w:b w:val="0"/>
                <w:sz w:val="19"/>
                <w:lang w:val="en-US" w:eastAsia="zh-CN"/>
              </w:rPr>
              <w:t>6.</w:t>
            </w:r>
            <w:r>
              <w:rPr>
                <w:rFonts w:hint="eastAsia" w:ascii="黑体" w:hAnsi="黑体" w:eastAsia="黑体" w:cs="黑体"/>
                <w:b w:val="0"/>
                <w:sz w:val="19"/>
              </w:rPr>
              <w:t xml:space="preserve"> 异常季度识别</w:t>
            </w:r>
          </w:p>
        </w:tc>
        <w:tc>
          <w:tcPr>
            <w:tcW w:w="3600" w:type="dxa"/>
            <w:vAlign w:val="center"/>
          </w:tcPr>
          <w:p w14:paraId="58D69327">
            <w:pPr>
              <w:spacing w:after="0" w:line="240" w:lineRule="auto"/>
              <w:rPr>
                <w:rFonts w:hint="eastAsia" w:ascii="黑体" w:hAnsi="黑体" w:eastAsia="黑体" w:cs="黑体"/>
              </w:rPr>
            </w:pPr>
            <w:r>
              <w:rPr>
                <w:rFonts w:hint="eastAsia" w:ascii="黑体" w:hAnsi="黑体" w:eastAsia="黑体" w:cs="黑体"/>
                <w:b w:val="0"/>
                <w:sz w:val="19"/>
              </w:rPr>
              <w:t>论文指出 2023Q1、2024Q1 等特殊季度会导致模型误差明显增大。</w:t>
            </w:r>
          </w:p>
        </w:tc>
        <w:tc>
          <w:tcPr>
            <w:tcW w:w="3600" w:type="dxa"/>
            <w:vAlign w:val="center"/>
          </w:tcPr>
          <w:p w14:paraId="4E85EC49">
            <w:pPr>
              <w:spacing w:after="0" w:line="240" w:lineRule="auto"/>
              <w:rPr>
                <w:rFonts w:hint="eastAsia" w:ascii="黑体" w:hAnsi="黑体" w:eastAsia="黑体" w:cs="黑体"/>
              </w:rPr>
            </w:pPr>
            <w:r>
              <w:rPr>
                <w:rFonts w:hint="eastAsia" w:ascii="黑体" w:hAnsi="黑体" w:eastAsia="黑体" w:cs="黑体"/>
                <w:b w:val="0"/>
                <w:sz w:val="19"/>
              </w:rPr>
              <w:t>智能体必须识别低基数效应、疫情冲击、极端天气、春节错位等异常因素，避免机械判断。</w:t>
            </w:r>
          </w:p>
        </w:tc>
      </w:tr>
    </w:tbl>
    <w:p w14:paraId="5641FE01">
      <w:pPr>
        <w:spacing w:after="40"/>
        <w:rPr>
          <w:rFonts w:hint="eastAsia" w:ascii="黑体" w:hAnsi="黑体" w:eastAsia="黑体" w:cs="黑体"/>
        </w:rPr>
      </w:pPr>
    </w:p>
    <w:p w14:paraId="45E04537">
      <w:pPr>
        <w:pStyle w:val="3"/>
        <w:spacing w:before="200" w:after="80"/>
        <w:rPr>
          <w:rFonts w:hint="eastAsia" w:ascii="黑体" w:hAnsi="黑体" w:eastAsia="黑体" w:cs="黑体"/>
        </w:rPr>
      </w:pPr>
      <w:r>
        <w:rPr>
          <w:rFonts w:hint="eastAsia" w:ascii="黑体" w:hAnsi="黑体" w:eastAsia="黑体" w:cs="黑体"/>
          <w:b/>
          <w:color w:val="1F4E79"/>
          <w:sz w:val="30"/>
        </w:rPr>
        <w:t>三、关键方法解释：如何用电力数据预测经济趋势</w:t>
      </w:r>
    </w:p>
    <w:p w14:paraId="0C8C861A">
      <w:pPr>
        <w:pStyle w:val="4"/>
        <w:spacing w:before="120" w:after="80"/>
        <w:rPr>
          <w:rFonts w:hint="eastAsia" w:ascii="黑体" w:hAnsi="黑体" w:eastAsia="黑体" w:cs="黑体"/>
        </w:rPr>
      </w:pPr>
      <w:r>
        <w:rPr>
          <w:rFonts w:hint="eastAsia" w:ascii="黑体" w:hAnsi="黑体" w:eastAsia="黑体" w:cs="黑体"/>
          <w:b/>
          <w:color w:val="1F4E79"/>
          <w:sz w:val="26"/>
        </w:rPr>
        <w:t>3.1 为什么电力数据可以反映经济</w:t>
      </w:r>
    </w:p>
    <w:p w14:paraId="739F9071">
      <w:pPr>
        <w:spacing w:after="80" w:line="288" w:lineRule="auto"/>
        <w:ind w:firstLine="420"/>
        <w:rPr>
          <w:rFonts w:hint="eastAsia" w:ascii="黑体" w:hAnsi="黑体" w:eastAsia="黑体" w:cs="黑体"/>
        </w:rPr>
      </w:pPr>
      <w:r>
        <w:rPr>
          <w:rFonts w:hint="eastAsia" w:ascii="黑体" w:hAnsi="黑体" w:eastAsia="黑体" w:cs="黑体"/>
          <w:b w:val="0"/>
          <w:sz w:val="21"/>
        </w:rPr>
        <w:t>论文的基本逻辑</w:t>
      </w:r>
      <w:r>
        <w:rPr>
          <w:rFonts w:hint="eastAsia" w:ascii="黑体" w:hAnsi="黑体" w:eastAsia="黑体" w:cs="黑体"/>
          <w:b w:val="0"/>
          <w:sz w:val="21"/>
          <w:lang w:val="en-US" w:eastAsia="zh-CN"/>
        </w:rPr>
        <w:t>为</w:t>
      </w:r>
      <w:r>
        <w:rPr>
          <w:rFonts w:hint="eastAsia" w:ascii="黑体" w:hAnsi="黑体" w:eastAsia="黑体" w:cs="黑体"/>
          <w:b w:val="0"/>
          <w:sz w:val="21"/>
        </w:rPr>
        <w:t>GDP 是衡量经济运行的重要指标，但季度 GDP 通常发布时间较晚；而电力消费数据具有频率高、覆盖广、实时性强等特点。工业生产、商业活动、居民消费等经济活动都会在用电量上留下痕迹，因此电力数据可以作为观察经济运行状态的高频信号。</w:t>
      </w:r>
    </w:p>
    <w:p w14:paraId="3FC46D93">
      <w:pPr>
        <w:spacing w:after="80" w:line="288" w:lineRule="auto"/>
        <w:ind w:firstLine="420"/>
        <w:rPr>
          <w:rFonts w:hint="eastAsia" w:ascii="黑体" w:hAnsi="黑体" w:eastAsia="黑体" w:cs="黑体"/>
        </w:rPr>
      </w:pPr>
      <w:r>
        <w:rPr>
          <w:rFonts w:hint="eastAsia" w:ascii="黑体" w:hAnsi="黑体" w:eastAsia="黑体" w:cs="黑体"/>
          <w:b w:val="0"/>
          <w:sz w:val="21"/>
        </w:rPr>
        <w:t>不过，论文也强调，电力数据不能简单等同于经济数据。用电量还会受到温度、节假日、产业结构、技术进步和突发事件等因素影响。因此，更可靠的做法是将电力数据与宏观经济指标、异常识别和模型融合结合起来。</w:t>
      </w:r>
    </w:p>
    <w:p w14:paraId="7549E21F">
      <w:pPr>
        <w:pStyle w:val="4"/>
        <w:spacing w:before="120" w:after="80"/>
        <w:rPr>
          <w:rFonts w:hint="eastAsia" w:ascii="黑体" w:hAnsi="黑体" w:eastAsia="黑体" w:cs="黑体"/>
        </w:rPr>
      </w:pPr>
      <w:r>
        <w:rPr>
          <w:rFonts w:hint="eastAsia" w:ascii="黑体" w:hAnsi="黑体" w:eastAsia="黑体" w:cs="黑体"/>
          <w:b/>
          <w:color w:val="1F4E79"/>
          <w:sz w:val="26"/>
        </w:rPr>
        <w:t>3.2 用电量同比增速：衡量当前经济活动强弱</w:t>
      </w:r>
    </w:p>
    <w:p w14:paraId="5BEBA44C">
      <w:pPr>
        <w:spacing w:after="80" w:line="288" w:lineRule="auto"/>
        <w:rPr>
          <w:rFonts w:hint="eastAsia" w:ascii="黑体" w:hAnsi="黑体" w:eastAsia="黑体" w:cs="黑体"/>
        </w:rPr>
      </w:pPr>
      <w:r>
        <w:rPr>
          <w:rFonts w:hint="eastAsia" w:ascii="黑体" w:hAnsi="黑体" w:eastAsia="黑体" w:cs="黑体"/>
          <w:b w:val="0"/>
          <w:sz w:val="21"/>
        </w:rPr>
        <w:t>论文将某个月的用电量与去年同月进行比较，形成月度用电量同比增速。其形式可以写为：</w:t>
      </w:r>
    </w:p>
    <w:p w14:paraId="2B1BEC5C">
      <w:pPr>
        <w:spacing w:after="80" w:line="288" w:lineRule="auto"/>
        <w:rPr>
          <w:rFonts w:hint="eastAsia" w:ascii="黑体" w:hAnsi="黑体" w:eastAsia="黑体" w:cs="黑体"/>
        </w:rPr>
      </w:pPr>
      <m:oMathPara>
        <m:oMath>
          <m:sSub>
            <m:sSubPr>
              <m:ctrlPr>
                <w:rPr>
                  <w:rFonts w:hint="default" w:ascii="Cambria Math" w:hAnsi="Cambria Math"/>
                  <w:sz w:val="22"/>
                </w:rPr>
              </m:ctrlPr>
            </m:sSubPr>
            <m:e>
              <m:r>
                <m:rPr/>
                <w:rPr>
                  <w:rFonts w:hint="default" w:ascii="Cambria Math" w:hAnsi="Cambria Math"/>
                  <w:sz w:val="22"/>
                </w:rPr>
                <m:t>r</m:t>
              </m:r>
              <m:ctrlPr>
                <w:rPr>
                  <w:rFonts w:ascii="Cambria Math" w:hAnsi="Cambria Math"/>
                  <w:sz w:val="22"/>
                </w:rPr>
              </m:ctrlPr>
            </m:e>
            <m:sub>
              <m:r>
                <m:rPr/>
                <w:rPr>
                  <w:rFonts w:hint="default" w:ascii="Cambria Math" w:hAnsi="Cambria Math"/>
                  <w:sz w:val="22"/>
                </w:rPr>
                <m:t>E</m:t>
              </m:r>
              <m:ctrlPr>
                <w:rPr>
                  <w:rFonts w:ascii="Cambria Math" w:hAnsi="Cambria Math"/>
                  <w:sz w:val="22"/>
                </w:rPr>
              </m:ctrlPr>
            </m:sub>
          </m:sSub>
          <m:r>
            <m:rPr/>
            <w:rPr>
              <w:rFonts w:hint="default" w:ascii="Cambria Math" w:hAnsi="Cambria Math"/>
              <w:sz w:val="22"/>
            </w:rPr>
            <m:t>,t=(</m:t>
          </m:r>
          <m:sSub>
            <m:sSubPr>
              <m:ctrlPr>
                <w:rPr>
                  <w:rFonts w:hint="default" w:ascii="Cambria Math" w:hAnsi="Cambria Math"/>
                  <w:sz w:val="22"/>
                </w:rPr>
              </m:ctrlPr>
            </m:sSubPr>
            <m:e>
              <m:r>
                <m:rPr/>
                <w:rPr>
                  <w:rFonts w:hint="default" w:ascii="Cambria Math" w:hAnsi="Cambria Math"/>
                  <w:sz w:val="22"/>
                </w:rPr>
                <m:t>E</m:t>
              </m:r>
              <m:ctrlPr>
                <w:rPr>
                  <w:rFonts w:ascii="Cambria Math" w:hAnsi="Cambria Math"/>
                  <w:sz w:val="22"/>
                </w:rPr>
              </m:ctrlPr>
            </m:e>
            <m:sub>
              <m:r>
                <m:rPr/>
                <w:rPr>
                  <w:rFonts w:hint="default" w:ascii="Cambria Math" w:hAnsi="Cambria Math"/>
                  <w:sz w:val="22"/>
                </w:rPr>
                <m:t>t</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E</m:t>
              </m:r>
              <m:ctrlPr>
                <w:rPr>
                  <w:rFonts w:ascii="Cambria Math" w:hAnsi="Cambria Math"/>
                  <w:sz w:val="22"/>
                </w:rPr>
              </m:ctrlPr>
            </m:e>
            <m:sub>
              <m:r>
                <m:rPr/>
                <w:rPr>
                  <w:rFonts w:hint="default" w:ascii="Cambria Math" w:hAnsi="Cambria Math"/>
                  <w:sz w:val="22"/>
                </w:rPr>
                <m:t>t−12</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E</m:t>
              </m:r>
              <m:ctrlPr>
                <w:rPr>
                  <w:rFonts w:ascii="Cambria Math" w:hAnsi="Cambria Math"/>
                  <w:sz w:val="22"/>
                </w:rPr>
              </m:ctrlPr>
            </m:e>
            <m:sub>
              <m:r>
                <m:rPr/>
                <w:rPr>
                  <w:rFonts w:hint="default" w:ascii="Cambria Math" w:hAnsi="Cambria Math"/>
                  <w:sz w:val="22"/>
                </w:rPr>
                <m:t>t−12</m:t>
              </m:r>
              <m:ctrlPr>
                <w:rPr>
                  <w:rFonts w:ascii="Cambria Math" w:hAnsi="Cambria Math"/>
                  <w:sz w:val="22"/>
                </w:rPr>
              </m:ctrlPr>
            </m:sub>
          </m:sSub>
        </m:oMath>
      </m:oMathPara>
    </w:p>
    <w:p w14:paraId="760FCFD5">
      <w:pPr>
        <w:spacing w:after="80" w:line="288" w:lineRule="auto"/>
        <w:ind w:firstLine="420"/>
        <w:rPr>
          <w:rFonts w:hint="eastAsia" w:ascii="黑体" w:hAnsi="黑体" w:eastAsia="黑体" w:cs="黑体"/>
        </w:rPr>
      </w:pPr>
      <w:r>
        <w:rPr>
          <w:rFonts w:hint="eastAsia" w:ascii="黑体" w:hAnsi="黑体" w:eastAsia="黑体" w:cs="黑体"/>
          <w:b w:val="0"/>
          <w:sz w:val="21"/>
        </w:rPr>
        <w:t>其中，</w:t>
      </w:r>
      <m:oMath>
        <m:sSub>
          <m:sSubPr>
            <m:ctrlPr>
              <w:rPr>
                <w:rFonts w:hint="default" w:ascii="Cambria Math" w:hAnsi="Cambria Math" w:eastAsia="黑体"/>
                <w:sz w:val="21"/>
              </w:rPr>
            </m:ctrlPr>
          </m:sSubPr>
          <m:e>
            <m:r>
              <m:rPr/>
              <w:rPr>
                <w:rFonts w:hint="default" w:ascii="Cambria Math" w:hAnsi="Cambria Math" w:eastAsia="黑体"/>
                <w:sz w:val="21"/>
              </w:rPr>
              <m:t>E</m:t>
            </m:r>
            <m:ctrlPr>
              <w:rPr>
                <w:rFonts w:ascii="Cambria Math" w:hAnsi="Cambria Math" w:eastAsia="黑体"/>
                <w:sz w:val="21"/>
              </w:rPr>
            </m:ctrlPr>
          </m:e>
          <m:sub>
            <m:r>
              <m:rPr/>
              <w:rPr>
                <w:rFonts w:hint="default" w:ascii="Cambria Math" w:hAnsi="Cambria Math" w:eastAsia="黑体"/>
                <w:sz w:val="21"/>
              </w:rPr>
              <m:t>t</m:t>
            </m:r>
            <m:ctrlPr>
              <w:rPr>
                <w:rFonts w:ascii="Cambria Math" w:hAnsi="Cambria Math" w:eastAsia="黑体"/>
                <w:sz w:val="21"/>
              </w:rPr>
            </m:ctrlPr>
          </m:sub>
        </m:sSub>
      </m:oMath>
      <w:r>
        <w:rPr>
          <w:rFonts w:hint="eastAsia" w:ascii="黑体" w:hAnsi="黑体" w:eastAsia="黑体" w:cs="黑体"/>
          <w:b w:val="0"/>
          <w:sz w:val="21"/>
        </w:rPr>
        <w:t>表示第 t 个月的用电量，</w:t>
      </w:r>
      <m:oMath>
        <m:sSub>
          <m:sSubPr>
            <m:ctrlPr>
              <w:rPr>
                <w:rFonts w:hint="default" w:ascii="Cambria Math" w:hAnsi="Cambria Math" w:eastAsia="黑体"/>
                <w:sz w:val="21"/>
              </w:rPr>
            </m:ctrlPr>
          </m:sSubPr>
          <m:e>
            <m:r>
              <m:rPr/>
              <w:rPr>
                <w:rFonts w:hint="default" w:ascii="Cambria Math" w:hAnsi="Cambria Math" w:eastAsia="黑体"/>
                <w:sz w:val="21"/>
              </w:rPr>
              <m:t>E</m:t>
            </m:r>
            <m:ctrlPr>
              <w:rPr>
                <w:rFonts w:ascii="Cambria Math" w:hAnsi="Cambria Math" w:eastAsia="黑体"/>
                <w:sz w:val="21"/>
              </w:rPr>
            </m:ctrlPr>
          </m:e>
          <m:sub>
            <m:r>
              <m:rPr/>
              <w:rPr>
                <w:rFonts w:hint="default" w:ascii="Cambria Math" w:hAnsi="Cambria Math" w:eastAsia="黑体"/>
                <w:sz w:val="21"/>
              </w:rPr>
              <m:t>t−12</m:t>
            </m:r>
            <m:ctrlPr>
              <w:rPr>
                <w:rFonts w:ascii="Cambria Math" w:hAnsi="Cambria Math" w:eastAsia="黑体"/>
                <w:sz w:val="21"/>
              </w:rPr>
            </m:ctrlPr>
          </m:sub>
        </m:sSub>
      </m:oMath>
      <w:r>
        <w:rPr>
          <w:rFonts w:hint="eastAsia" w:ascii="黑体" w:hAnsi="黑体" w:eastAsia="黑体" w:cs="黑体"/>
          <w:b w:val="0"/>
          <w:sz w:val="21"/>
        </w:rPr>
        <w:t>表示去年同月的用电量。这个指标表示当前月份用电量比去年同月增长了多少。例如，今年 5 月用电量为 110 亿千瓦时，去年 5 月为 100 亿千瓦时，则同比增速为 10%。</w:t>
      </w:r>
    </w:p>
    <w:p w14:paraId="29B4054C">
      <w:pPr>
        <w:spacing w:after="80" w:line="288" w:lineRule="auto"/>
        <w:ind w:firstLine="420"/>
        <w:rPr>
          <w:rFonts w:hint="eastAsia" w:ascii="黑体" w:hAnsi="黑体" w:eastAsia="黑体" w:cs="黑体"/>
        </w:rPr>
      </w:pPr>
      <w:r>
        <w:rPr>
          <w:rFonts w:hint="eastAsia" w:ascii="黑体" w:hAnsi="黑体" w:eastAsia="黑体" w:cs="黑体"/>
          <w:b w:val="0"/>
          <w:sz w:val="21"/>
        </w:rPr>
        <w:t>对智能体而言，这意味着用户上传原始电力数据后，系统应首先自动生成同比增长率、环比增长率、季度累计增速、三个月移动平均等特征。只有经过这种特征转换后，智能体才能更合理地判断经济趋势。</w:t>
      </w:r>
    </w:p>
    <w:p w14:paraId="550E8DDF">
      <w:pPr>
        <w:pStyle w:val="4"/>
        <w:spacing w:before="120" w:after="80"/>
        <w:rPr>
          <w:rFonts w:hint="eastAsia" w:ascii="黑体" w:hAnsi="黑体" w:eastAsia="黑体" w:cs="黑体"/>
        </w:rPr>
      </w:pPr>
      <w:r>
        <w:rPr>
          <w:rFonts w:hint="eastAsia" w:ascii="黑体" w:hAnsi="黑体" w:eastAsia="黑体" w:cs="黑体"/>
          <w:b/>
          <w:color w:val="1F4E79"/>
          <w:sz w:val="26"/>
        </w:rPr>
        <w:t>3.3 电力容量净增量：反映未来需求预期</w:t>
      </w:r>
    </w:p>
    <w:p w14:paraId="7EE83ED6">
      <w:pPr>
        <w:spacing w:after="80" w:line="288" w:lineRule="auto"/>
        <w:rPr>
          <w:rFonts w:hint="eastAsia" w:ascii="黑体" w:hAnsi="黑体" w:eastAsia="黑体" w:cs="黑体"/>
        </w:rPr>
      </w:pPr>
      <w:r>
        <w:rPr>
          <w:rFonts w:hint="eastAsia" w:ascii="黑体" w:hAnsi="黑体" w:eastAsia="黑体" w:cs="黑体"/>
          <w:b w:val="0"/>
          <w:sz w:val="21"/>
        </w:rPr>
        <w:t>论文的一个重要创新是引入“电力容量净增量”作为预测变量。它关注的不是已经消耗了多少电，而是过去三个月新增了多少用电能力。其变化率可表示为：</w:t>
      </w:r>
    </w:p>
    <w:p w14:paraId="2780CC08">
      <w:pPr>
        <w:spacing w:after="80" w:line="288" w:lineRule="auto"/>
        <w:rPr>
          <w:rFonts w:hint="eastAsia" w:ascii="黑体" w:hAnsi="黑体" w:eastAsia="黑体" w:cs="黑体"/>
        </w:rPr>
      </w:pPr>
      <m:oMathPara>
        <m:oMath>
          <m:sSub>
            <m:sSubPr>
              <m:ctrlPr>
                <w:rPr>
                  <w:rFonts w:hint="default" w:ascii="Cambria Math" w:hAnsi="Cambria Math"/>
                  <w:sz w:val="22"/>
                </w:rPr>
              </m:ctrlPr>
            </m:sSubPr>
            <m:e>
              <m:r>
                <m:rPr/>
                <w:rPr>
                  <w:rFonts w:hint="default" w:ascii="Cambria Math" w:hAnsi="Cambria Math"/>
                  <w:sz w:val="22"/>
                </w:rPr>
                <m:t>r</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,t=(</m:t>
          </m:r>
          <m:sSub>
            <m:sSubPr>
              <m:ctrlPr>
                <w:rPr>
                  <w:rFonts w:hint="default" w:ascii="Cambria Math" w:hAnsi="Cambria Math"/>
                  <w:sz w:val="22"/>
                </w:rPr>
              </m:ctrlPr>
            </m:sSubPr>
            <m:e>
              <m:r>
                <m:rPr/>
                <w:rPr>
                  <w:rFonts w:hint="default" w:ascii="Cambria Math" w:hAnsi="Cambria Math"/>
                  <w:sz w:val="22"/>
                </w:rPr>
                <m:t>I</m:t>
              </m:r>
              <m:ctrlPr>
                <w:rPr>
                  <w:rFonts w:ascii="Cambria Math" w:hAnsi="Cambria Math"/>
                  <w:sz w:val="22"/>
                </w:rPr>
              </m:ctrlPr>
            </m:e>
            <m:sub>
              <m:r>
                <m:rPr/>
                <w:rPr>
                  <w:rFonts w:hint="default" w:ascii="Cambria Math" w:hAnsi="Cambria Math"/>
                  <w:sz w:val="22"/>
                </w:rPr>
                <m:t>t</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I</m:t>
              </m:r>
              <m:ctrlPr>
                <w:rPr>
                  <w:rFonts w:ascii="Cambria Math" w:hAnsi="Cambria Math"/>
                  <w:sz w:val="22"/>
                </w:rPr>
              </m:ctrlPr>
            </m:e>
            <m:sub>
              <m:r>
                <m:rPr/>
                <w:rPr>
                  <w:rFonts w:hint="default" w:ascii="Cambria Math" w:hAnsi="Cambria Math"/>
                  <w:sz w:val="22"/>
                </w:rPr>
                <m:t>t−12</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E</m:t>
              </m:r>
              <m:ctrlPr>
                <w:rPr>
                  <w:rFonts w:ascii="Cambria Math" w:hAnsi="Cambria Math"/>
                  <w:sz w:val="22"/>
                </w:rPr>
              </m:ctrlPr>
            </m:e>
            <m:sub>
              <m:r>
                <m:rPr/>
                <w:rPr>
                  <w:rFonts w:hint="default" w:ascii="Cambria Math" w:hAnsi="Cambria Math"/>
                  <w:sz w:val="22"/>
                </w:rPr>
                <m:t>t−12</m:t>
              </m:r>
              <m:ctrlPr>
                <w:rPr>
                  <w:rFonts w:ascii="Cambria Math" w:hAnsi="Cambria Math"/>
                  <w:sz w:val="22"/>
                </w:rPr>
              </m:ctrlPr>
            </m:sub>
          </m:sSub>
        </m:oMath>
      </m:oMathPara>
    </w:p>
    <w:p w14:paraId="6FA6371A">
      <w:pPr>
        <w:spacing w:after="80" w:line="288" w:lineRule="auto"/>
        <w:ind w:firstLine="420"/>
        <w:rPr>
          <w:rFonts w:hint="eastAsia" w:ascii="黑体" w:hAnsi="黑体" w:eastAsia="黑体" w:cs="黑体"/>
        </w:rPr>
      </w:pPr>
      <w:r>
        <w:rPr>
          <w:rFonts w:hint="eastAsia" w:ascii="黑体" w:hAnsi="黑体" w:eastAsia="黑体" w:cs="黑体"/>
          <w:b w:val="0"/>
          <w:sz w:val="21"/>
        </w:rPr>
        <w:t>其中，</w:t>
      </w:r>
      <m:oMath>
        <m:sSub>
          <m:sSubPr>
            <m:ctrlPr>
              <w:rPr>
                <w:rFonts w:hint="default" w:ascii="Cambria Math" w:hAnsi="Cambria Math" w:eastAsia="黑体"/>
                <w:sz w:val="21"/>
              </w:rPr>
            </m:ctrlPr>
          </m:sSubPr>
          <m:e>
            <m:r>
              <m:rPr/>
              <w:rPr>
                <w:rFonts w:hint="default" w:ascii="Cambria Math" w:hAnsi="Cambria Math" w:eastAsia="黑体"/>
                <w:sz w:val="21"/>
              </w:rPr>
              <m:t>I</m:t>
            </m:r>
            <m:ctrlPr>
              <w:rPr>
                <w:rFonts w:ascii="Cambria Math" w:hAnsi="Cambria Math" w:eastAsia="黑体"/>
                <w:sz w:val="21"/>
              </w:rPr>
            </m:ctrlPr>
          </m:e>
          <m:sub>
            <m:r>
              <m:rPr/>
              <w:rPr>
                <w:rFonts w:hint="default" w:ascii="Cambria Math" w:hAnsi="Cambria Math" w:eastAsia="黑体"/>
                <w:sz w:val="21"/>
              </w:rPr>
              <m:t>t</m:t>
            </m:r>
            <m:ctrlPr>
              <w:rPr>
                <w:rFonts w:ascii="Cambria Math" w:hAnsi="Cambria Math" w:eastAsia="黑体"/>
                <w:sz w:val="21"/>
              </w:rPr>
            </m:ctrlPr>
          </m:sub>
        </m:sSub>
      </m:oMath>
      <w:r>
        <w:rPr>
          <w:rFonts w:hint="eastAsia" w:ascii="黑体" w:hAnsi="黑体" w:eastAsia="黑体" w:cs="黑体"/>
          <w:b w:val="0"/>
          <w:sz w:val="21"/>
        </w:rPr>
        <w:t>表示截至第 t 月的过去三个月电力容量净增量，</w:t>
      </w:r>
      <m:oMath>
        <m:sSub>
          <m:sSubPr>
            <m:ctrlPr>
              <w:rPr>
                <w:rFonts w:hint="default" w:ascii="Cambria Math" w:hAnsi="Cambria Math" w:eastAsia="黑体"/>
                <w:sz w:val="21"/>
              </w:rPr>
            </m:ctrlPr>
          </m:sSubPr>
          <m:e>
            <m:r>
              <m:rPr/>
              <w:rPr>
                <w:rFonts w:hint="default" w:ascii="Cambria Math" w:hAnsi="Cambria Math" w:eastAsia="黑体"/>
                <w:sz w:val="21"/>
              </w:rPr>
              <m:t>I</m:t>
            </m:r>
            <m:ctrlPr>
              <w:rPr>
                <w:rFonts w:ascii="Cambria Math" w:hAnsi="Cambria Math" w:eastAsia="黑体"/>
                <w:sz w:val="21"/>
              </w:rPr>
            </m:ctrlPr>
          </m:e>
          <m:sub>
            <m:r>
              <m:rPr/>
              <w:rPr>
                <w:rFonts w:hint="default" w:ascii="Cambria Math" w:hAnsi="Cambria Math" w:eastAsia="黑体"/>
                <w:sz w:val="21"/>
              </w:rPr>
              <m:t>t−12</m:t>
            </m:r>
            <m:ctrlPr>
              <w:rPr>
                <w:rFonts w:ascii="Cambria Math" w:hAnsi="Cambria Math" w:eastAsia="黑体"/>
                <w:sz w:val="21"/>
              </w:rPr>
            </m:ctrlPr>
          </m:sub>
        </m:sSub>
      </m:oMath>
      <w:r>
        <w:rPr>
          <w:rFonts w:hint="eastAsia" w:ascii="黑体" w:hAnsi="黑体" w:eastAsia="黑体" w:cs="黑体"/>
          <w:b w:val="0"/>
          <w:sz w:val="21"/>
        </w:rPr>
        <w:t>表示去年同期过去三个月的电力容量净增量，</w:t>
      </w:r>
      <m:oMath>
        <m:sSub>
          <m:sSubPr>
            <m:ctrlPr>
              <w:rPr>
                <w:rFonts w:hint="default" w:ascii="Cambria Math" w:hAnsi="Cambria Math" w:eastAsia="黑体"/>
                <w:sz w:val="21"/>
              </w:rPr>
            </m:ctrlPr>
          </m:sSubPr>
          <m:e>
            <m:r>
              <m:rPr/>
              <w:rPr>
                <w:rFonts w:hint="default" w:ascii="Cambria Math" w:hAnsi="Cambria Math" w:eastAsia="黑体"/>
                <w:sz w:val="21"/>
              </w:rPr>
              <m:t>E</m:t>
            </m:r>
            <m:ctrlPr>
              <w:rPr>
                <w:rFonts w:ascii="Cambria Math" w:hAnsi="Cambria Math" w:eastAsia="黑体"/>
                <w:sz w:val="21"/>
              </w:rPr>
            </m:ctrlPr>
          </m:e>
          <m:sub>
            <m:r>
              <m:rPr/>
              <w:rPr>
                <w:rFonts w:hint="default" w:ascii="Cambria Math" w:hAnsi="Cambria Math" w:eastAsia="黑体"/>
                <w:sz w:val="21"/>
              </w:rPr>
              <m:t>t−12</m:t>
            </m:r>
            <m:ctrlPr>
              <w:rPr>
                <w:rFonts w:ascii="Cambria Math" w:hAnsi="Cambria Math" w:eastAsia="黑体"/>
                <w:sz w:val="21"/>
              </w:rPr>
            </m:ctrlPr>
          </m:sub>
        </m:sSub>
      </m:oMath>
      <w:r>
        <w:rPr>
          <w:rFonts w:hint="eastAsia" w:ascii="黑体" w:hAnsi="黑体" w:eastAsia="黑体" w:cs="黑体"/>
          <w:b w:val="0"/>
          <w:sz w:val="21"/>
        </w:rPr>
        <w:t>表示去年同月用电量。该指标可以理解为：当前新增用电能力相对于去年同期用电规模的变化。</w:t>
      </w:r>
    </w:p>
    <w:p w14:paraId="2603621D">
      <w:pPr>
        <w:spacing w:after="80" w:line="288" w:lineRule="auto"/>
        <w:ind w:firstLine="420"/>
        <w:rPr>
          <w:rFonts w:hint="eastAsia" w:ascii="黑体" w:hAnsi="黑体" w:eastAsia="黑体" w:cs="黑体"/>
          <w:b w:val="0"/>
          <w:sz w:val="21"/>
        </w:rPr>
      </w:pPr>
      <w:r>
        <w:rPr>
          <w:rFonts w:hint="eastAsia" w:ascii="黑体" w:hAnsi="黑体" w:eastAsia="黑体" w:cs="黑体"/>
          <w:b w:val="0"/>
          <w:sz w:val="21"/>
        </w:rPr>
        <w:t>这一指标对本项目很有启发。假设某地区新增报装容量、工业园区接入容量、企业扩产用电容量明显增加，即使当前用电量尚未完全释放，也可能说明未来生产活动增强。因此，智能体在分析经济趋势时，不应只看“已经用了多少电”，还应关注“未来可能要用多少电”。</w:t>
      </w:r>
    </w:p>
    <w:p w14:paraId="2B7167F3">
      <w:pPr>
        <w:spacing w:after="80" w:line="288" w:lineRule="auto"/>
        <w:ind w:firstLine="420"/>
        <w:rPr>
          <w:rFonts w:ascii="宋体" w:hAnsi="宋体" w:eastAsia="宋体" w:cs="宋体"/>
          <w:sz w:val="24"/>
          <w:szCs w:val="24"/>
        </w:rPr>
      </w:pPr>
      <w:r>
        <w:rPr>
          <w:rFonts w:ascii="宋体" w:hAnsi="宋体" w:eastAsia="宋体" w:cs="宋体"/>
          <w:sz w:val="24"/>
          <w:szCs w:val="24"/>
        </w:rPr>
        <w:drawing>
          <wp:inline distT="0" distB="0" distL="114300" distR="114300">
            <wp:extent cx="6334125" cy="2766695"/>
            <wp:effectExtent l="0" t="0" r="317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6334125" cy="2766695"/>
                    </a:xfrm>
                    <a:prstGeom prst="rect">
                      <a:avLst/>
                    </a:prstGeom>
                    <a:noFill/>
                    <a:ln w="9525">
                      <a:noFill/>
                    </a:ln>
                  </pic:spPr>
                </pic:pic>
              </a:graphicData>
            </a:graphic>
          </wp:inline>
        </w:drawing>
      </w:r>
    </w:p>
    <w:p w14:paraId="6AA907B5">
      <w:pPr>
        <w:spacing w:after="80" w:line="288" w:lineRule="auto"/>
        <w:ind w:firstLine="420"/>
        <w:jc w:val="center"/>
        <w:rPr>
          <w:rFonts w:hint="default" w:ascii="宋体" w:hAnsi="宋体" w:eastAsia="宋体" w:cs="宋体"/>
          <w:sz w:val="24"/>
          <w:szCs w:val="24"/>
          <w:lang w:val="en-US" w:eastAsia="zh-CN"/>
        </w:rPr>
      </w:pPr>
      <w:r>
        <w:rPr>
          <w:rFonts w:hint="eastAsia" w:ascii="黑体" w:hAnsi="黑体" w:eastAsia="黑体" w:cs="黑体"/>
          <w:b w:val="0"/>
          <w:sz w:val="21"/>
          <w:lang w:val="en-US" w:eastAsia="zh-CN"/>
        </w:rPr>
        <w:t>两个曲线变化趋势基本相同</w:t>
      </w:r>
    </w:p>
    <w:p w14:paraId="3D44AB78">
      <w:pPr>
        <w:pStyle w:val="4"/>
        <w:spacing w:before="120" w:after="80"/>
        <w:rPr>
          <w:rFonts w:hint="eastAsia" w:ascii="黑体" w:hAnsi="黑体" w:eastAsia="黑体" w:cs="黑体"/>
        </w:rPr>
      </w:pPr>
      <w:r>
        <w:rPr>
          <w:rFonts w:hint="eastAsia" w:ascii="黑体" w:hAnsi="黑体" w:eastAsia="黑体" w:cs="黑体"/>
          <w:b/>
          <w:color w:val="1F4E79"/>
          <w:sz w:val="26"/>
        </w:rPr>
        <w:t>3.4 三阶段回归模型：根据季度内数据完整程度动态分析</w:t>
      </w:r>
    </w:p>
    <w:p w14:paraId="3A69527B">
      <w:pPr>
        <w:spacing w:after="80" w:line="288" w:lineRule="auto"/>
        <w:ind w:firstLine="420"/>
        <w:rPr>
          <w:rFonts w:hint="eastAsia" w:ascii="黑体" w:hAnsi="黑体" w:eastAsia="黑体" w:cs="黑体"/>
        </w:rPr>
      </w:pPr>
      <w:r>
        <w:rPr>
          <w:rFonts w:hint="eastAsia" w:ascii="黑体" w:hAnsi="黑体" w:eastAsia="黑体" w:cs="黑体"/>
          <w:b w:val="0"/>
          <w:sz w:val="21"/>
        </w:rPr>
        <w:t>论文把一个季度分为第 1 个月、第 2 个月、第 3 个月，分别设计不同的预测模型。原因是，在季度尚未结束时，完整季度用电量还没有出现，因此不能强行使用未来月份数据。</w:t>
      </w:r>
    </w:p>
    <w:tbl>
      <w:tblPr>
        <w:tblStyle w:val="3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20"/>
        <w:gridCol w:w="2188"/>
        <w:gridCol w:w="3090"/>
        <w:gridCol w:w="3012"/>
      </w:tblGrid>
      <w:tr w14:paraId="415F035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100" w:type="dxa"/>
            <w:shd w:val="clear" w:color="auto" w:fill="1F4E79"/>
            <w:vAlign w:val="center"/>
          </w:tcPr>
          <w:p w14:paraId="3EC3105E">
            <w:pPr>
              <w:spacing w:after="0" w:line="240" w:lineRule="auto"/>
              <w:rPr>
                <w:rFonts w:hint="eastAsia" w:ascii="黑体" w:hAnsi="黑体" w:eastAsia="黑体" w:cs="黑体"/>
              </w:rPr>
            </w:pPr>
            <w:r>
              <w:rPr>
                <w:rFonts w:hint="eastAsia" w:ascii="黑体" w:hAnsi="黑体" w:eastAsia="黑体" w:cs="黑体"/>
                <w:b/>
                <w:color w:val="FFFFFF"/>
                <w:sz w:val="20"/>
              </w:rPr>
              <w:t>预测时点</w:t>
            </w:r>
          </w:p>
        </w:tc>
        <w:tc>
          <w:tcPr>
            <w:tcW w:w="2400" w:type="dxa"/>
            <w:shd w:val="clear" w:color="auto" w:fill="1F4E79"/>
            <w:vAlign w:val="center"/>
          </w:tcPr>
          <w:p w14:paraId="0EA1A432">
            <w:pPr>
              <w:spacing w:after="0" w:line="240" w:lineRule="auto"/>
              <w:rPr>
                <w:rFonts w:hint="eastAsia" w:ascii="黑体" w:hAnsi="黑体" w:eastAsia="黑体" w:cs="黑体"/>
              </w:rPr>
            </w:pPr>
            <w:r>
              <w:rPr>
                <w:rFonts w:hint="eastAsia" w:ascii="黑体" w:hAnsi="黑体" w:eastAsia="黑体" w:cs="黑体"/>
                <w:b/>
                <w:color w:val="FFFFFF"/>
                <w:sz w:val="20"/>
              </w:rPr>
              <w:t>可获得的数据</w:t>
            </w:r>
          </w:p>
        </w:tc>
        <w:tc>
          <w:tcPr>
            <w:tcW w:w="3400" w:type="dxa"/>
            <w:shd w:val="clear" w:color="auto" w:fill="1F4E79"/>
            <w:vAlign w:val="center"/>
          </w:tcPr>
          <w:p w14:paraId="1FC377AE">
            <w:pPr>
              <w:spacing w:after="0" w:line="240" w:lineRule="auto"/>
              <w:rPr>
                <w:rFonts w:hint="eastAsia" w:ascii="黑体" w:hAnsi="黑体" w:eastAsia="黑体" w:cs="黑体"/>
              </w:rPr>
            </w:pPr>
            <w:r>
              <w:rPr>
                <w:rFonts w:hint="eastAsia" w:ascii="黑体" w:hAnsi="黑体" w:eastAsia="黑体" w:cs="黑体"/>
                <w:b/>
                <w:color w:val="FFFFFF"/>
                <w:sz w:val="20"/>
              </w:rPr>
              <w:t>论文采用的思路</w:t>
            </w:r>
          </w:p>
        </w:tc>
        <w:tc>
          <w:tcPr>
            <w:tcW w:w="3300" w:type="dxa"/>
            <w:shd w:val="clear" w:color="auto" w:fill="1F4E79"/>
            <w:vAlign w:val="center"/>
          </w:tcPr>
          <w:p w14:paraId="1F1FD0F9">
            <w:pPr>
              <w:spacing w:after="0" w:line="240" w:lineRule="auto"/>
              <w:rPr>
                <w:rFonts w:hint="eastAsia" w:ascii="黑体" w:hAnsi="黑体" w:eastAsia="黑体" w:cs="黑体"/>
              </w:rPr>
            </w:pPr>
            <w:r>
              <w:rPr>
                <w:rFonts w:hint="eastAsia" w:ascii="黑体" w:hAnsi="黑体" w:eastAsia="黑体" w:cs="黑体"/>
                <w:b/>
                <w:color w:val="FFFFFF"/>
                <w:sz w:val="20"/>
              </w:rPr>
              <w:t>本项目智能体可借鉴做法</w:t>
            </w:r>
          </w:p>
        </w:tc>
      </w:tr>
      <w:tr w14:paraId="577B9E4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100" w:type="dxa"/>
            <w:vAlign w:val="center"/>
          </w:tcPr>
          <w:p w14:paraId="274DB88E">
            <w:pPr>
              <w:spacing w:after="0" w:line="240" w:lineRule="auto"/>
              <w:rPr>
                <w:rFonts w:hint="eastAsia" w:ascii="黑体" w:hAnsi="黑体" w:eastAsia="黑体" w:cs="黑体"/>
              </w:rPr>
            </w:pPr>
            <w:r>
              <w:rPr>
                <w:rFonts w:hint="eastAsia" w:ascii="黑体" w:hAnsi="黑体" w:eastAsia="黑体" w:cs="黑体"/>
                <w:b w:val="0"/>
                <w:sz w:val="19"/>
              </w:rPr>
              <w:t>季度第 1 个月末</w:t>
            </w:r>
          </w:p>
        </w:tc>
        <w:tc>
          <w:tcPr>
            <w:tcW w:w="2400" w:type="dxa"/>
            <w:vAlign w:val="center"/>
          </w:tcPr>
          <w:p w14:paraId="7BB81BF2">
            <w:pPr>
              <w:spacing w:after="0" w:line="240" w:lineRule="auto"/>
              <w:rPr>
                <w:rFonts w:hint="eastAsia" w:ascii="黑体" w:hAnsi="黑体" w:eastAsia="黑体" w:cs="黑体"/>
              </w:rPr>
            </w:pPr>
            <w:r>
              <w:rPr>
                <w:rFonts w:hint="eastAsia" w:ascii="黑体" w:hAnsi="黑体" w:eastAsia="黑体" w:cs="黑体"/>
                <w:b w:val="0"/>
                <w:sz w:val="19"/>
              </w:rPr>
              <w:t>只知道本季度第 1 个月用电量</w:t>
            </w:r>
          </w:p>
        </w:tc>
        <w:tc>
          <w:tcPr>
            <w:tcW w:w="3400" w:type="dxa"/>
            <w:vAlign w:val="center"/>
          </w:tcPr>
          <w:p w14:paraId="55890724">
            <w:pPr>
              <w:spacing w:after="0" w:line="240" w:lineRule="auto"/>
              <w:rPr>
                <w:rFonts w:hint="eastAsia" w:ascii="黑体" w:hAnsi="黑体" w:eastAsia="黑体" w:cs="黑体"/>
              </w:rPr>
            </w:pPr>
            <w:r>
              <w:rPr>
                <w:rFonts w:hint="eastAsia" w:ascii="黑体" w:hAnsi="黑体" w:eastAsia="黑体" w:cs="黑体"/>
                <w:b w:val="0"/>
                <w:sz w:val="19"/>
              </w:rPr>
              <w:t>上一季度 GDP 增速 + 第 1 个月用电同比 + 电力容量变化</w:t>
            </w:r>
          </w:p>
        </w:tc>
        <w:tc>
          <w:tcPr>
            <w:tcW w:w="3300" w:type="dxa"/>
            <w:vAlign w:val="center"/>
          </w:tcPr>
          <w:p w14:paraId="158A7DDF">
            <w:pPr>
              <w:spacing w:after="0" w:line="240" w:lineRule="auto"/>
              <w:rPr>
                <w:rFonts w:hint="eastAsia" w:ascii="黑体" w:hAnsi="黑体" w:eastAsia="黑体" w:cs="黑体"/>
              </w:rPr>
            </w:pPr>
            <w:r>
              <w:rPr>
                <w:rFonts w:hint="eastAsia" w:ascii="黑体" w:hAnsi="黑体" w:eastAsia="黑体" w:cs="黑体"/>
                <w:b w:val="0"/>
                <w:sz w:val="19"/>
              </w:rPr>
              <w:t>给出初步经济判断，并提示不确定性较高。</w:t>
            </w:r>
          </w:p>
        </w:tc>
      </w:tr>
      <w:tr w14:paraId="2537AEB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100" w:type="dxa"/>
            <w:vAlign w:val="center"/>
          </w:tcPr>
          <w:p w14:paraId="2A0CCAD3">
            <w:pPr>
              <w:spacing w:after="0" w:line="240" w:lineRule="auto"/>
              <w:rPr>
                <w:rFonts w:hint="eastAsia" w:ascii="黑体" w:hAnsi="黑体" w:eastAsia="黑体" w:cs="黑体"/>
              </w:rPr>
            </w:pPr>
            <w:r>
              <w:rPr>
                <w:rFonts w:hint="eastAsia" w:ascii="黑体" w:hAnsi="黑体" w:eastAsia="黑体" w:cs="黑体"/>
                <w:b w:val="0"/>
                <w:sz w:val="19"/>
              </w:rPr>
              <w:t>季度第 2 个月末</w:t>
            </w:r>
          </w:p>
        </w:tc>
        <w:tc>
          <w:tcPr>
            <w:tcW w:w="2400" w:type="dxa"/>
            <w:vAlign w:val="center"/>
          </w:tcPr>
          <w:p w14:paraId="1F50DB47">
            <w:pPr>
              <w:spacing w:after="0" w:line="240" w:lineRule="auto"/>
              <w:rPr>
                <w:rFonts w:hint="eastAsia" w:ascii="黑体" w:hAnsi="黑体" w:eastAsia="黑体" w:cs="黑体"/>
              </w:rPr>
            </w:pPr>
            <w:r>
              <w:rPr>
                <w:rFonts w:hint="eastAsia" w:ascii="黑体" w:hAnsi="黑体" w:eastAsia="黑体" w:cs="黑体"/>
                <w:b w:val="0"/>
                <w:sz w:val="19"/>
              </w:rPr>
              <w:t>知道本季度前 2 个月用电量</w:t>
            </w:r>
          </w:p>
        </w:tc>
        <w:tc>
          <w:tcPr>
            <w:tcW w:w="3400" w:type="dxa"/>
            <w:vAlign w:val="center"/>
          </w:tcPr>
          <w:p w14:paraId="3113ECD3">
            <w:pPr>
              <w:spacing w:after="0" w:line="240" w:lineRule="auto"/>
              <w:rPr>
                <w:rFonts w:hint="eastAsia" w:ascii="黑体" w:hAnsi="黑体" w:eastAsia="黑体" w:cs="黑体"/>
              </w:rPr>
            </w:pPr>
            <w:r>
              <w:rPr>
                <w:rFonts w:hint="eastAsia" w:ascii="黑体" w:hAnsi="黑体" w:eastAsia="黑体" w:cs="黑体"/>
                <w:b w:val="0"/>
                <w:sz w:val="19"/>
              </w:rPr>
              <w:t>上一季度 GDP 增速 + 前 2 个月用电同比 + 电力容量变化</w:t>
            </w:r>
          </w:p>
        </w:tc>
        <w:tc>
          <w:tcPr>
            <w:tcW w:w="3300" w:type="dxa"/>
            <w:vAlign w:val="center"/>
          </w:tcPr>
          <w:p w14:paraId="26835AE4">
            <w:pPr>
              <w:spacing w:after="0" w:line="240" w:lineRule="auto"/>
              <w:rPr>
                <w:rFonts w:hint="eastAsia" w:ascii="黑体" w:hAnsi="黑体" w:eastAsia="黑体" w:cs="黑体"/>
              </w:rPr>
            </w:pPr>
            <w:r>
              <w:rPr>
                <w:rFonts w:hint="eastAsia" w:ascii="黑体" w:hAnsi="黑体" w:eastAsia="黑体" w:cs="黑体"/>
                <w:b w:val="0"/>
                <w:sz w:val="19"/>
              </w:rPr>
              <w:t>给出较可靠趋势判断，并预测季度末可能走势。</w:t>
            </w:r>
          </w:p>
        </w:tc>
      </w:tr>
      <w:tr w14:paraId="0BD80B9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100" w:type="dxa"/>
            <w:vAlign w:val="center"/>
          </w:tcPr>
          <w:p w14:paraId="04802282">
            <w:pPr>
              <w:spacing w:after="0" w:line="240" w:lineRule="auto"/>
              <w:rPr>
                <w:rFonts w:hint="eastAsia" w:ascii="黑体" w:hAnsi="黑体" w:eastAsia="黑体" w:cs="黑体"/>
              </w:rPr>
            </w:pPr>
            <w:r>
              <w:rPr>
                <w:rFonts w:hint="eastAsia" w:ascii="黑体" w:hAnsi="黑体" w:eastAsia="黑体" w:cs="黑体"/>
                <w:b w:val="0"/>
                <w:sz w:val="19"/>
              </w:rPr>
              <w:t>季度第 3 个月末</w:t>
            </w:r>
          </w:p>
        </w:tc>
        <w:tc>
          <w:tcPr>
            <w:tcW w:w="2400" w:type="dxa"/>
            <w:vAlign w:val="center"/>
          </w:tcPr>
          <w:p w14:paraId="039EEB9F">
            <w:pPr>
              <w:spacing w:after="0" w:line="240" w:lineRule="auto"/>
              <w:rPr>
                <w:rFonts w:hint="eastAsia" w:ascii="黑体" w:hAnsi="黑体" w:eastAsia="黑体" w:cs="黑体"/>
              </w:rPr>
            </w:pPr>
            <w:r>
              <w:rPr>
                <w:rFonts w:hint="eastAsia" w:ascii="黑体" w:hAnsi="黑体" w:eastAsia="黑体" w:cs="黑体"/>
                <w:b w:val="0"/>
                <w:sz w:val="19"/>
              </w:rPr>
              <w:t>知道本季度 3 个月完整用电量</w:t>
            </w:r>
          </w:p>
        </w:tc>
        <w:tc>
          <w:tcPr>
            <w:tcW w:w="3400" w:type="dxa"/>
            <w:vAlign w:val="center"/>
          </w:tcPr>
          <w:p w14:paraId="70BFBD8A">
            <w:pPr>
              <w:spacing w:after="0" w:line="240" w:lineRule="auto"/>
              <w:rPr>
                <w:rFonts w:hint="eastAsia" w:ascii="黑体" w:hAnsi="黑体" w:eastAsia="黑体" w:cs="黑体"/>
              </w:rPr>
            </w:pPr>
            <w:r>
              <w:rPr>
                <w:rFonts w:hint="eastAsia" w:ascii="黑体" w:hAnsi="黑体" w:eastAsia="黑体" w:cs="黑体"/>
                <w:b w:val="0"/>
                <w:sz w:val="19"/>
              </w:rPr>
              <w:t>上一季度 GDP 增速 + 三个月用电同比</w:t>
            </w:r>
          </w:p>
        </w:tc>
        <w:tc>
          <w:tcPr>
            <w:tcW w:w="3300" w:type="dxa"/>
            <w:vAlign w:val="center"/>
          </w:tcPr>
          <w:p w14:paraId="2A597A2F">
            <w:pPr>
              <w:spacing w:after="0" w:line="240" w:lineRule="auto"/>
              <w:rPr>
                <w:rFonts w:hint="eastAsia" w:ascii="黑体" w:hAnsi="黑体" w:eastAsia="黑体" w:cs="黑体"/>
              </w:rPr>
            </w:pPr>
            <w:r>
              <w:rPr>
                <w:rFonts w:hint="eastAsia" w:ascii="黑体" w:hAnsi="黑体" w:eastAsia="黑体" w:cs="黑体"/>
                <w:b w:val="0"/>
                <w:sz w:val="19"/>
              </w:rPr>
              <w:t>生成完整季度经济态势分析报告。</w:t>
            </w:r>
          </w:p>
        </w:tc>
      </w:tr>
    </w:tbl>
    <w:p w14:paraId="54D75F0A">
      <w:pPr>
        <w:spacing w:after="40"/>
        <w:rPr>
          <w:rFonts w:hAnsi="Cambria Math" w:eastAsia="Segoe UI Emoji"/>
          <w:i w:val="0"/>
          <w:sz w:val="19"/>
          <w:szCs w:val="19"/>
        </w:rPr>
      </w:pPr>
      <w:r>
        <w:rPr>
          <w:rFonts w:hint="eastAsia" w:ascii="黑体" w:hAnsi="黑体" w:eastAsia="黑体" w:cs="黑体"/>
          <w:b w:val="0"/>
          <w:sz w:val="19"/>
        </w:rPr>
        <w:t>季度第 1 个月末</w:t>
      </w:r>
      <w:r>
        <w:rPr>
          <w:rFonts w:hint="eastAsia" w:ascii="黑体" w:hAnsi="黑体" w:eastAsia="黑体" w:cs="黑体"/>
          <w:b w:val="0"/>
          <w:sz w:val="19"/>
          <w:lang w:eastAsia="zh-CN"/>
        </w:rPr>
        <w:t>：</w:t>
      </w:r>
      <m:oMath>
        <m:sSubSup>
          <m:sSubSupPr>
            <m:ctrlPr>
              <w:rPr>
                <w:rFonts w:hint="default" w:ascii="Cambria Math" w:hAnsi="Cambria Math" w:eastAsia="Segoe UI Emoji"/>
                <w:sz w:val="19"/>
                <w:szCs w:val="19"/>
              </w:rPr>
            </m:ctrlPr>
          </m:sSubSupPr>
          <m:e>
            <m:r>
              <m:rPr/>
              <w:rPr>
                <w:rFonts w:hint="default" w:ascii="Cambria Math" w:hAnsi="Cambria Math" w:eastAsia="Segoe UI Emoji"/>
                <w:sz w:val="19"/>
                <w:szCs w:val="19"/>
              </w:rPr>
              <m:t>y</m:t>
            </m:r>
            <m:ctrlPr>
              <w:rPr>
                <w:rFonts w:ascii="Cambria Math" w:hAnsi="Cambria Math" w:eastAsia="Segoe UI Emoji"/>
                <w:sz w:val="19"/>
                <w:szCs w:val="19"/>
              </w:rPr>
            </m:ctrlPr>
          </m:e>
          <m:sub>
            <m:r>
              <m:rPr/>
              <w:rPr>
                <w:rFonts w:hint="default" w:ascii="Cambria Math" w:hAnsi="Cambria Math" w:eastAsia="Segoe UI Emoji"/>
                <w:sz w:val="19"/>
                <w:szCs w:val="19"/>
              </w:rPr>
              <m:t>1,3l</m:t>
            </m:r>
            <m:ctrlPr>
              <w:rPr>
                <w:rFonts w:ascii="Cambria Math" w:hAnsi="Cambria Math" w:eastAsia="Segoe UI Emoji"/>
                <w:sz w:val="19"/>
                <w:szCs w:val="19"/>
              </w:rPr>
            </m:ctrlPr>
          </m:sub>
          <m:sup>
            <m:r>
              <m:rPr/>
              <w:rPr>
                <w:rFonts w:hint="default" w:ascii="Cambria Math" w:hAnsi="Cambria Math" w:eastAsia="Segoe UI Emoji"/>
                <w:sz w:val="19"/>
                <w:szCs w:val="19"/>
              </w:rPr>
              <m:t>Q</m:t>
            </m:r>
            <m:ctrlPr>
              <w:rPr>
                <w:rFonts w:ascii="Cambria Math" w:hAnsi="Cambria Math" w:eastAsia="Segoe UI Emoji"/>
                <w:sz w:val="19"/>
                <w:szCs w:val="19"/>
              </w:rPr>
            </m:ctrlPr>
          </m:sup>
        </m:sSubSup>
        <m:r>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β</m:t>
            </m:r>
            <m:ctrlPr>
              <w:rPr>
                <w:rFonts w:ascii="Cambria Math" w:hAnsi="Cambria Math" w:eastAsia="Segoe UI Emoji"/>
                <w:sz w:val="19"/>
                <w:szCs w:val="19"/>
              </w:rPr>
            </m:ctrlPr>
          </m:e>
          <m:sub>
            <m:r>
              <m:rPr/>
              <w:rPr>
                <w:rFonts w:hint="default" w:ascii="Cambria Math" w:hAnsi="Cambria Math" w:eastAsia="Segoe UI Emoji"/>
                <w:sz w:val="19"/>
                <w:szCs w:val="19"/>
              </w:rPr>
              <m:t>10</m:t>
            </m:r>
            <m:ctrlPr>
              <w:rPr>
                <w:rFonts w:ascii="Cambria Math" w:hAnsi="Cambria Math" w:eastAsia="Segoe UI Emoji"/>
                <w:sz w:val="19"/>
                <w:szCs w:val="19"/>
              </w:rPr>
            </m:ctrlPr>
          </m:sub>
        </m:sSub>
        <m:r>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β</m:t>
            </m:r>
            <m:ctrlPr>
              <w:rPr>
                <w:rFonts w:ascii="Cambria Math" w:hAnsi="Cambria Math" w:eastAsia="Segoe UI Emoji"/>
                <w:sz w:val="19"/>
                <w:szCs w:val="19"/>
              </w:rPr>
            </m:ctrlPr>
          </m:e>
          <m:sub>
            <m:r>
              <m:rPr/>
              <w:rPr>
                <w:rFonts w:hint="default" w:ascii="Cambria Math" w:hAnsi="Cambria Math" w:eastAsia="Segoe UI Emoji"/>
                <w:sz w:val="19"/>
                <w:szCs w:val="19"/>
              </w:rPr>
              <m:t>11</m:t>
            </m:r>
            <m:ctrlPr>
              <w:rPr>
                <w:rFonts w:ascii="Cambria Math" w:hAnsi="Cambria Math" w:eastAsia="Segoe UI Emoji"/>
                <w:sz w:val="19"/>
                <w:szCs w:val="19"/>
              </w:rPr>
            </m:ctrlPr>
          </m:sub>
        </m:sSub>
        <m:sSubSup>
          <m:sSubSupPr>
            <m:ctrlPr>
              <w:rPr>
                <w:rFonts w:hint="default" w:ascii="Cambria Math" w:hAnsi="Cambria Math" w:eastAsia="Segoe UI Emoji"/>
                <w:sz w:val="19"/>
                <w:szCs w:val="19"/>
              </w:rPr>
            </m:ctrlPr>
          </m:sSubSupPr>
          <m:e>
            <m:r>
              <m:rPr/>
              <w:rPr>
                <w:rFonts w:hint="default" w:ascii="Cambria Math" w:hAnsi="Cambria Math" w:eastAsia="Segoe UI Emoji"/>
                <w:sz w:val="19"/>
                <w:szCs w:val="19"/>
              </w:rPr>
              <m:t>y</m:t>
            </m:r>
            <m:ctrlPr>
              <w:rPr>
                <w:rFonts w:ascii="Cambria Math" w:hAnsi="Cambria Math" w:eastAsia="Segoe UI Emoji"/>
                <w:sz w:val="19"/>
                <w:szCs w:val="19"/>
              </w:rPr>
            </m:ctrlPr>
          </m:e>
          <m:sub>
            <m:r>
              <m:rPr/>
              <w:rPr>
                <w:rFonts w:hint="default" w:ascii="Cambria Math" w:hAnsi="Cambria Math" w:eastAsia="Segoe UI Emoji"/>
                <w:sz w:val="19"/>
                <w:szCs w:val="19"/>
              </w:rPr>
              <m:t>1,3(l−1)</m:t>
            </m:r>
            <m:ctrlPr>
              <w:rPr>
                <w:rFonts w:ascii="Cambria Math" w:hAnsi="Cambria Math" w:eastAsia="Segoe UI Emoji"/>
                <w:sz w:val="19"/>
                <w:szCs w:val="19"/>
              </w:rPr>
            </m:ctrlPr>
          </m:sub>
          <m:sup>
            <m:r>
              <m:rPr/>
              <w:rPr>
                <w:rFonts w:hint="default" w:ascii="Cambria Math" w:hAnsi="Cambria Math" w:eastAsia="Segoe UI Emoji"/>
                <w:sz w:val="19"/>
                <w:szCs w:val="19"/>
              </w:rPr>
              <m:t>Q</m:t>
            </m:r>
            <m:ctrlPr>
              <w:rPr>
                <w:rFonts w:ascii="Cambria Math" w:hAnsi="Cambria Math" w:eastAsia="Segoe UI Emoji"/>
                <w:sz w:val="19"/>
                <w:szCs w:val="19"/>
              </w:rPr>
            </m:ctrlPr>
          </m:sup>
        </m:sSubSup>
        <m:r>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β</m:t>
            </m:r>
            <m:ctrlPr>
              <w:rPr>
                <w:rFonts w:ascii="Cambria Math" w:hAnsi="Cambria Math" w:eastAsia="Segoe UI Emoji"/>
                <w:sz w:val="19"/>
                <w:szCs w:val="19"/>
              </w:rPr>
            </m:ctrlPr>
          </m:e>
          <m:sub>
            <m:r>
              <m:rPr/>
              <w:rPr>
                <w:rFonts w:hint="default" w:ascii="Cambria Math" w:hAnsi="Cambria Math" w:eastAsia="Segoe UI Emoji"/>
                <w:sz w:val="19"/>
                <w:szCs w:val="19"/>
              </w:rPr>
              <m:t>12</m:t>
            </m:r>
            <m:ctrlPr>
              <w:rPr>
                <w:rFonts w:ascii="Cambria Math" w:hAnsi="Cambria Math" w:eastAsia="Segoe UI Emoji"/>
                <w:sz w:val="19"/>
                <w:szCs w:val="19"/>
              </w:rPr>
            </m:ctrlPr>
          </m:sub>
        </m:sSub>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r</m:t>
            </m:r>
            <m:ctrlPr>
              <w:rPr>
                <w:rFonts w:ascii="Cambria Math" w:hAnsi="Cambria Math" w:eastAsia="Segoe UI Emoji"/>
                <w:sz w:val="19"/>
                <w:szCs w:val="19"/>
              </w:rPr>
            </m:ctrlPr>
          </m:e>
          <m:sub>
            <m:r>
              <m:rPr/>
              <w:rPr>
                <w:rFonts w:hint="default" w:ascii="Cambria Math" w:hAnsi="Cambria Math" w:eastAsia="Segoe UI Emoji"/>
                <w:sz w:val="19"/>
                <w:szCs w:val="19"/>
              </w:rPr>
              <m:t>E,3l−2</m:t>
            </m:r>
            <m:ctrlPr>
              <w:rPr>
                <w:rFonts w:ascii="Cambria Math" w:hAnsi="Cambria Math" w:eastAsia="Segoe UI Emoji"/>
                <w:sz w:val="19"/>
                <w:szCs w:val="19"/>
              </w:rPr>
            </m:ctrlPr>
          </m:sub>
        </m:sSub>
        <m:r>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β</m:t>
            </m:r>
            <m:ctrlPr>
              <w:rPr>
                <w:rFonts w:ascii="Cambria Math" w:hAnsi="Cambria Math" w:eastAsia="Segoe UI Emoji"/>
                <w:sz w:val="19"/>
                <w:szCs w:val="19"/>
              </w:rPr>
            </m:ctrlPr>
          </m:e>
          <m:sub>
            <m:r>
              <m:rPr/>
              <w:rPr>
                <w:rFonts w:hint="default" w:ascii="Cambria Math" w:hAnsi="Cambria Math" w:eastAsia="Segoe UI Emoji"/>
                <w:sz w:val="19"/>
                <w:szCs w:val="19"/>
              </w:rPr>
              <m:t>11</m:t>
            </m:r>
            <m:ctrlPr>
              <w:rPr>
                <w:rFonts w:ascii="Cambria Math" w:hAnsi="Cambria Math" w:eastAsia="Segoe UI Emoji"/>
                <w:sz w:val="19"/>
                <w:szCs w:val="19"/>
              </w:rPr>
            </m:ctrlPr>
          </m:sub>
        </m:sSub>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r</m:t>
            </m:r>
            <m:ctrlPr>
              <w:rPr>
                <w:rFonts w:ascii="Cambria Math" w:hAnsi="Cambria Math" w:eastAsia="Segoe UI Emoji"/>
                <w:sz w:val="19"/>
                <w:szCs w:val="19"/>
              </w:rPr>
            </m:ctrlPr>
          </m:e>
          <m:sub>
            <m:r>
              <m:rPr/>
              <w:rPr>
                <w:rFonts w:hint="default" w:ascii="Cambria Math" w:hAnsi="Cambria Math" w:eastAsia="Segoe UI Emoji"/>
                <w:sz w:val="19"/>
                <w:szCs w:val="19"/>
              </w:rPr>
              <m:t>I,3l−2</m:t>
            </m:r>
            <m:ctrlPr>
              <w:rPr>
                <w:rFonts w:ascii="Cambria Math" w:hAnsi="Cambria Math" w:eastAsia="Segoe UI Emoji"/>
                <w:sz w:val="19"/>
                <w:szCs w:val="19"/>
              </w:rPr>
            </m:ctrlPr>
          </m:sub>
        </m:sSub>
        <m:r>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w:rPr>
                <w:rFonts w:hint="default" w:ascii="Cambria Math" w:hAnsi="Cambria Math" w:eastAsia="Segoe UI Emoji"/>
                <w:sz w:val="19"/>
                <w:szCs w:val="19"/>
              </w:rPr>
              <m:t>ε</m:t>
            </m:r>
            <m:ctrlPr>
              <w:rPr>
                <w:rFonts w:ascii="Cambria Math" w:hAnsi="Cambria Math" w:eastAsia="Segoe UI Emoji"/>
                <w:sz w:val="19"/>
                <w:szCs w:val="19"/>
              </w:rPr>
            </m:ctrlPr>
          </m:e>
          <m:sub>
            <m:r>
              <m:rPr/>
              <w:rPr>
                <w:rFonts w:hint="default" w:ascii="Cambria Math" w:hAnsi="Cambria Math" w:eastAsia="Segoe UI Emoji"/>
                <w:sz w:val="19"/>
                <w:szCs w:val="19"/>
              </w:rPr>
              <m:t>1</m:t>
            </m:r>
            <m:ctrlPr>
              <w:rPr>
                <w:rFonts w:ascii="Cambria Math" w:hAnsi="Cambria Math" w:eastAsia="Segoe UI Emoji"/>
                <w:sz w:val="19"/>
                <w:szCs w:val="19"/>
              </w:rPr>
            </m:ctrlPr>
          </m:sub>
        </m:sSub>
      </m:oMath>
    </w:p>
    <w:p w14:paraId="41EFDBCA">
      <w:pPr>
        <w:spacing w:after="40"/>
        <w:rPr>
          <w:rFonts w:hint="eastAsia" w:ascii="黑体" w:hAnsi="黑体" w:eastAsia="黑体" w:cs="黑体"/>
          <w:b w:val="0"/>
          <w:sz w:val="19"/>
          <w:lang w:eastAsia="zh-CN"/>
        </w:rPr>
      </w:pPr>
      <w:r>
        <w:rPr>
          <w:rFonts w:hint="eastAsia" w:ascii="黑体" w:hAnsi="黑体" w:eastAsia="黑体" w:cs="黑体"/>
          <w:b w:val="0"/>
          <w:sz w:val="19"/>
          <w:lang w:eastAsia="zh-CN"/>
        </w:rPr>
        <w:t>第 l 季度 GDP 同比增速</w:t>
      </w:r>
    </w:p>
    <w:p w14:paraId="756E33FB">
      <w:pPr>
        <w:spacing w:after="40"/>
        <w:rPr>
          <w:rFonts w:hint="eastAsia" w:ascii="黑体" w:hAnsi="黑体" w:eastAsia="黑体" w:cs="黑体"/>
          <w:b w:val="0"/>
          <w:sz w:val="19"/>
          <w:lang w:eastAsia="zh-CN"/>
        </w:rPr>
      </w:pPr>
      <w:r>
        <w:rPr>
          <w:rFonts w:hint="eastAsia" w:ascii="黑体" w:hAnsi="黑体" w:eastAsia="黑体" w:cs="黑体"/>
          <w:b w:val="0"/>
          <w:sz w:val="19"/>
          <w:lang w:eastAsia="zh-CN"/>
        </w:rPr>
        <w:t>= 常数项</w:t>
      </w:r>
    </w:p>
    <w:p w14:paraId="7BA87C0A">
      <w:pPr>
        <w:spacing w:after="40"/>
        <w:rPr>
          <w:rFonts w:hint="eastAsia" w:ascii="黑体" w:hAnsi="黑体" w:eastAsia="黑体" w:cs="黑体"/>
          <w:b w:val="0"/>
          <w:sz w:val="19"/>
          <w:lang w:eastAsia="zh-CN"/>
        </w:rPr>
      </w:pPr>
      <w:r>
        <w:rPr>
          <w:rFonts w:hint="eastAsia" w:ascii="黑体" w:hAnsi="黑体" w:eastAsia="黑体" w:cs="黑体"/>
          <w:b w:val="0"/>
          <w:sz w:val="19"/>
          <w:lang w:val="en-US" w:eastAsia="zh-CN"/>
        </w:rPr>
        <w:t>·</w:t>
      </w:r>
      <w:r>
        <w:rPr>
          <w:rFonts w:hint="eastAsia" w:ascii="黑体" w:hAnsi="黑体" w:eastAsia="黑体" w:cs="黑体"/>
          <w:b w:val="0"/>
          <w:sz w:val="19"/>
          <w:lang w:eastAsia="zh-CN"/>
        </w:rPr>
        <w:t>上一季度 GDP 同比增速</w:t>
      </w:r>
    </w:p>
    <w:p w14:paraId="2BB82770">
      <w:pPr>
        <w:spacing w:after="40"/>
        <w:rPr>
          <w:rFonts w:hint="eastAsia" w:ascii="黑体" w:hAnsi="黑体" w:eastAsia="黑体" w:cs="黑体"/>
          <w:b w:val="0"/>
          <w:sz w:val="19"/>
          <w:lang w:eastAsia="zh-CN"/>
        </w:rPr>
      </w:pPr>
      <w:r>
        <w:rPr>
          <w:rFonts w:hint="eastAsia" w:ascii="黑体" w:hAnsi="黑体" w:eastAsia="黑体" w:cs="黑体"/>
          <w:b w:val="0"/>
          <w:sz w:val="19"/>
          <w:lang w:val="en-US" w:eastAsia="zh-CN"/>
        </w:rPr>
        <w:t>·</w:t>
      </w:r>
      <w:r>
        <w:rPr>
          <w:rFonts w:hint="eastAsia" w:ascii="黑体" w:hAnsi="黑体" w:eastAsia="黑体" w:cs="黑体"/>
          <w:b w:val="0"/>
          <w:sz w:val="19"/>
          <w:lang w:eastAsia="zh-CN"/>
        </w:rPr>
        <w:t>本季度第 1 个月用电量同比增速</w:t>
      </w:r>
    </w:p>
    <w:p w14:paraId="1260BEB0">
      <w:pPr>
        <w:spacing w:after="40"/>
        <w:rPr>
          <w:rFonts w:hint="eastAsia" w:ascii="黑体" w:hAnsi="黑体" w:eastAsia="黑体" w:cs="黑体"/>
          <w:b w:val="0"/>
          <w:sz w:val="19"/>
          <w:lang w:eastAsia="zh-CN"/>
        </w:rPr>
      </w:pPr>
      <w:r>
        <w:rPr>
          <w:rFonts w:hint="eastAsia" w:ascii="黑体" w:hAnsi="黑体" w:eastAsia="黑体" w:cs="黑体"/>
          <w:b w:val="0"/>
          <w:sz w:val="19"/>
          <w:lang w:val="en-US" w:eastAsia="zh-CN"/>
        </w:rPr>
        <w:t>·</w:t>
      </w:r>
      <w:r>
        <w:rPr>
          <w:rFonts w:hint="eastAsia" w:ascii="黑体" w:hAnsi="黑体" w:eastAsia="黑体" w:cs="黑体"/>
          <w:b w:val="0"/>
          <w:sz w:val="19"/>
          <w:lang w:eastAsia="zh-CN"/>
        </w:rPr>
        <w:t>本季度第 1 个月电力容量净增量变化率</w:t>
      </w:r>
    </w:p>
    <w:p w14:paraId="343AFDEA">
      <w:pPr>
        <w:spacing w:after="40"/>
        <w:rPr>
          <w:rFonts w:hint="eastAsia" w:ascii="黑体" w:hAnsi="黑体" w:eastAsia="黑体" w:cs="黑体"/>
          <w:b w:val="0"/>
          <w:sz w:val="19"/>
          <w:lang w:eastAsia="zh-CN"/>
        </w:rPr>
      </w:pPr>
      <w:r>
        <w:rPr>
          <w:rFonts w:hint="eastAsia" w:ascii="黑体" w:hAnsi="黑体" w:eastAsia="黑体" w:cs="黑体"/>
          <w:b w:val="0"/>
          <w:sz w:val="19"/>
          <w:lang w:val="en-US" w:eastAsia="zh-CN"/>
        </w:rPr>
        <w:t>·</w:t>
      </w:r>
      <w:r>
        <w:rPr>
          <w:rFonts w:hint="eastAsia" w:ascii="黑体" w:hAnsi="黑体" w:eastAsia="黑体" w:cs="黑体"/>
          <w:b w:val="0"/>
          <w:sz w:val="19"/>
          <w:lang w:eastAsia="zh-CN"/>
        </w:rPr>
        <w:t>误差项</w:t>
      </w:r>
    </w:p>
    <w:p w14:paraId="7F2206CE">
      <w:pPr>
        <w:spacing w:after="40"/>
        <w:rPr>
          <w:rFonts w:hint="default" w:hAnsi="Cambria Math" w:eastAsia="Segoe UI Emoji"/>
          <w:i w:val="0"/>
          <w:sz w:val="19"/>
          <w:szCs w:val="19"/>
        </w:rPr>
      </w:pPr>
      <w:r>
        <w:rPr>
          <w:rFonts w:hint="eastAsia" w:ascii="黑体" w:hAnsi="黑体" w:eastAsia="黑体" w:cs="黑体"/>
          <w:b w:val="0"/>
          <w:sz w:val="19"/>
          <w:lang w:val="en-US" w:eastAsia="zh-CN"/>
        </w:rPr>
        <w:t>季度第 2 个月末：</w:t>
      </w:r>
      <m:oMath>
        <m:sSubSup>
          <m:sSubSupPr>
            <m:ctrlPr>
              <w:rPr>
                <w:rFonts w:hint="default" w:ascii="Cambria Math" w:hAnsi="Cambria Math" w:eastAsia="Segoe UI Emoji"/>
                <w:sz w:val="19"/>
                <w:szCs w:val="19"/>
              </w:rPr>
            </m:ctrlPr>
          </m:sSubSupPr>
          <m:e>
            <m:r>
              <m:rPr>
                <m:sty m:val="p"/>
              </m:rPr>
              <w:rPr>
                <w:rFonts w:hint="default" w:ascii="Cambria Math" w:hAnsi="Cambria Math" w:eastAsia="Segoe UI Emoji"/>
                <w:sz w:val="19"/>
                <w:szCs w:val="19"/>
              </w:rPr>
              <m:t>y</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1,3l</m:t>
            </m:r>
            <m:ctrlPr>
              <w:rPr>
                <w:rFonts w:hint="default" w:ascii="Cambria Math" w:hAnsi="Cambria Math" w:eastAsia="Segoe UI Emoji"/>
                <w:sz w:val="19"/>
                <w:szCs w:val="19"/>
              </w:rPr>
            </m:ctrlPr>
          </m:sub>
          <m:sup>
            <m:r>
              <m:rPr>
                <m:sty m:val="p"/>
              </m:rPr>
              <w:rPr>
                <w:rFonts w:hint="default" w:ascii="Cambria Math" w:hAnsi="Cambria Math" w:eastAsia="Segoe UI Emoji"/>
                <w:sz w:val="19"/>
                <w:szCs w:val="19"/>
              </w:rPr>
              <m:t>Q</m:t>
            </m:r>
            <m:ctrlPr>
              <w:rPr>
                <w:rFonts w:hint="default" w:ascii="Cambria Math" w:hAnsi="Cambria Math" w:eastAsia="Segoe UI Emoji"/>
                <w:sz w:val="19"/>
                <w:szCs w:val="19"/>
              </w:rPr>
            </m:ctrlPr>
          </m:sup>
        </m:sSubSup>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20</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21</m:t>
            </m:r>
            <m:ctrlPr>
              <w:rPr>
                <w:rFonts w:hint="default" w:ascii="Cambria Math" w:hAnsi="Cambria Math" w:eastAsia="Segoe UI Emoji"/>
                <w:sz w:val="19"/>
                <w:szCs w:val="19"/>
              </w:rPr>
            </m:ctrlPr>
          </m:sub>
        </m:sSub>
        <m:sSubSup>
          <m:sSubSupPr>
            <m:ctrlPr>
              <w:rPr>
                <w:rFonts w:hint="default" w:ascii="Cambria Math" w:hAnsi="Cambria Math" w:eastAsia="Segoe UI Emoji"/>
                <w:sz w:val="19"/>
                <w:szCs w:val="19"/>
              </w:rPr>
            </m:ctrlPr>
          </m:sSubSupPr>
          <m:e>
            <m:r>
              <m:rPr>
                <m:sty m:val="p"/>
              </m:rPr>
              <w:rPr>
                <w:rFonts w:hint="default" w:ascii="Cambria Math" w:hAnsi="Cambria Math" w:eastAsia="Segoe UI Emoji"/>
                <w:sz w:val="19"/>
                <w:szCs w:val="19"/>
              </w:rPr>
              <m:t>y</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1,3(l−1)</m:t>
            </m:r>
            <m:ctrlPr>
              <w:rPr>
                <w:rFonts w:hint="default" w:ascii="Cambria Math" w:hAnsi="Cambria Math" w:eastAsia="Segoe UI Emoji"/>
                <w:sz w:val="19"/>
                <w:szCs w:val="19"/>
              </w:rPr>
            </m:ctrlPr>
          </m:sub>
          <m:sup>
            <m:r>
              <m:rPr>
                <m:sty m:val="p"/>
              </m:rPr>
              <w:rPr>
                <w:rFonts w:hint="default" w:ascii="Cambria Math" w:hAnsi="Cambria Math" w:eastAsia="Segoe UI Emoji"/>
                <w:sz w:val="19"/>
                <w:szCs w:val="19"/>
              </w:rPr>
              <m:t>Q</m:t>
            </m:r>
            <m:ctrlPr>
              <w:rPr>
                <w:rFonts w:hint="default" w:ascii="Cambria Math" w:hAnsi="Cambria Math" w:eastAsia="Segoe UI Emoji"/>
                <w:sz w:val="19"/>
                <w:szCs w:val="19"/>
              </w:rPr>
            </m:ctrlPr>
          </m:sup>
        </m:sSubSup>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22</m:t>
            </m:r>
            <m:ctrlPr>
              <w:rPr>
                <w:rFonts w:hint="default" w:ascii="Cambria Math" w:hAnsi="Cambria Math" w:eastAsia="Segoe UI Emoji"/>
                <w:sz w:val="19"/>
                <w:szCs w:val="19"/>
              </w:rPr>
            </m:ctrlPr>
          </m:sub>
        </m:sSub>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r</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E,3l−2</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23</m:t>
            </m:r>
            <m:ctrlPr>
              <w:rPr>
                <w:rFonts w:hint="default" w:ascii="Cambria Math" w:hAnsi="Cambria Math" w:eastAsia="Segoe UI Emoji"/>
                <w:sz w:val="19"/>
                <w:szCs w:val="19"/>
              </w:rPr>
            </m:ctrlPr>
          </m:sub>
        </m:sSub>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r</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E,3l−1</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24</m:t>
            </m:r>
            <m:ctrlPr>
              <w:rPr>
                <w:rFonts w:hint="default" w:ascii="Cambria Math" w:hAnsi="Cambria Math" w:eastAsia="Segoe UI Emoji"/>
                <w:sz w:val="19"/>
                <w:szCs w:val="19"/>
              </w:rPr>
            </m:ctrlPr>
          </m:sub>
        </m:sSub>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r</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I,3l−1</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ε</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2</m:t>
            </m:r>
            <m:ctrlPr>
              <w:rPr>
                <w:rFonts w:hint="default" w:ascii="Cambria Math" w:hAnsi="Cambria Math" w:eastAsia="Segoe UI Emoji"/>
                <w:sz w:val="19"/>
                <w:szCs w:val="19"/>
              </w:rPr>
            </m:ctrlPr>
          </m:sub>
        </m:sSub>
      </m:oMath>
    </w:p>
    <w:p w14:paraId="2E3D5735">
      <w:pPr>
        <w:spacing w:after="40"/>
        <w:rPr>
          <w:rFonts w:hint="default" w:ascii="黑体" w:hAnsi="黑体" w:eastAsia="黑体" w:cs="黑体"/>
          <w:b w:val="0"/>
          <w:sz w:val="19"/>
          <w:lang w:val="en-US" w:eastAsia="zh-CN"/>
        </w:rPr>
      </w:pPr>
      <w:r>
        <w:rPr>
          <w:rFonts w:hint="default" w:ascii="黑体" w:hAnsi="黑体" w:eastAsia="黑体" w:cs="黑体"/>
          <w:b w:val="0"/>
          <w:sz w:val="19"/>
          <w:lang w:val="en-US" w:eastAsia="zh-CN"/>
        </w:rPr>
        <w:t>第 l 季度 GDP 同比增速</w:t>
      </w:r>
    </w:p>
    <w:p w14:paraId="69528C42">
      <w:pPr>
        <w:spacing w:after="40"/>
        <w:rPr>
          <w:rFonts w:hint="default" w:ascii="黑体" w:hAnsi="黑体" w:eastAsia="黑体" w:cs="黑体"/>
          <w:b w:val="0"/>
          <w:sz w:val="19"/>
          <w:lang w:val="en-US" w:eastAsia="zh-CN"/>
        </w:rPr>
      </w:pPr>
      <w:r>
        <w:rPr>
          <w:rFonts w:hint="default" w:ascii="黑体" w:hAnsi="黑体" w:eastAsia="黑体" w:cs="黑体"/>
          <w:b w:val="0"/>
          <w:sz w:val="19"/>
          <w:lang w:val="en-US" w:eastAsia="zh-CN"/>
        </w:rPr>
        <w:t>= 常数项</w:t>
      </w:r>
    </w:p>
    <w:p w14:paraId="5BA0A8BA">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上一季度 GDP 同比增速</w:t>
      </w:r>
    </w:p>
    <w:p w14:paraId="4CD30C67">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本季度第 1 个月用电量同比增速</w:t>
      </w:r>
    </w:p>
    <w:p w14:paraId="4E2887C6">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本季度第 2 个月用电量同比增速</w:t>
      </w:r>
    </w:p>
    <w:p w14:paraId="279FB90F">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本季度第 2 个月电力容量净增量变化率</w:t>
      </w:r>
    </w:p>
    <w:p w14:paraId="07E40193">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误差项</w:t>
      </w:r>
    </w:p>
    <w:p w14:paraId="78805F5F">
      <w:pPr>
        <w:spacing w:after="40"/>
        <w:rPr>
          <w:rFonts w:hint="default" w:hAnsi="Cambria Math" w:eastAsia="Segoe UI Emoji"/>
          <w:i w:val="0"/>
          <w:sz w:val="19"/>
          <w:szCs w:val="19"/>
        </w:rPr>
      </w:pPr>
      <w:r>
        <w:rPr>
          <w:rFonts w:hint="eastAsia" w:ascii="黑体" w:hAnsi="黑体" w:eastAsia="黑体" w:cs="黑体"/>
          <w:b w:val="0"/>
          <w:sz w:val="19"/>
          <w:lang w:val="en-US" w:eastAsia="zh-CN"/>
        </w:rPr>
        <w:t>季度第 3 个月末：</w:t>
      </w:r>
      <m:oMath>
        <m:sSubSup>
          <m:sSubSupPr>
            <m:ctrlPr>
              <w:rPr>
                <w:rFonts w:hint="default" w:ascii="Cambria Math" w:hAnsi="Cambria Math" w:eastAsia="Segoe UI Emoji"/>
                <w:sz w:val="19"/>
                <w:szCs w:val="19"/>
              </w:rPr>
            </m:ctrlPr>
          </m:sSubSupPr>
          <m:e>
            <m:r>
              <m:rPr>
                <m:sty m:val="p"/>
              </m:rPr>
              <w:rPr>
                <w:rFonts w:hint="default" w:ascii="Cambria Math" w:hAnsi="Cambria Math" w:eastAsia="Segoe UI Emoji"/>
                <w:sz w:val="19"/>
                <w:szCs w:val="19"/>
              </w:rPr>
              <m:t>y</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1,3l</m:t>
            </m:r>
            <m:ctrlPr>
              <w:rPr>
                <w:rFonts w:hint="default" w:ascii="Cambria Math" w:hAnsi="Cambria Math" w:eastAsia="Segoe UI Emoji"/>
                <w:sz w:val="19"/>
                <w:szCs w:val="19"/>
              </w:rPr>
            </m:ctrlPr>
          </m:sub>
          <m:sup>
            <m:r>
              <m:rPr>
                <m:sty m:val="p"/>
              </m:rPr>
              <w:rPr>
                <w:rFonts w:hint="default" w:ascii="Cambria Math" w:hAnsi="Cambria Math" w:eastAsia="Segoe UI Emoji"/>
                <w:sz w:val="19"/>
                <w:szCs w:val="19"/>
              </w:rPr>
              <m:t>Q</m:t>
            </m:r>
            <m:ctrlPr>
              <w:rPr>
                <w:rFonts w:hint="default" w:ascii="Cambria Math" w:hAnsi="Cambria Math" w:eastAsia="Segoe UI Emoji"/>
                <w:sz w:val="19"/>
                <w:szCs w:val="19"/>
              </w:rPr>
            </m:ctrlPr>
          </m:sup>
        </m:sSubSup>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30</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31</m:t>
            </m:r>
            <m:ctrlPr>
              <w:rPr>
                <w:rFonts w:hint="default" w:ascii="Cambria Math" w:hAnsi="Cambria Math" w:eastAsia="Segoe UI Emoji"/>
                <w:sz w:val="19"/>
                <w:szCs w:val="19"/>
              </w:rPr>
            </m:ctrlPr>
          </m:sub>
        </m:sSub>
        <m:sSubSup>
          <m:sSubSupPr>
            <m:ctrlPr>
              <w:rPr>
                <w:rFonts w:hint="default" w:ascii="Cambria Math" w:hAnsi="Cambria Math" w:eastAsia="Segoe UI Emoji"/>
                <w:sz w:val="19"/>
                <w:szCs w:val="19"/>
              </w:rPr>
            </m:ctrlPr>
          </m:sSubSupPr>
          <m:e>
            <m:r>
              <m:rPr>
                <m:sty m:val="p"/>
              </m:rPr>
              <w:rPr>
                <w:rFonts w:hint="default" w:ascii="Cambria Math" w:hAnsi="Cambria Math" w:eastAsia="Segoe UI Emoji"/>
                <w:sz w:val="19"/>
                <w:szCs w:val="19"/>
              </w:rPr>
              <m:t>y</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1,3(l−1)</m:t>
            </m:r>
            <m:ctrlPr>
              <w:rPr>
                <w:rFonts w:hint="default" w:ascii="Cambria Math" w:hAnsi="Cambria Math" w:eastAsia="Segoe UI Emoji"/>
                <w:sz w:val="19"/>
                <w:szCs w:val="19"/>
              </w:rPr>
            </m:ctrlPr>
          </m:sub>
          <m:sup>
            <m:r>
              <m:rPr>
                <m:sty m:val="p"/>
              </m:rPr>
              <w:rPr>
                <w:rFonts w:hint="default" w:ascii="Cambria Math" w:hAnsi="Cambria Math" w:eastAsia="Segoe UI Emoji"/>
                <w:sz w:val="19"/>
                <w:szCs w:val="19"/>
              </w:rPr>
              <m:t>Q</m:t>
            </m:r>
            <m:ctrlPr>
              <w:rPr>
                <w:rFonts w:hint="default" w:ascii="Cambria Math" w:hAnsi="Cambria Math" w:eastAsia="Segoe UI Emoji"/>
                <w:sz w:val="19"/>
                <w:szCs w:val="19"/>
              </w:rPr>
            </m:ctrlPr>
          </m:sup>
        </m:sSubSup>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32</m:t>
            </m:r>
            <m:ctrlPr>
              <w:rPr>
                <w:rFonts w:hint="default" w:ascii="Cambria Math" w:hAnsi="Cambria Math" w:eastAsia="Segoe UI Emoji"/>
                <w:sz w:val="19"/>
                <w:szCs w:val="19"/>
              </w:rPr>
            </m:ctrlPr>
          </m:sub>
        </m:sSub>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r</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E,3l−2</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33</m:t>
            </m:r>
            <m:ctrlPr>
              <w:rPr>
                <w:rFonts w:hint="default" w:ascii="Cambria Math" w:hAnsi="Cambria Math" w:eastAsia="Segoe UI Emoji"/>
                <w:sz w:val="19"/>
                <w:szCs w:val="19"/>
              </w:rPr>
            </m:ctrlPr>
          </m:sub>
        </m:sSub>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r</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E,3l−1</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β</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34</m:t>
            </m:r>
            <m:ctrlPr>
              <w:rPr>
                <w:rFonts w:hint="default" w:ascii="Cambria Math" w:hAnsi="Cambria Math" w:eastAsia="Segoe UI Emoji"/>
                <w:sz w:val="19"/>
                <w:szCs w:val="19"/>
              </w:rPr>
            </m:ctrlPr>
          </m:sub>
        </m:sSub>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r</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E,3l</m:t>
            </m:r>
            <m:ctrlPr>
              <w:rPr>
                <w:rFonts w:hint="default" w:ascii="Cambria Math" w:hAnsi="Cambria Math" w:eastAsia="Segoe UI Emoji"/>
                <w:sz w:val="19"/>
                <w:szCs w:val="19"/>
              </w:rPr>
            </m:ctrlPr>
          </m:sub>
        </m:sSub>
        <m:r>
          <m:rPr>
            <m:sty m:val="p"/>
          </m:rPr>
          <w:rPr>
            <w:rFonts w:hint="default" w:ascii="Cambria Math" w:hAnsi="Cambria Math" w:eastAsia="Segoe UI Emoji"/>
            <w:sz w:val="19"/>
            <w:szCs w:val="19"/>
          </w:rPr>
          <m:t>+</m:t>
        </m:r>
        <m:sSub>
          <m:sSubPr>
            <m:ctrlPr>
              <w:rPr>
                <w:rFonts w:hint="default" w:ascii="Cambria Math" w:hAnsi="Cambria Math" w:eastAsia="Segoe UI Emoji"/>
                <w:sz w:val="19"/>
                <w:szCs w:val="19"/>
              </w:rPr>
            </m:ctrlPr>
          </m:sSubPr>
          <m:e>
            <m:r>
              <m:rPr>
                <m:sty m:val="p"/>
              </m:rPr>
              <w:rPr>
                <w:rFonts w:hint="default" w:ascii="Cambria Math" w:hAnsi="Cambria Math" w:eastAsia="Segoe UI Emoji"/>
                <w:sz w:val="19"/>
                <w:szCs w:val="19"/>
              </w:rPr>
              <m:t>ε</m:t>
            </m:r>
            <m:ctrlPr>
              <w:rPr>
                <w:rFonts w:hint="default" w:ascii="Cambria Math" w:hAnsi="Cambria Math" w:eastAsia="Segoe UI Emoji"/>
                <w:sz w:val="19"/>
                <w:szCs w:val="19"/>
              </w:rPr>
            </m:ctrlPr>
          </m:e>
          <m:sub>
            <m:r>
              <m:rPr>
                <m:sty m:val="p"/>
              </m:rPr>
              <w:rPr>
                <w:rFonts w:hint="default" w:ascii="Cambria Math" w:hAnsi="Cambria Math" w:eastAsia="Segoe UI Emoji"/>
                <w:sz w:val="19"/>
                <w:szCs w:val="19"/>
              </w:rPr>
              <m:t>3</m:t>
            </m:r>
            <m:ctrlPr>
              <w:rPr>
                <w:rFonts w:hint="default" w:ascii="Cambria Math" w:hAnsi="Cambria Math" w:eastAsia="Segoe UI Emoji"/>
                <w:sz w:val="19"/>
                <w:szCs w:val="19"/>
              </w:rPr>
            </m:ctrlPr>
          </m:sub>
        </m:sSub>
      </m:oMath>
    </w:p>
    <w:p w14:paraId="4ED8006A">
      <w:pPr>
        <w:spacing w:after="40"/>
        <w:rPr>
          <w:rFonts w:hint="default" w:ascii="黑体" w:hAnsi="黑体" w:eastAsia="黑体" w:cs="黑体"/>
          <w:b w:val="0"/>
          <w:sz w:val="19"/>
          <w:lang w:val="en-US" w:eastAsia="zh-CN"/>
        </w:rPr>
      </w:pPr>
      <w:r>
        <w:rPr>
          <w:rFonts w:hint="default" w:ascii="黑体" w:hAnsi="黑体" w:eastAsia="黑体" w:cs="黑体"/>
          <w:b w:val="0"/>
          <w:sz w:val="19"/>
          <w:lang w:val="en-US" w:eastAsia="zh-CN"/>
        </w:rPr>
        <w:t>第 l 季度 GDP 同比增速</w:t>
      </w:r>
    </w:p>
    <w:p w14:paraId="5F24170C">
      <w:pPr>
        <w:spacing w:after="40"/>
        <w:rPr>
          <w:rFonts w:hint="default" w:ascii="黑体" w:hAnsi="黑体" w:eastAsia="黑体" w:cs="黑体"/>
          <w:b w:val="0"/>
          <w:sz w:val="19"/>
          <w:lang w:val="en-US" w:eastAsia="zh-CN"/>
        </w:rPr>
      </w:pPr>
      <w:r>
        <w:rPr>
          <w:rFonts w:hint="default" w:ascii="黑体" w:hAnsi="黑体" w:eastAsia="黑体" w:cs="黑体"/>
          <w:b w:val="0"/>
          <w:sz w:val="19"/>
          <w:lang w:val="en-US" w:eastAsia="zh-CN"/>
        </w:rPr>
        <w:t>= 常数项</w:t>
      </w:r>
    </w:p>
    <w:p w14:paraId="0488BCD1">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上一季度 GDP 同比增速</w:t>
      </w:r>
    </w:p>
    <w:p w14:paraId="2AAD4049">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本季度第 1 个月用电量同比增速</w:t>
      </w:r>
    </w:p>
    <w:p w14:paraId="2BDE8FAA">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本季度第 2 个月用电量同比增速</w:t>
      </w:r>
    </w:p>
    <w:p w14:paraId="1A3520D4">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本季度第 3 个月用电量同比增速</w:t>
      </w:r>
    </w:p>
    <w:p w14:paraId="611C3964">
      <w:pPr>
        <w:spacing w:after="40"/>
        <w:rPr>
          <w:rFonts w:hint="default" w:ascii="黑体" w:hAnsi="黑体" w:eastAsia="黑体" w:cs="黑体"/>
          <w:b w:val="0"/>
          <w:sz w:val="19"/>
          <w:lang w:val="en-US" w:eastAsia="zh-CN"/>
        </w:rPr>
      </w:pPr>
      <w:r>
        <w:rPr>
          <w:rFonts w:hint="eastAsia" w:ascii="黑体" w:hAnsi="黑体" w:eastAsia="黑体" w:cs="黑体"/>
          <w:b w:val="0"/>
          <w:sz w:val="19"/>
          <w:lang w:val="en-US" w:eastAsia="zh-CN"/>
        </w:rPr>
        <w:t>·</w:t>
      </w:r>
      <w:r>
        <w:rPr>
          <w:rFonts w:hint="default" w:ascii="黑体" w:hAnsi="黑体" w:eastAsia="黑体" w:cs="黑体"/>
          <w:b w:val="0"/>
          <w:sz w:val="19"/>
          <w:lang w:val="en-US" w:eastAsia="zh-CN"/>
        </w:rPr>
        <w:t>误差项</w:t>
      </w:r>
    </w:p>
    <w:p w14:paraId="5EDB3D45">
      <w:pPr>
        <w:spacing w:after="40"/>
        <w:ind w:firstLine="380" w:firstLineChars="200"/>
        <w:rPr>
          <w:rFonts w:hint="eastAsia" w:ascii="黑体" w:hAnsi="黑体" w:eastAsia="黑体" w:cs="黑体"/>
          <w:b w:val="0"/>
          <w:sz w:val="19"/>
          <w:lang w:val="en-US" w:eastAsia="zh-CN"/>
        </w:rPr>
      </w:pPr>
      <w:r>
        <w:rPr>
          <w:rFonts w:hint="eastAsia" w:ascii="黑体" w:hAnsi="黑体" w:eastAsia="黑体" w:cs="黑体"/>
          <w:b w:val="0"/>
          <w:sz w:val="19"/>
          <w:lang w:val="en-US" w:eastAsia="zh-CN"/>
        </w:rPr>
        <w:t>这部分对本项目特别重要。智能体不能只使用一个固定模板，而应先识别用户提供的数据属于“月度数据、季度前两个月数据、完整季度数据”中的哪一种，再选择不同的分析流程。</w:t>
      </w:r>
    </w:p>
    <w:p w14:paraId="7A7E13F1">
      <w:pPr>
        <w:spacing w:after="40"/>
        <w:ind w:firstLine="380" w:firstLineChars="200"/>
        <w:rPr>
          <w:rFonts w:hint="default" w:ascii="黑体" w:hAnsi="黑体" w:eastAsia="黑体" w:cs="黑体"/>
          <w:b w:val="0"/>
          <w:sz w:val="19"/>
          <w:lang w:val="en-US" w:eastAsia="zh-CN"/>
        </w:rPr>
      </w:pPr>
      <w:r>
        <w:rPr>
          <w:rFonts w:hint="eastAsia" w:ascii="黑体" w:hAnsi="黑体" w:eastAsia="黑体" w:cs="黑体"/>
          <w:b w:val="0"/>
          <w:sz w:val="19"/>
          <w:lang w:val="en-US" w:eastAsia="zh-CN"/>
        </w:rPr>
        <w:t>怎么确定</w:t>
      </w:r>
      <m:oMath>
        <m:r>
          <m:rPr>
            <m:sty m:val="p"/>
          </m:rPr>
          <w:rPr>
            <w:rFonts w:hint="default" w:ascii="Cambria Math" w:hAnsi="Cambria Math" w:eastAsia="黑体" w:cs="黑体"/>
            <w:sz w:val="19"/>
            <w:lang w:val="en-US" w:eastAsia="zh-CN"/>
          </w:rPr>
          <m:t>β</m:t>
        </m:r>
      </m:oMath>
      <w:r>
        <m:rPr/>
        <w:rPr>
          <w:rFonts w:hint="eastAsia" w:ascii="黑体" w:hAnsi="黑体" w:eastAsia="黑体" w:cs="黑体"/>
          <w:b w:val="0"/>
          <w:sz w:val="19"/>
          <w:lang w:val="en-US" w:eastAsia="zh-CN"/>
        </w:rPr>
        <w:t>、</w:t>
      </w:r>
      <m:oMath>
        <m:r>
          <m:rPr>
            <m:sty m:val="p"/>
          </m:rPr>
          <w:rPr>
            <w:rFonts w:hint="default" w:ascii="Cambria Math" w:hAnsi="Cambria Math" w:eastAsia="黑体" w:cs="黑体"/>
            <w:sz w:val="19"/>
            <w:lang w:val="en-US" w:eastAsia="zh-CN"/>
          </w:rPr>
          <m:t>ε</m:t>
        </m:r>
      </m:oMath>
      <w:r>
        <m:rPr/>
        <w:rPr>
          <w:rFonts w:hint="eastAsia" w:ascii="黑体" w:hAnsi="黑体" w:eastAsia="黑体" w:cs="黑体"/>
          <w:b w:val="0"/>
          <w:sz w:val="19"/>
          <w:lang w:val="en-US" w:eastAsia="zh-CN"/>
        </w:rPr>
        <w:t>等参数：</w:t>
      </w:r>
      <w:r>
        <w:rPr>
          <w:rFonts w:hint="eastAsia" w:ascii="黑体" w:hAnsi="黑体" w:eastAsia="黑体" w:cs="黑体"/>
          <w:b w:val="0"/>
          <w:sz w:val="19"/>
          <w:lang w:val="en-US" w:eastAsia="en-US"/>
        </w:rPr>
        <w:t>模型中的 β 系数不是人工指定的，而是通过历史数据回归估计得到的。具体做法是：首先计算历史季度的 GDP 同比增速、上一季度 GDP 同比增速、月度用电量同比增速以及电力容量净增量变化率；然后根据季度第 1、2、3 个月的数据可得性分别建立三组回归模型；最后采用最小二乘法估计各模型中的系数。由于电力消费与经济增长之间的关系会受到产业结构、技术进步和经济周期等因素影响，论文采用 9 个季度滚动窗口进行参数估计，即每次预测时只使用最近 9 个季度的数据重新估计系数，使模型能够更好地反映当前阶段的电力—经济关系。</w:t>
      </w:r>
    </w:p>
    <w:p w14:paraId="4356A314">
      <w:pPr>
        <w:pStyle w:val="3"/>
        <w:spacing w:before="200" w:after="80"/>
        <w:rPr>
          <w:rFonts w:hint="eastAsia" w:ascii="黑体" w:hAnsi="黑体" w:eastAsia="黑体" w:cs="黑体"/>
        </w:rPr>
      </w:pPr>
      <w:r>
        <w:rPr>
          <w:rFonts w:hint="eastAsia" w:ascii="黑体" w:hAnsi="黑体" w:eastAsia="黑体" w:cs="黑体"/>
          <w:b/>
          <w:color w:val="1F4E79"/>
          <w:sz w:val="30"/>
        </w:rPr>
        <w:t>四、论文实证结果的主要内容</w:t>
      </w:r>
    </w:p>
    <w:p w14:paraId="4B69D7A1">
      <w:pPr>
        <w:pStyle w:val="4"/>
        <w:spacing w:before="120" w:after="80"/>
        <w:rPr>
          <w:rFonts w:hint="eastAsia" w:ascii="黑体" w:hAnsi="黑体" w:eastAsia="黑体" w:cs="黑体"/>
        </w:rPr>
      </w:pPr>
      <w:r>
        <w:rPr>
          <w:rFonts w:hint="eastAsia" w:ascii="黑体" w:hAnsi="黑体" w:eastAsia="黑体" w:cs="黑体"/>
          <w:b/>
          <w:color w:val="1F4E79"/>
          <w:sz w:val="26"/>
        </w:rPr>
        <w:t>4.1 数据来源与预处理</w:t>
      </w:r>
    </w:p>
    <w:p w14:paraId="4332E18D">
      <w:pPr>
        <w:spacing w:after="80" w:line="288" w:lineRule="auto"/>
        <w:ind w:firstLine="420"/>
        <w:rPr>
          <w:rFonts w:hint="eastAsia" w:ascii="黑体" w:hAnsi="黑体" w:eastAsia="黑体" w:cs="黑体"/>
        </w:rPr>
      </w:pPr>
      <w:r>
        <w:rPr>
          <w:rFonts w:hint="eastAsia" w:ascii="黑体" w:hAnsi="黑体" w:eastAsia="黑体" w:cs="黑体"/>
          <w:b w:val="0"/>
          <w:sz w:val="21"/>
        </w:rPr>
        <w:t>论文使用福建省数据进行实证验证。宏观经济指标时间范围为 2010 年 1 月至 2024 年 12 月，来源包括 Wind 数据库、福建省统计局、福建省财政厅等；电力数据包括月度用电量和月度电力容量变化，时间范围为 2019 年 1 月至 2024 年 12 月，来源为国网福建省电力公司。</w:t>
      </w:r>
    </w:p>
    <w:p w14:paraId="7296C981">
      <w:pPr>
        <w:spacing w:after="80" w:line="288" w:lineRule="auto"/>
        <w:ind w:firstLine="420"/>
        <w:rPr>
          <w:rFonts w:hint="eastAsia" w:ascii="黑体" w:hAnsi="黑体" w:eastAsia="黑体" w:cs="黑体"/>
        </w:rPr>
      </w:pPr>
      <w:r>
        <w:rPr>
          <w:rFonts w:hint="eastAsia" w:ascii="黑体" w:hAnsi="黑体" w:eastAsia="黑体" w:cs="黑体"/>
          <w:b w:val="0"/>
          <w:sz w:val="21"/>
        </w:rPr>
        <w:t>在建模前，论文处理了春节效应。由于春节通常落在 1 月或 2 月，会显著影响中国经济活动，作者将每年前两个月的数据进行调整，再转换为同比增长率，以减弱节假日、温度、季节性和周期性因素的影响。</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9994"/>
      </w:tblGrid>
      <w:tr w14:paraId="3F689B7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94" w:type="dxa"/>
            <w:shd w:val="clear" w:color="auto" w:fill="F2F6FB"/>
          </w:tcPr>
          <w:p w14:paraId="1CE76F65">
            <w:pPr>
              <w:spacing w:after="80"/>
              <w:rPr>
                <w:rFonts w:hint="eastAsia" w:ascii="黑体" w:hAnsi="黑体" w:eastAsia="黑体" w:cs="黑体"/>
              </w:rPr>
            </w:pPr>
            <w:r>
              <w:rPr>
                <w:rFonts w:hint="eastAsia" w:ascii="黑体" w:hAnsi="黑体" w:eastAsia="黑体" w:cs="黑体"/>
                <w:b/>
                <w:color w:val="1F4E79"/>
                <w:sz w:val="21"/>
              </w:rPr>
              <w:t>对本项目的提醒</w:t>
            </w:r>
          </w:p>
          <w:p w14:paraId="78D6378B">
            <w:pPr>
              <w:spacing w:after="40" w:line="276" w:lineRule="auto"/>
              <w:rPr>
                <w:rFonts w:hint="eastAsia" w:ascii="黑体" w:hAnsi="黑体" w:eastAsia="黑体" w:cs="黑体"/>
              </w:rPr>
            </w:pPr>
            <w:r>
              <w:rPr>
                <w:rFonts w:hint="eastAsia" w:ascii="黑体" w:hAnsi="黑体" w:eastAsia="黑体" w:cs="黑体"/>
                <w:sz w:val="20"/>
              </w:rPr>
              <w:t>如果直接使用原始用电量做分析，可能会把春节错位、季节变化或天气因素误判为经济变化。</w:t>
            </w:r>
          </w:p>
          <w:p w14:paraId="7F7E6A01">
            <w:pPr>
              <w:spacing w:after="40" w:line="276" w:lineRule="auto"/>
              <w:rPr>
                <w:rFonts w:hint="eastAsia" w:ascii="黑体" w:hAnsi="黑体" w:eastAsia="黑体" w:cs="黑体"/>
              </w:rPr>
            </w:pPr>
            <w:r>
              <w:rPr>
                <w:rFonts w:hint="eastAsia" w:ascii="黑体" w:hAnsi="黑体" w:eastAsia="黑体" w:cs="黑体"/>
                <w:sz w:val="20"/>
              </w:rPr>
              <w:t>因此，智能体的数据预处理模块至少应包括：同比计算、春节/节假日处理、温度修正、异常值识别。</w:t>
            </w:r>
          </w:p>
        </w:tc>
      </w:tr>
    </w:tbl>
    <w:p w14:paraId="586B382B">
      <w:pPr>
        <w:spacing w:after="40"/>
        <w:rPr>
          <w:rFonts w:hint="eastAsia" w:ascii="黑体" w:hAnsi="黑体" w:eastAsia="黑体" w:cs="黑体"/>
        </w:rPr>
      </w:pPr>
    </w:p>
    <w:p w14:paraId="69FB7F8B">
      <w:pPr>
        <w:pStyle w:val="4"/>
        <w:spacing w:before="120" w:after="80"/>
        <w:rPr>
          <w:rFonts w:hint="eastAsia" w:ascii="黑体" w:hAnsi="黑体" w:eastAsia="黑体" w:cs="黑体"/>
        </w:rPr>
      </w:pPr>
      <w:r>
        <w:rPr>
          <w:rFonts w:hint="eastAsia" w:ascii="黑体" w:hAnsi="黑体" w:eastAsia="黑体" w:cs="黑体"/>
          <w:b/>
          <w:color w:val="1F4E79"/>
          <w:sz w:val="26"/>
        </w:rPr>
        <w:t>4.</w:t>
      </w:r>
      <w:r>
        <w:rPr>
          <w:rFonts w:hint="eastAsia" w:ascii="黑体" w:hAnsi="黑体" w:eastAsia="黑体" w:cs="黑体"/>
          <w:b/>
          <w:color w:val="1F4E79"/>
          <w:sz w:val="26"/>
          <w:lang w:val="en-US" w:eastAsia="zh-CN"/>
        </w:rPr>
        <w:t>2</w:t>
      </w:r>
      <w:r>
        <w:rPr>
          <w:rFonts w:hint="eastAsia" w:ascii="黑体" w:hAnsi="黑体" w:eastAsia="黑体" w:cs="黑体"/>
          <w:b/>
          <w:color w:val="1F4E79"/>
          <w:sz w:val="26"/>
        </w:rPr>
        <w:t xml:space="preserve"> 电力回归模型结果：电力数据对短期经济波动更敏感</w:t>
      </w:r>
    </w:p>
    <w:p w14:paraId="324BD403">
      <w:pPr>
        <w:spacing w:after="80" w:line="288" w:lineRule="auto"/>
        <w:ind w:firstLine="420"/>
        <w:rPr>
          <w:rFonts w:hint="eastAsia" w:ascii="黑体" w:hAnsi="黑体" w:eastAsia="黑体" w:cs="黑体"/>
        </w:rPr>
      </w:pPr>
      <w:r>
        <w:rPr>
          <w:rFonts w:hint="eastAsia" w:ascii="黑体" w:hAnsi="黑体" w:eastAsia="黑体" w:cs="黑体"/>
          <w:b w:val="0"/>
          <w:sz w:val="21"/>
        </w:rPr>
        <w:t>论文随后使用电力数据回归模型预测 2022Q3 到 2024Q4 的季度 GDP 同比增速。作者将自己的电力回归模型与传统桥接模型进行比较。传统桥接模型在季度前两个月数据不完整时，会先预测未公布月份的用电量，再用预测值估算 GDP；但这种多步预测容易放大误差。</w:t>
      </w:r>
    </w:p>
    <w:p w14:paraId="2993A91D">
      <w:pPr>
        <w:spacing w:after="80" w:line="288" w:lineRule="auto"/>
        <w:ind w:firstLine="420"/>
        <w:rPr>
          <w:rFonts w:hint="eastAsia" w:ascii="黑体" w:hAnsi="黑体" w:eastAsia="黑体" w:cs="黑体"/>
        </w:rPr>
      </w:pPr>
      <w:r>
        <w:rPr>
          <w:rFonts w:hint="eastAsia" w:ascii="黑体" w:hAnsi="黑体" w:eastAsia="黑体" w:cs="黑体"/>
          <w:b w:val="0"/>
          <w:sz w:val="21"/>
        </w:rPr>
        <w:t>实证结果表明，加入电力容量变化后的回归模型，其 MAE 和 RMSE 均小于传统桥接模型，说明电力容量变化确实能提高 GDP 即时预测效果。论文还指出，电力回归模型对经济波动具有较高敏感性，并且越接近 GDP 正式公布日期，预测越准确。</w:t>
      </w:r>
    </w:p>
    <w:p w14:paraId="689CFA51">
      <w:pPr>
        <w:spacing w:after="80" w:line="288" w:lineRule="auto"/>
        <w:ind w:firstLine="420"/>
        <w:rPr>
          <w:rFonts w:hint="eastAsia" w:ascii="黑体" w:hAnsi="黑体" w:eastAsia="黑体" w:cs="黑体"/>
        </w:rPr>
      </w:pPr>
      <w:r>
        <w:rPr>
          <w:rFonts w:hint="eastAsia" w:ascii="黑体" w:hAnsi="黑体" w:eastAsia="黑体" w:cs="黑体"/>
          <w:b w:val="0"/>
          <w:sz w:val="21"/>
        </w:rPr>
        <w:t>对本项目而言，这说明电力数据适合作为“经济温度计”。当经济活动发生变化时，电力消费往往会较快反映出来。但这种敏感性也带来问题：电力数据容易受到低基数、天气、节假日和突发事件影响，因此必须配合异常识别和特征解耦。</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9994"/>
      </w:tblGrid>
      <w:tr w14:paraId="2952F1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94" w:type="dxa"/>
            <w:shd w:val="clear" w:color="auto" w:fill="F2F6FB"/>
          </w:tcPr>
          <w:p w14:paraId="0020CE28">
            <w:pPr>
              <w:spacing w:after="80"/>
              <w:rPr>
                <w:rFonts w:hint="eastAsia" w:ascii="黑体" w:hAnsi="黑体" w:eastAsia="黑体" w:cs="黑体"/>
              </w:rPr>
            </w:pPr>
            <w:r>
              <w:rPr>
                <w:rFonts w:hint="eastAsia" w:ascii="黑体" w:hAnsi="黑体" w:eastAsia="黑体" w:cs="黑体"/>
                <w:b/>
                <w:color w:val="1F4E79"/>
                <w:sz w:val="21"/>
              </w:rPr>
              <w:t>这部分对本项目最重要的结论</w:t>
            </w:r>
          </w:p>
          <w:p w14:paraId="2D069084">
            <w:pPr>
              <w:spacing w:after="40" w:line="276" w:lineRule="auto"/>
              <w:rPr>
                <w:rFonts w:hint="eastAsia" w:ascii="黑体" w:hAnsi="黑体" w:eastAsia="黑体" w:cs="黑体"/>
              </w:rPr>
            </w:pPr>
            <w:r>
              <w:rPr>
                <w:rFonts w:hint="eastAsia" w:ascii="黑体" w:hAnsi="黑体" w:eastAsia="黑体" w:cs="黑体"/>
                <w:sz w:val="20"/>
              </w:rPr>
              <w:t>“电力看经济”不能机械地看用电同比增速。低基数、疫情、极端天气、春节错位都可能造成误判。</w:t>
            </w:r>
          </w:p>
          <w:p w14:paraId="60F12781">
            <w:pPr>
              <w:spacing w:after="40" w:line="276" w:lineRule="auto"/>
              <w:rPr>
                <w:rFonts w:hint="eastAsia" w:ascii="黑体" w:hAnsi="黑体" w:eastAsia="黑体" w:cs="黑体"/>
              </w:rPr>
            </w:pPr>
            <w:r>
              <w:rPr>
                <w:rFonts w:hint="eastAsia" w:ascii="黑体" w:hAnsi="黑体" w:eastAsia="黑体" w:cs="黑体"/>
                <w:sz w:val="20"/>
              </w:rPr>
              <w:t>智能体应具备异常识别能力：当发现某季度同比增速异常高或异常低时，应先判断是否存在低基数效应或特殊事件，而不是直接给出经济过热或衰退的结论。</w:t>
            </w:r>
          </w:p>
          <w:p w14:paraId="628B56C0">
            <w:pPr>
              <w:spacing w:after="40" w:line="276" w:lineRule="auto"/>
              <w:rPr>
                <w:rFonts w:hint="eastAsia" w:ascii="黑体" w:hAnsi="黑体" w:eastAsia="黑体" w:cs="黑体"/>
              </w:rPr>
            </w:pPr>
            <w:r>
              <w:rPr>
                <w:rFonts w:hint="eastAsia" w:ascii="黑体" w:hAnsi="黑体" w:eastAsia="黑体" w:cs="黑体"/>
                <w:sz w:val="20"/>
              </w:rPr>
              <w:t>更可靠的路线是“电力数据 + 宏观指标 + 行业知识 + 异常检测 + 生成式解释”。</w:t>
            </w:r>
          </w:p>
        </w:tc>
      </w:tr>
    </w:tbl>
    <w:p w14:paraId="075E61FC">
      <w:pPr>
        <w:spacing w:after="40"/>
        <w:rPr>
          <w:rFonts w:hint="eastAsia" w:ascii="黑体" w:hAnsi="黑体" w:eastAsia="黑体" w:cs="黑体"/>
        </w:rPr>
      </w:pPr>
    </w:p>
    <w:p w14:paraId="2D08F404">
      <w:pPr>
        <w:pStyle w:val="3"/>
        <w:spacing w:before="200" w:after="80"/>
        <w:rPr>
          <w:rFonts w:hint="eastAsia" w:ascii="黑体" w:hAnsi="黑体" w:eastAsia="黑体" w:cs="黑体"/>
        </w:rPr>
      </w:pPr>
      <w:r>
        <w:rPr>
          <w:rFonts w:hint="eastAsia" w:ascii="黑体" w:hAnsi="黑体" w:eastAsia="黑体" w:cs="黑体"/>
          <w:b/>
          <w:color w:val="1F4E79"/>
          <w:sz w:val="30"/>
        </w:rPr>
        <w:t>五、可直接借鉴到本项目的智能体设计方案</w:t>
      </w:r>
    </w:p>
    <w:p w14:paraId="35648776">
      <w:pPr>
        <w:pStyle w:val="4"/>
        <w:spacing w:before="120" w:after="80"/>
        <w:rPr>
          <w:rFonts w:hint="eastAsia" w:ascii="黑体" w:hAnsi="黑体" w:eastAsia="黑体" w:cs="黑体"/>
        </w:rPr>
      </w:pPr>
      <w:r>
        <w:rPr>
          <w:rFonts w:hint="eastAsia" w:ascii="黑体" w:hAnsi="黑体" w:eastAsia="黑体" w:cs="黑体"/>
          <w:b/>
          <w:color w:val="1F4E79"/>
          <w:sz w:val="26"/>
        </w:rPr>
        <w:t>5.1 数据输入层</w:t>
      </w:r>
    </w:p>
    <w:p w14:paraId="0B4D7E63">
      <w:pPr>
        <w:spacing w:after="80" w:line="288" w:lineRule="auto"/>
        <w:ind w:firstLine="420"/>
        <w:rPr>
          <w:rFonts w:hint="eastAsia" w:ascii="黑体" w:hAnsi="黑体" w:eastAsia="黑体" w:cs="黑体"/>
        </w:rPr>
      </w:pPr>
      <w:r>
        <w:rPr>
          <w:rFonts w:hint="eastAsia" w:ascii="黑体" w:hAnsi="黑体" w:eastAsia="黑体" w:cs="黑体"/>
          <w:b w:val="0"/>
          <w:sz w:val="21"/>
        </w:rPr>
        <w:t>参考论文思路，本项目智能体的数据输入不应局限于总用电量，而应尽量扩展为多维电力指标和外部解释变量。建议包括以下数据：</w:t>
      </w:r>
    </w:p>
    <w:p w14:paraId="71CF0A5B">
      <w:pPr>
        <w:pStyle w:val="16"/>
        <w:spacing w:after="40" w:line="276" w:lineRule="auto"/>
        <w:rPr>
          <w:rFonts w:hint="eastAsia" w:ascii="黑体" w:hAnsi="黑体" w:eastAsia="黑体" w:cs="黑体"/>
        </w:rPr>
      </w:pPr>
      <w:r>
        <w:rPr>
          <w:rFonts w:hint="eastAsia" w:ascii="黑体" w:hAnsi="黑体" w:eastAsia="黑体" w:cs="黑体"/>
          <w:sz w:val="21"/>
        </w:rPr>
        <w:t>总用电量</w:t>
      </w:r>
      <w:r>
        <w:rPr>
          <w:rFonts w:hint="eastAsia" w:ascii="黑体" w:hAnsi="黑体" w:eastAsia="黑体" w:cs="黑体"/>
          <w:sz w:val="21"/>
          <w:lang w:eastAsia="zh-CN"/>
        </w:rPr>
        <w:t>（</w:t>
      </w:r>
      <w:r>
        <w:rPr>
          <w:rFonts w:hint="eastAsia" w:ascii="黑体" w:hAnsi="黑体" w:eastAsia="黑体" w:cs="黑体"/>
          <w:sz w:val="21"/>
          <w:lang w:val="en-US" w:eastAsia="zh-CN"/>
        </w:rPr>
        <w:t>主要</w:t>
      </w:r>
      <w:r>
        <w:rPr>
          <w:rFonts w:hint="eastAsia" w:ascii="黑体" w:hAnsi="黑体" w:eastAsia="黑体" w:cs="黑体"/>
          <w:sz w:val="21"/>
          <w:lang w:eastAsia="zh-CN"/>
        </w:rPr>
        <w:t>）</w:t>
      </w:r>
      <w:r>
        <w:rPr>
          <w:rFonts w:hint="eastAsia" w:ascii="黑体" w:hAnsi="黑体" w:eastAsia="黑体" w:cs="黑体"/>
          <w:sz w:val="21"/>
        </w:rPr>
        <w:t>、分行业用电量、分地区用电量、工业用电量、商业用电量、居民用电量；</w:t>
      </w:r>
    </w:p>
    <w:p w14:paraId="7E85023F">
      <w:pPr>
        <w:pStyle w:val="16"/>
        <w:spacing w:after="40" w:line="276" w:lineRule="auto"/>
        <w:rPr>
          <w:rFonts w:hint="eastAsia" w:ascii="黑体" w:hAnsi="黑体" w:eastAsia="黑体" w:cs="黑体"/>
        </w:rPr>
      </w:pPr>
      <w:r>
        <w:rPr>
          <w:rFonts w:hint="eastAsia" w:ascii="黑体" w:hAnsi="黑体" w:eastAsia="黑体" w:cs="黑体"/>
          <w:sz w:val="21"/>
        </w:rPr>
        <w:t>新增用电容量</w:t>
      </w:r>
      <w:r>
        <w:rPr>
          <w:rFonts w:hint="eastAsia" w:ascii="黑体" w:hAnsi="黑体" w:eastAsia="黑体" w:cs="黑体"/>
          <w:sz w:val="21"/>
          <w:lang w:eastAsia="zh-CN"/>
        </w:rPr>
        <w:t>（</w:t>
      </w:r>
      <w:r>
        <w:rPr>
          <w:rFonts w:hint="eastAsia" w:ascii="黑体" w:hAnsi="黑体" w:eastAsia="黑体" w:cs="黑体"/>
          <w:sz w:val="21"/>
          <w:lang w:val="en-US" w:eastAsia="zh-CN"/>
        </w:rPr>
        <w:t>主要</w:t>
      </w:r>
      <w:r>
        <w:rPr>
          <w:rFonts w:hint="eastAsia" w:ascii="黑体" w:hAnsi="黑体" w:eastAsia="黑体" w:cs="黑体"/>
          <w:sz w:val="21"/>
          <w:lang w:eastAsia="zh-CN"/>
        </w:rPr>
        <w:t>）</w:t>
      </w:r>
      <w:r>
        <w:rPr>
          <w:rFonts w:hint="eastAsia" w:ascii="黑体" w:hAnsi="黑体" w:eastAsia="黑体" w:cs="黑体"/>
          <w:sz w:val="21"/>
        </w:rPr>
        <w:t>、报装容量、企业扩产相关容量、重点园区新增负荷；</w:t>
      </w:r>
    </w:p>
    <w:p w14:paraId="3F980842">
      <w:pPr>
        <w:pStyle w:val="16"/>
        <w:spacing w:after="40" w:line="276" w:lineRule="auto"/>
        <w:rPr>
          <w:rFonts w:hint="eastAsia" w:ascii="黑体" w:hAnsi="黑体" w:eastAsia="黑体" w:cs="黑体"/>
        </w:rPr>
      </w:pPr>
      <w:r>
        <w:rPr>
          <w:rFonts w:hint="eastAsia" w:ascii="黑体" w:hAnsi="黑体" w:eastAsia="黑体" w:cs="黑体"/>
          <w:sz w:val="21"/>
        </w:rPr>
        <w:t>温度、湿度、极端天气、节假日、春节错位、政策事件；</w:t>
      </w:r>
    </w:p>
    <w:p w14:paraId="3E1949B8">
      <w:pPr>
        <w:pStyle w:val="16"/>
        <w:spacing w:after="40" w:line="276" w:lineRule="auto"/>
        <w:rPr>
          <w:rFonts w:hint="eastAsia" w:ascii="黑体" w:hAnsi="黑体" w:eastAsia="黑体" w:cs="黑体"/>
        </w:rPr>
      </w:pPr>
      <w:r>
        <w:rPr>
          <w:rFonts w:hint="eastAsia" w:ascii="黑体" w:hAnsi="黑体" w:eastAsia="黑体" w:cs="黑体"/>
          <w:sz w:val="21"/>
        </w:rPr>
        <w:t>GDP、工业增加值、固定资产投资、消费、进出口、财政收入等宏观经济指标。</w:t>
      </w:r>
    </w:p>
    <w:p w14:paraId="0AEC8514">
      <w:pPr>
        <w:pStyle w:val="4"/>
        <w:spacing w:before="120" w:after="80"/>
        <w:rPr>
          <w:rFonts w:hint="eastAsia" w:ascii="黑体" w:hAnsi="黑体" w:eastAsia="黑体" w:cs="黑体"/>
        </w:rPr>
      </w:pPr>
      <w:r>
        <w:rPr>
          <w:rFonts w:hint="eastAsia" w:ascii="黑体" w:hAnsi="黑体" w:eastAsia="黑体" w:cs="黑体"/>
          <w:b/>
          <w:color w:val="1F4E79"/>
          <w:sz w:val="26"/>
        </w:rPr>
        <w:t>5.2 特征工程层</w:t>
      </w:r>
    </w:p>
    <w:p w14:paraId="4100FD3B">
      <w:pPr>
        <w:spacing w:after="80" w:line="288" w:lineRule="auto"/>
        <w:ind w:firstLine="420"/>
        <w:rPr>
          <w:rFonts w:hint="eastAsia" w:ascii="黑体" w:hAnsi="黑体" w:eastAsia="黑体" w:cs="黑体"/>
        </w:rPr>
      </w:pPr>
      <w:r>
        <w:rPr>
          <w:rFonts w:hint="eastAsia" w:ascii="黑体" w:hAnsi="黑体" w:eastAsia="黑体" w:cs="黑体"/>
          <w:b w:val="0"/>
          <w:sz w:val="21"/>
        </w:rPr>
        <w:t>论文最值得借鉴的不是复杂公式，而是特征构造思路。智能体应自动把原始数据转化为经济分析可用的特征：</w:t>
      </w:r>
    </w:p>
    <w:p w14:paraId="66201435">
      <w:pPr>
        <w:pStyle w:val="16"/>
        <w:spacing w:after="40" w:line="276" w:lineRule="auto"/>
        <w:rPr>
          <w:rFonts w:hint="eastAsia" w:ascii="黑体" w:hAnsi="黑体" w:eastAsia="黑体" w:cs="黑体"/>
        </w:rPr>
      </w:pPr>
      <w:r>
        <w:rPr>
          <w:rFonts w:hint="eastAsia" w:ascii="黑体" w:hAnsi="黑体" w:eastAsia="黑体" w:cs="黑体"/>
          <w:sz w:val="21"/>
        </w:rPr>
        <w:t>同比增长率：判断与去年同期相比的变化；</w:t>
      </w:r>
    </w:p>
    <w:p w14:paraId="28311829">
      <w:pPr>
        <w:pStyle w:val="16"/>
        <w:spacing w:after="40" w:line="276" w:lineRule="auto"/>
        <w:rPr>
          <w:rFonts w:hint="eastAsia" w:ascii="黑体" w:hAnsi="黑体" w:eastAsia="黑体" w:cs="黑体"/>
        </w:rPr>
      </w:pPr>
      <w:r>
        <w:rPr>
          <w:rFonts w:hint="eastAsia" w:ascii="黑体" w:hAnsi="黑体" w:eastAsia="黑体" w:cs="黑体"/>
          <w:sz w:val="21"/>
        </w:rPr>
        <w:t>环比增长率：判断近期变化方向；</w:t>
      </w:r>
    </w:p>
    <w:p w14:paraId="7458572E">
      <w:pPr>
        <w:pStyle w:val="16"/>
        <w:spacing w:after="40" w:line="276" w:lineRule="auto"/>
        <w:rPr>
          <w:rFonts w:hint="eastAsia" w:ascii="黑体" w:hAnsi="黑体" w:eastAsia="黑体" w:cs="黑体"/>
        </w:rPr>
      </w:pPr>
      <w:r>
        <w:rPr>
          <w:rFonts w:hint="eastAsia" w:ascii="黑体" w:hAnsi="黑体" w:eastAsia="黑体" w:cs="黑体"/>
          <w:sz w:val="21"/>
        </w:rPr>
        <w:t>三个月移动平均：平滑短期噪声；</w:t>
      </w:r>
    </w:p>
    <w:p w14:paraId="7135C07C">
      <w:pPr>
        <w:pStyle w:val="16"/>
        <w:spacing w:after="40" w:line="276" w:lineRule="auto"/>
        <w:rPr>
          <w:rFonts w:hint="eastAsia" w:ascii="黑体" w:hAnsi="黑体" w:eastAsia="黑体" w:cs="黑体"/>
        </w:rPr>
      </w:pPr>
      <w:r>
        <w:rPr>
          <w:rFonts w:hint="eastAsia" w:ascii="黑体" w:hAnsi="黑体" w:eastAsia="黑体" w:cs="黑体"/>
          <w:sz w:val="21"/>
        </w:rPr>
        <w:t>季度累计增速：用于季度经济研判；</w:t>
      </w:r>
    </w:p>
    <w:p w14:paraId="3C92B845">
      <w:pPr>
        <w:pStyle w:val="16"/>
        <w:spacing w:after="40" w:line="276" w:lineRule="auto"/>
        <w:rPr>
          <w:rFonts w:hint="eastAsia" w:ascii="黑体" w:hAnsi="黑体" w:eastAsia="黑体" w:cs="黑体"/>
        </w:rPr>
      </w:pPr>
      <w:r>
        <w:rPr>
          <w:rFonts w:hint="eastAsia" w:ascii="黑体" w:hAnsi="黑体" w:eastAsia="黑体" w:cs="黑体"/>
          <w:sz w:val="21"/>
        </w:rPr>
        <w:t>容量变化率：反映未来生产活动预期；</w:t>
      </w:r>
    </w:p>
    <w:p w14:paraId="439BADC4">
      <w:pPr>
        <w:pStyle w:val="16"/>
        <w:spacing w:after="40" w:line="276" w:lineRule="auto"/>
        <w:rPr>
          <w:rFonts w:hint="eastAsia" w:ascii="黑体" w:hAnsi="黑体" w:eastAsia="黑体" w:cs="黑体"/>
        </w:rPr>
      </w:pPr>
      <w:r>
        <w:rPr>
          <w:rFonts w:hint="eastAsia" w:ascii="黑体" w:hAnsi="黑体" w:eastAsia="黑体" w:cs="黑体"/>
          <w:sz w:val="21"/>
        </w:rPr>
        <w:t>异常偏离度：判断是否存在低基数、极端天气或突发事件影响。</w:t>
      </w:r>
    </w:p>
    <w:p w14:paraId="52FACAE8">
      <w:pPr>
        <w:pStyle w:val="4"/>
        <w:spacing w:before="120" w:after="80"/>
        <w:rPr>
          <w:rFonts w:hint="eastAsia" w:ascii="黑体" w:hAnsi="黑体" w:eastAsia="黑体" w:cs="黑体"/>
        </w:rPr>
      </w:pPr>
      <w:r>
        <w:rPr>
          <w:rFonts w:hint="eastAsia" w:ascii="黑体" w:hAnsi="黑体" w:eastAsia="黑体" w:cs="黑体"/>
          <w:b/>
          <w:color w:val="1F4E79"/>
          <w:sz w:val="26"/>
        </w:rPr>
        <w:t>5.3 智能体推理层</w:t>
      </w:r>
    </w:p>
    <w:p w14:paraId="135FE1C0">
      <w:pPr>
        <w:spacing w:after="80" w:line="288" w:lineRule="auto"/>
        <w:rPr>
          <w:rFonts w:hint="eastAsia" w:ascii="黑体" w:hAnsi="黑体" w:eastAsia="黑体" w:cs="黑体"/>
        </w:rPr>
      </w:pPr>
      <w:r>
        <w:rPr>
          <w:rFonts w:hint="eastAsia" w:ascii="黑体" w:hAnsi="黑体" w:eastAsia="黑体" w:cs="黑体"/>
          <w:b w:val="0"/>
          <w:sz w:val="21"/>
        </w:rPr>
        <w:t>结合论文模型，本项目可以设计一个分阶段推理流程：</w:t>
      </w:r>
    </w:p>
    <w:tbl>
      <w:tblPr>
        <w:tblStyle w:val="3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600"/>
        <w:gridCol w:w="7600"/>
      </w:tblGrid>
      <w:tr w14:paraId="246217F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shd w:val="clear" w:color="auto" w:fill="1F4E79"/>
            <w:vAlign w:val="center"/>
          </w:tcPr>
          <w:p w14:paraId="0F3A73FF">
            <w:pPr>
              <w:spacing w:after="0" w:line="240" w:lineRule="auto"/>
              <w:rPr>
                <w:rFonts w:hint="eastAsia" w:ascii="黑体" w:hAnsi="黑体" w:eastAsia="黑体" w:cs="黑体"/>
              </w:rPr>
            </w:pPr>
            <w:r>
              <w:rPr>
                <w:rFonts w:hint="eastAsia" w:ascii="黑体" w:hAnsi="黑体" w:eastAsia="黑体" w:cs="黑体"/>
                <w:b/>
                <w:color w:val="FFFFFF"/>
                <w:sz w:val="20"/>
              </w:rPr>
              <w:t>流程</w:t>
            </w:r>
          </w:p>
        </w:tc>
        <w:tc>
          <w:tcPr>
            <w:tcW w:w="7600" w:type="dxa"/>
            <w:shd w:val="clear" w:color="auto" w:fill="1F4E79"/>
            <w:vAlign w:val="center"/>
          </w:tcPr>
          <w:p w14:paraId="17B3959E">
            <w:pPr>
              <w:spacing w:after="0" w:line="240" w:lineRule="auto"/>
              <w:rPr>
                <w:rFonts w:hint="eastAsia" w:ascii="黑体" w:hAnsi="黑体" w:eastAsia="黑体" w:cs="黑体"/>
              </w:rPr>
            </w:pPr>
            <w:r>
              <w:rPr>
                <w:rFonts w:hint="eastAsia" w:ascii="黑体" w:hAnsi="黑体" w:eastAsia="黑体" w:cs="黑体"/>
                <w:b/>
                <w:color w:val="FFFFFF"/>
                <w:sz w:val="20"/>
              </w:rPr>
              <w:t>内容</w:t>
            </w:r>
          </w:p>
        </w:tc>
      </w:tr>
      <w:tr w14:paraId="25CD761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vAlign w:val="center"/>
          </w:tcPr>
          <w:p w14:paraId="14088DFA">
            <w:pPr>
              <w:spacing w:after="0" w:line="240" w:lineRule="auto"/>
              <w:rPr>
                <w:rFonts w:hint="eastAsia" w:ascii="黑体" w:hAnsi="黑体" w:eastAsia="黑体" w:cs="黑体"/>
              </w:rPr>
            </w:pPr>
            <w:r>
              <w:rPr>
                <w:rFonts w:hint="eastAsia" w:ascii="黑体" w:hAnsi="黑体" w:eastAsia="黑体" w:cs="黑体"/>
                <w:b w:val="0"/>
                <w:sz w:val="19"/>
              </w:rPr>
              <w:t>步骤 1</w:t>
            </w:r>
          </w:p>
        </w:tc>
        <w:tc>
          <w:tcPr>
            <w:tcW w:w="7600" w:type="dxa"/>
            <w:vAlign w:val="center"/>
          </w:tcPr>
          <w:p w14:paraId="4066F119">
            <w:pPr>
              <w:spacing w:after="0" w:line="240" w:lineRule="auto"/>
              <w:rPr>
                <w:rFonts w:hint="eastAsia" w:ascii="黑体" w:hAnsi="黑体" w:eastAsia="黑体" w:cs="黑体"/>
              </w:rPr>
            </w:pPr>
            <w:r>
              <w:rPr>
                <w:rFonts w:hint="eastAsia" w:ascii="黑体" w:hAnsi="黑体" w:eastAsia="黑体" w:cs="黑体"/>
                <w:b w:val="0"/>
                <w:sz w:val="19"/>
              </w:rPr>
              <w:t>识别用户上传数据类型：月度、季度前两个月、完整季度、分行业或分区域数据。</w:t>
            </w:r>
          </w:p>
        </w:tc>
      </w:tr>
      <w:tr w14:paraId="56C8645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vAlign w:val="center"/>
          </w:tcPr>
          <w:p w14:paraId="7926B347">
            <w:pPr>
              <w:spacing w:after="0" w:line="240" w:lineRule="auto"/>
              <w:rPr>
                <w:rFonts w:hint="eastAsia" w:ascii="黑体" w:hAnsi="黑体" w:eastAsia="黑体" w:cs="黑体"/>
              </w:rPr>
            </w:pPr>
            <w:r>
              <w:rPr>
                <w:rFonts w:hint="eastAsia" w:ascii="黑体" w:hAnsi="黑体" w:eastAsia="黑体" w:cs="黑体"/>
                <w:b w:val="0"/>
                <w:sz w:val="19"/>
              </w:rPr>
              <w:t>步骤 2</w:t>
            </w:r>
          </w:p>
        </w:tc>
        <w:tc>
          <w:tcPr>
            <w:tcW w:w="7600" w:type="dxa"/>
            <w:vAlign w:val="center"/>
          </w:tcPr>
          <w:p w14:paraId="00D971D6">
            <w:pPr>
              <w:spacing w:after="0" w:line="240" w:lineRule="auto"/>
              <w:rPr>
                <w:rFonts w:hint="eastAsia" w:ascii="黑体" w:hAnsi="黑体" w:eastAsia="黑体" w:cs="黑体"/>
              </w:rPr>
            </w:pPr>
            <w:r>
              <w:rPr>
                <w:rFonts w:hint="eastAsia" w:ascii="黑体" w:hAnsi="黑体" w:eastAsia="黑体" w:cs="黑体"/>
                <w:b w:val="0"/>
                <w:sz w:val="19"/>
              </w:rPr>
              <w:t>计算用电同比、环比、季度累计增速、容量变化率等基础特征。</w:t>
            </w:r>
          </w:p>
        </w:tc>
      </w:tr>
      <w:tr w14:paraId="12BE1C0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vAlign w:val="center"/>
          </w:tcPr>
          <w:p w14:paraId="1C07ABAB">
            <w:pPr>
              <w:spacing w:after="0" w:line="240" w:lineRule="auto"/>
              <w:rPr>
                <w:rFonts w:hint="eastAsia" w:ascii="黑体" w:hAnsi="黑体" w:eastAsia="黑体" w:cs="黑体"/>
              </w:rPr>
            </w:pPr>
            <w:r>
              <w:rPr>
                <w:rFonts w:hint="eastAsia" w:ascii="黑体" w:hAnsi="黑体" w:eastAsia="黑体" w:cs="黑体"/>
                <w:b w:val="0"/>
                <w:sz w:val="19"/>
              </w:rPr>
              <w:t>步骤 3</w:t>
            </w:r>
          </w:p>
        </w:tc>
        <w:tc>
          <w:tcPr>
            <w:tcW w:w="7600" w:type="dxa"/>
            <w:vAlign w:val="center"/>
          </w:tcPr>
          <w:p w14:paraId="60037818">
            <w:pPr>
              <w:spacing w:after="0" w:line="240" w:lineRule="auto"/>
              <w:rPr>
                <w:rFonts w:hint="eastAsia" w:ascii="黑体" w:hAnsi="黑体" w:eastAsia="黑体" w:cs="黑体"/>
              </w:rPr>
            </w:pPr>
            <w:r>
              <w:rPr>
                <w:rFonts w:hint="eastAsia" w:ascii="黑体" w:hAnsi="黑体" w:eastAsia="黑体" w:cs="黑体"/>
                <w:b w:val="0"/>
                <w:sz w:val="19"/>
              </w:rPr>
              <w:t>检查异常因素：低基数、春节错位、极端天气、政策事件、数据缺失。</w:t>
            </w:r>
          </w:p>
        </w:tc>
      </w:tr>
      <w:tr w14:paraId="60D6E92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vAlign w:val="center"/>
          </w:tcPr>
          <w:p w14:paraId="066AFE84">
            <w:pPr>
              <w:spacing w:after="0" w:line="240" w:lineRule="auto"/>
              <w:rPr>
                <w:rFonts w:hint="eastAsia" w:ascii="黑体" w:hAnsi="黑体" w:eastAsia="黑体" w:cs="黑体"/>
              </w:rPr>
            </w:pPr>
            <w:r>
              <w:rPr>
                <w:rFonts w:hint="eastAsia" w:ascii="黑体" w:hAnsi="黑体" w:eastAsia="黑体" w:cs="黑体"/>
                <w:b w:val="0"/>
                <w:sz w:val="19"/>
              </w:rPr>
              <w:t>步骤 4</w:t>
            </w:r>
          </w:p>
        </w:tc>
        <w:tc>
          <w:tcPr>
            <w:tcW w:w="7600" w:type="dxa"/>
            <w:vAlign w:val="center"/>
          </w:tcPr>
          <w:p w14:paraId="3D6881AA">
            <w:pPr>
              <w:spacing w:after="0" w:line="240" w:lineRule="auto"/>
              <w:rPr>
                <w:rFonts w:hint="eastAsia" w:ascii="黑体" w:hAnsi="黑体" w:eastAsia="黑体" w:cs="黑体"/>
              </w:rPr>
            </w:pPr>
            <w:r>
              <w:rPr>
                <w:rFonts w:hint="eastAsia" w:ascii="黑体" w:hAnsi="黑体" w:eastAsia="黑体" w:cs="黑体"/>
                <w:b w:val="0"/>
                <w:sz w:val="19"/>
              </w:rPr>
              <w:t>进行趋势判断：扩张、放缓、恢复、异常波动、结构性变化。</w:t>
            </w:r>
          </w:p>
        </w:tc>
      </w:tr>
      <w:tr w14:paraId="11CFFD6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vAlign w:val="center"/>
          </w:tcPr>
          <w:p w14:paraId="052A43C6">
            <w:pPr>
              <w:spacing w:after="0" w:line="240" w:lineRule="auto"/>
              <w:rPr>
                <w:rFonts w:hint="eastAsia" w:ascii="黑体" w:hAnsi="黑体" w:eastAsia="黑体" w:cs="黑体"/>
              </w:rPr>
            </w:pPr>
            <w:r>
              <w:rPr>
                <w:rFonts w:hint="eastAsia" w:ascii="黑体" w:hAnsi="黑体" w:eastAsia="黑体" w:cs="黑体"/>
                <w:b w:val="0"/>
                <w:sz w:val="19"/>
              </w:rPr>
              <w:t>步骤 5</w:t>
            </w:r>
          </w:p>
        </w:tc>
        <w:tc>
          <w:tcPr>
            <w:tcW w:w="7600" w:type="dxa"/>
            <w:vAlign w:val="center"/>
          </w:tcPr>
          <w:p w14:paraId="54B5C8BD">
            <w:pPr>
              <w:spacing w:after="0" w:line="240" w:lineRule="auto"/>
              <w:rPr>
                <w:rFonts w:hint="eastAsia" w:ascii="黑体" w:hAnsi="黑体" w:eastAsia="黑体" w:cs="黑体"/>
              </w:rPr>
            </w:pPr>
            <w:r>
              <w:rPr>
                <w:rFonts w:hint="eastAsia" w:ascii="黑体" w:hAnsi="黑体" w:eastAsia="黑体" w:cs="黑体"/>
                <w:b w:val="0"/>
                <w:sz w:val="19"/>
              </w:rPr>
              <w:t>结合知识库解释原因：行业结构、产业政策、区域特点、气象因素。</w:t>
            </w:r>
          </w:p>
        </w:tc>
      </w:tr>
      <w:tr w14:paraId="6B3FEED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1600" w:type="dxa"/>
            <w:vAlign w:val="center"/>
          </w:tcPr>
          <w:p w14:paraId="45BDEE86">
            <w:pPr>
              <w:spacing w:after="0" w:line="240" w:lineRule="auto"/>
              <w:rPr>
                <w:rFonts w:hint="eastAsia" w:ascii="黑体" w:hAnsi="黑体" w:eastAsia="黑体" w:cs="黑体"/>
              </w:rPr>
            </w:pPr>
            <w:r>
              <w:rPr>
                <w:rFonts w:hint="eastAsia" w:ascii="黑体" w:hAnsi="黑体" w:eastAsia="黑体" w:cs="黑体"/>
                <w:b w:val="0"/>
                <w:sz w:val="19"/>
              </w:rPr>
              <w:t>步骤 6</w:t>
            </w:r>
          </w:p>
        </w:tc>
        <w:tc>
          <w:tcPr>
            <w:tcW w:w="7600" w:type="dxa"/>
            <w:vAlign w:val="center"/>
          </w:tcPr>
          <w:p w14:paraId="59C3B5ED">
            <w:pPr>
              <w:spacing w:after="0" w:line="240" w:lineRule="auto"/>
              <w:rPr>
                <w:rFonts w:hint="eastAsia" w:ascii="黑体" w:hAnsi="黑体" w:eastAsia="黑体" w:cs="黑体"/>
              </w:rPr>
            </w:pPr>
            <w:r>
              <w:rPr>
                <w:rFonts w:hint="eastAsia" w:ascii="黑体" w:hAnsi="黑体" w:eastAsia="黑体" w:cs="黑体"/>
                <w:b w:val="0"/>
                <w:sz w:val="19"/>
              </w:rPr>
              <w:t>生成报告：结论、证据、风险提示、后续观察指标。</w:t>
            </w:r>
          </w:p>
        </w:tc>
      </w:tr>
    </w:tbl>
    <w:p w14:paraId="4791FC07">
      <w:pPr>
        <w:pStyle w:val="3"/>
        <w:spacing w:before="200" w:after="80"/>
        <w:rPr>
          <w:rFonts w:hint="eastAsia" w:ascii="黑体" w:hAnsi="黑体" w:eastAsia="黑体" w:cs="黑体"/>
        </w:rPr>
      </w:pPr>
      <w:r>
        <w:rPr>
          <w:rFonts w:hint="eastAsia" w:ascii="黑体" w:hAnsi="黑体" w:eastAsia="黑体" w:cs="黑体"/>
          <w:b/>
          <w:color w:val="1F4E79"/>
          <w:sz w:val="30"/>
          <w:lang w:val="en-US" w:eastAsia="zh-CN"/>
        </w:rPr>
        <w:t>六</w:t>
      </w:r>
      <w:r>
        <w:rPr>
          <w:rFonts w:hint="eastAsia" w:ascii="黑体" w:hAnsi="黑体" w:eastAsia="黑体" w:cs="黑体"/>
          <w:b/>
          <w:color w:val="1F4E79"/>
          <w:sz w:val="30"/>
        </w:rPr>
        <w:t>、局限性与本项目可改进方向</w:t>
      </w:r>
    </w:p>
    <w:p w14:paraId="4F0F987A">
      <w:pPr>
        <w:spacing w:after="80" w:line="288" w:lineRule="auto"/>
        <w:ind w:firstLine="420"/>
        <w:rPr>
          <w:rFonts w:hint="eastAsia" w:ascii="黑体" w:hAnsi="黑体" w:eastAsia="黑体" w:cs="黑体"/>
        </w:rPr>
      </w:pPr>
      <w:r>
        <w:rPr>
          <w:rFonts w:hint="eastAsia" w:ascii="黑体" w:hAnsi="黑体" w:eastAsia="黑体" w:cs="黑体"/>
          <w:b w:val="0"/>
          <w:sz w:val="21"/>
        </w:rPr>
        <w:t>论文在结论中也指出，电力消费会明显受到温度影响。虽然同比数据可以消除一部分季节性变化，但温度波动仍会影响预测结果。因此，本项目可以把气象数据作为特征解耦的重要输入，避免将夏季高温空调用电或冬季取暖用电误判为经济增长。</w:t>
      </w:r>
    </w:p>
    <w:p w14:paraId="3C1D801A">
      <w:pPr>
        <w:spacing w:after="80" w:line="288" w:lineRule="auto"/>
        <w:ind w:firstLine="420"/>
        <w:rPr>
          <w:rFonts w:hint="eastAsia" w:ascii="黑体" w:hAnsi="黑体" w:eastAsia="黑体" w:cs="黑体"/>
        </w:rPr>
      </w:pPr>
      <w:r>
        <w:rPr>
          <w:rFonts w:hint="eastAsia" w:ascii="黑体" w:hAnsi="黑体" w:eastAsia="黑体" w:cs="黑体"/>
          <w:b w:val="0"/>
          <w:sz w:val="21"/>
        </w:rPr>
        <w:t>此外，论文指出突发事件和数据发布延迟也会带来不确定性。本项目的智能体可以在报告中加入“不确定性提示”，例如当数据缺失、异常波动或外部事件明显时，自动降低结论置信度，并提示需要补充哪些数据。</w:t>
      </w:r>
    </w:p>
    <w:p w14:paraId="69470F0B">
      <w:pPr>
        <w:spacing w:after="80" w:line="288" w:lineRule="auto"/>
        <w:ind w:firstLine="420"/>
        <w:rPr>
          <w:rFonts w:hint="eastAsia" w:ascii="黑体" w:hAnsi="黑体" w:eastAsia="黑体" w:cs="黑体"/>
          <w:b w:val="0"/>
          <w:sz w:val="21"/>
        </w:rPr>
      </w:pPr>
      <w:r>
        <w:rPr>
          <w:rFonts w:hint="eastAsia" w:ascii="黑体" w:hAnsi="黑体" w:eastAsia="黑体" w:cs="黑体"/>
          <w:b w:val="0"/>
          <w:sz w:val="21"/>
        </w:rPr>
        <w:t>论文侧重于 GDP 增速预测，而本项目可以进一步扩展到行业经济态势判断。例如，当制造业用电量上升、商业用电量平稳、居民用电量受温度影响明显时，智能体应分别解释不同部门的经济含义，而不是只输出一个总体 GDP 趋势结论。</w:t>
      </w:r>
    </w:p>
    <w:p w14:paraId="5482072C">
      <w:pPr>
        <w:spacing w:after="80" w:line="288" w:lineRule="auto"/>
        <w:ind w:firstLine="420"/>
        <w:rPr>
          <w:rFonts w:hint="eastAsia" w:ascii="黑体" w:hAnsi="黑体" w:eastAsia="黑体" w:cs="黑体"/>
          <w:b w:val="0"/>
          <w:sz w:val="21"/>
        </w:rPr>
      </w:pPr>
    </w:p>
    <w:p w14:paraId="75915C14">
      <w:pPr>
        <w:spacing w:after="80" w:line="288" w:lineRule="auto"/>
        <w:ind w:firstLine="420"/>
        <w:rPr>
          <w:rFonts w:hint="eastAsia" w:ascii="黑体" w:hAnsi="黑体" w:eastAsia="黑体" w:cs="黑体"/>
          <w:b w:val="0"/>
          <w:sz w:val="21"/>
        </w:rPr>
      </w:pPr>
    </w:p>
    <w:p w14:paraId="7BF1D265">
      <w:pPr>
        <w:spacing w:after="80" w:line="288" w:lineRule="auto"/>
        <w:ind w:firstLine="420"/>
        <w:rPr>
          <w:rFonts w:hint="eastAsia" w:ascii="黑体" w:hAnsi="黑体" w:eastAsia="黑体" w:cs="黑体"/>
          <w:b w:val="0"/>
          <w:sz w:val="21"/>
        </w:rPr>
      </w:pPr>
    </w:p>
    <w:p w14:paraId="27D7FC7A">
      <w:pPr>
        <w:spacing w:after="80" w:line="288" w:lineRule="auto"/>
        <w:ind w:firstLine="420"/>
        <w:rPr>
          <w:rFonts w:hint="eastAsia" w:ascii="黑体" w:hAnsi="黑体" w:eastAsia="黑体" w:cs="黑体"/>
          <w:b w:val="0"/>
          <w:sz w:val="21"/>
        </w:rPr>
      </w:pPr>
    </w:p>
    <w:p w14:paraId="51E98495">
      <w:pPr>
        <w:spacing w:after="80" w:line="288" w:lineRule="auto"/>
        <w:ind w:firstLine="420"/>
        <w:rPr>
          <w:rFonts w:hint="eastAsia" w:ascii="黑体" w:hAnsi="黑体" w:eastAsia="黑体" w:cs="黑体"/>
          <w:b w:val="0"/>
          <w:sz w:val="21"/>
        </w:rPr>
      </w:pPr>
    </w:p>
    <w:p w14:paraId="5E91619F">
      <w:pPr>
        <w:spacing w:after="80" w:line="288" w:lineRule="auto"/>
        <w:ind w:firstLine="420"/>
        <w:rPr>
          <w:rFonts w:hint="eastAsia" w:ascii="黑体" w:hAnsi="黑体" w:eastAsia="黑体" w:cs="黑体"/>
          <w:b w:val="0"/>
          <w:sz w:val="21"/>
        </w:rPr>
      </w:pPr>
    </w:p>
    <w:p w14:paraId="3116DBAB">
      <w:pPr>
        <w:spacing w:after="80" w:line="288" w:lineRule="auto"/>
        <w:ind w:firstLine="420"/>
        <w:rPr>
          <w:rFonts w:hint="eastAsia" w:ascii="黑体" w:hAnsi="黑体" w:eastAsia="黑体" w:cs="黑体"/>
          <w:b w:val="0"/>
          <w:sz w:val="21"/>
        </w:rPr>
      </w:pPr>
    </w:p>
    <w:p w14:paraId="39F7A12F">
      <w:pPr>
        <w:spacing w:after="80" w:line="288" w:lineRule="auto"/>
        <w:ind w:firstLine="420"/>
        <w:rPr>
          <w:rFonts w:hint="eastAsia" w:ascii="黑体" w:hAnsi="黑体" w:eastAsia="黑体" w:cs="黑体"/>
          <w:b w:val="0"/>
          <w:sz w:val="21"/>
        </w:rPr>
      </w:pPr>
    </w:p>
    <w:p w14:paraId="33CD9D6F">
      <w:pPr>
        <w:spacing w:after="80" w:line="288" w:lineRule="auto"/>
        <w:ind w:firstLine="420"/>
        <w:rPr>
          <w:rFonts w:hint="eastAsia" w:ascii="黑体" w:hAnsi="黑体" w:eastAsia="黑体" w:cs="黑体"/>
          <w:b w:val="0"/>
          <w:sz w:val="21"/>
        </w:rPr>
      </w:pPr>
    </w:p>
    <w:p w14:paraId="7469CCEA">
      <w:pPr>
        <w:spacing w:after="80" w:line="288" w:lineRule="auto"/>
        <w:ind w:firstLine="420"/>
        <w:rPr>
          <w:rFonts w:hint="eastAsia" w:ascii="黑体" w:hAnsi="黑体" w:eastAsia="黑体" w:cs="黑体"/>
          <w:b w:val="0"/>
          <w:sz w:val="21"/>
        </w:rPr>
      </w:pPr>
    </w:p>
    <w:p w14:paraId="7EE412FF">
      <w:pPr>
        <w:spacing w:after="80" w:line="288" w:lineRule="auto"/>
        <w:ind w:firstLine="420"/>
        <w:rPr>
          <w:rFonts w:hint="eastAsia" w:ascii="黑体" w:hAnsi="黑体" w:eastAsia="黑体" w:cs="黑体"/>
          <w:b w:val="0"/>
          <w:sz w:val="21"/>
        </w:rPr>
      </w:pPr>
    </w:p>
    <w:p w14:paraId="6482E50C">
      <w:pPr>
        <w:spacing w:after="80" w:line="288" w:lineRule="auto"/>
        <w:ind w:firstLine="420"/>
        <w:rPr>
          <w:rFonts w:hint="eastAsia" w:ascii="黑体" w:hAnsi="黑体" w:eastAsia="黑体" w:cs="黑体"/>
          <w:b w:val="0"/>
          <w:sz w:val="21"/>
        </w:rPr>
      </w:pPr>
    </w:p>
    <w:p w14:paraId="239A9D8C">
      <w:pPr>
        <w:spacing w:after="80" w:line="288" w:lineRule="auto"/>
        <w:ind w:firstLine="420"/>
        <w:rPr>
          <w:rFonts w:hint="eastAsia" w:ascii="黑体" w:hAnsi="黑体" w:eastAsia="黑体" w:cs="黑体"/>
          <w:b w:val="0"/>
          <w:sz w:val="21"/>
        </w:rPr>
      </w:pPr>
    </w:p>
    <w:p w14:paraId="21E07C0E">
      <w:pPr>
        <w:spacing w:after="80" w:line="288" w:lineRule="auto"/>
        <w:ind w:firstLine="420"/>
        <w:rPr>
          <w:rFonts w:hint="eastAsia" w:ascii="黑体" w:hAnsi="黑体" w:eastAsia="黑体" w:cs="黑体"/>
          <w:b w:val="0"/>
          <w:sz w:val="21"/>
        </w:rPr>
      </w:pPr>
    </w:p>
    <w:p w14:paraId="4B6BB72F">
      <w:pPr>
        <w:spacing w:after="80" w:line="288" w:lineRule="auto"/>
        <w:ind w:firstLine="420"/>
        <w:rPr>
          <w:rFonts w:hint="eastAsia" w:ascii="黑体" w:hAnsi="黑体" w:eastAsia="黑体" w:cs="黑体"/>
          <w:b w:val="0"/>
          <w:sz w:val="21"/>
        </w:rPr>
      </w:pPr>
    </w:p>
    <w:p w14:paraId="7D292BEC">
      <w:pPr>
        <w:spacing w:after="200"/>
        <w:jc w:val="center"/>
      </w:pPr>
    </w:p>
    <w:tbl>
      <w:tblPr>
        <w:tblStyle w:val="34"/>
        <w:tblW w:w="0" w:type="auto"/>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0" w:type="dxa"/>
          <w:left w:w="108" w:type="dxa"/>
          <w:bottom w:w="0" w:type="dxa"/>
          <w:right w:w="108" w:type="dxa"/>
        </w:tblCellMar>
      </w:tblPr>
      <w:tblGrid>
        <w:gridCol w:w="1814"/>
        <w:gridCol w:w="7654"/>
      </w:tblGrid>
      <w:tr w14:paraId="37C2C3A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shd w:val="clear" w:color="auto" w:fill="D9EAF7"/>
            <w:tcMar>
              <w:top w:w="120" w:type="dxa"/>
              <w:left w:w="120" w:type="dxa"/>
              <w:bottom w:w="120" w:type="dxa"/>
              <w:right w:w="120" w:type="dxa"/>
            </w:tcMar>
            <w:vAlign w:val="center"/>
          </w:tcPr>
          <w:p w14:paraId="27190DDA">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项目</w:t>
            </w:r>
          </w:p>
        </w:tc>
        <w:tc>
          <w:tcPr>
            <w:tcW w:w="7654" w:type="dxa"/>
            <w:shd w:val="clear" w:color="auto" w:fill="D9EAF7"/>
            <w:tcMar>
              <w:top w:w="120" w:type="dxa"/>
              <w:left w:w="120" w:type="dxa"/>
              <w:bottom w:w="120" w:type="dxa"/>
              <w:right w:w="120" w:type="dxa"/>
            </w:tcMar>
            <w:vAlign w:val="center"/>
          </w:tcPr>
          <w:p w14:paraId="2A6431BA">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内容</w:t>
            </w:r>
          </w:p>
        </w:tc>
      </w:tr>
      <w:tr w14:paraId="3E07E10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5F264811">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论文题目</w:t>
            </w:r>
          </w:p>
        </w:tc>
        <w:tc>
          <w:tcPr>
            <w:tcW w:w="7654" w:type="dxa"/>
            <w:tcMar>
              <w:top w:w="120" w:type="dxa"/>
              <w:left w:w="120" w:type="dxa"/>
              <w:bottom w:w="120" w:type="dxa"/>
              <w:right w:w="120" w:type="dxa"/>
            </w:tcMar>
            <w:vAlign w:val="center"/>
          </w:tcPr>
          <w:p w14:paraId="2D501761">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Nowcasting Economic Activity Using Electricity Market Data: The Case of Lithuania</w:t>
            </w:r>
          </w:p>
        </w:tc>
      </w:tr>
      <w:tr w14:paraId="4F0C9F6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7EC0226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中文译名</w:t>
            </w:r>
          </w:p>
        </w:tc>
        <w:tc>
          <w:tcPr>
            <w:tcW w:w="7654" w:type="dxa"/>
            <w:tcMar>
              <w:top w:w="120" w:type="dxa"/>
              <w:left w:w="120" w:type="dxa"/>
              <w:bottom w:w="120" w:type="dxa"/>
              <w:right w:w="120" w:type="dxa"/>
            </w:tcMar>
            <w:vAlign w:val="center"/>
          </w:tcPr>
          <w:p w14:paraId="75C6FCE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利用电力市场数据即时预测经济活动：以立陶宛为例</w:t>
            </w:r>
          </w:p>
        </w:tc>
      </w:tr>
      <w:tr w14:paraId="7A78FDA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6A7AFC45">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作者与年份</w:t>
            </w:r>
          </w:p>
        </w:tc>
        <w:tc>
          <w:tcPr>
            <w:tcW w:w="7654" w:type="dxa"/>
            <w:tcMar>
              <w:top w:w="120" w:type="dxa"/>
              <w:left w:w="120" w:type="dxa"/>
              <w:bottom w:w="120" w:type="dxa"/>
              <w:right w:w="120" w:type="dxa"/>
            </w:tcMar>
            <w:vAlign w:val="center"/>
          </w:tcPr>
          <w:p w14:paraId="5E3EF3AC">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Alina Stundziene, Vaida Pilinkiene, Jurgita Bruneckiene, Andrius Grybauskas, Mantas Lukauskas，2023 年发表在 Economies</w:t>
            </w:r>
          </w:p>
        </w:tc>
      </w:tr>
      <w:tr w14:paraId="6B6572E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7E6D1C9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研究对象</w:t>
            </w:r>
          </w:p>
        </w:tc>
        <w:tc>
          <w:tcPr>
            <w:tcW w:w="7654" w:type="dxa"/>
            <w:tcMar>
              <w:top w:w="120" w:type="dxa"/>
              <w:left w:w="120" w:type="dxa"/>
              <w:bottom w:w="120" w:type="dxa"/>
              <w:right w:w="120" w:type="dxa"/>
            </w:tcMar>
            <w:vAlign w:val="center"/>
          </w:tcPr>
          <w:p w14:paraId="2459F04F">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以立陶宛为例，使用电力消费、电力生产和电力价格等高频电力市场数据，对月度宏观经济指标进行即时预测。</w:t>
            </w:r>
          </w:p>
        </w:tc>
      </w:tr>
      <w:tr w14:paraId="4EF0F0D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22C17DD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核心数据</w:t>
            </w:r>
          </w:p>
        </w:tc>
        <w:tc>
          <w:tcPr>
            <w:tcW w:w="7654" w:type="dxa"/>
            <w:tcMar>
              <w:top w:w="120" w:type="dxa"/>
              <w:left w:w="120" w:type="dxa"/>
              <w:bottom w:w="120" w:type="dxa"/>
              <w:right w:w="120" w:type="dxa"/>
            </w:tcMar>
            <w:vAlign w:val="center"/>
          </w:tcPr>
          <w:p w14:paraId="358C0EC3">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月度宏观经济指标 + 小时级电力市场数据聚合成的日度电力消费、电力生产、电力价格。</w:t>
            </w:r>
          </w:p>
        </w:tc>
      </w:tr>
      <w:tr w14:paraId="425454E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38A81892">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核心方法</w:t>
            </w:r>
          </w:p>
        </w:tc>
        <w:tc>
          <w:tcPr>
            <w:tcW w:w="7654" w:type="dxa"/>
            <w:tcMar>
              <w:top w:w="120" w:type="dxa"/>
              <w:left w:w="120" w:type="dxa"/>
              <w:bottom w:w="120" w:type="dxa"/>
              <w:right w:w="120" w:type="dxa"/>
            </w:tcMar>
            <w:vAlign w:val="center"/>
          </w:tcPr>
          <w:p w14:paraId="4997EB09">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MIDAS 混频回归模型 + 相关性检验 + 格兰杰因果检验 + 与自回归模型对比。</w:t>
            </w:r>
          </w:p>
        </w:tc>
      </w:tr>
      <w:tr w14:paraId="10F1BA9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1372A67C">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与本项目关系</w:t>
            </w:r>
          </w:p>
        </w:tc>
        <w:tc>
          <w:tcPr>
            <w:tcW w:w="7654" w:type="dxa"/>
            <w:tcMar>
              <w:top w:w="120" w:type="dxa"/>
              <w:left w:w="120" w:type="dxa"/>
              <w:bottom w:w="120" w:type="dxa"/>
              <w:right w:w="120" w:type="dxa"/>
            </w:tcMar>
            <w:vAlign w:val="center"/>
          </w:tcPr>
          <w:p w14:paraId="0B1332A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为“高频电力市场数据如何转化为经济态势判断”提供了可参考的数据设计、指标选择、混频建模和局限性分析思路。</w:t>
            </w:r>
          </w:p>
        </w:tc>
      </w:tr>
      <w:tr w14:paraId="5DF398E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6E969413">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DOI</w:t>
            </w:r>
          </w:p>
        </w:tc>
        <w:tc>
          <w:tcPr>
            <w:tcW w:w="7654" w:type="dxa"/>
            <w:tcMar>
              <w:top w:w="120" w:type="dxa"/>
              <w:left w:w="120" w:type="dxa"/>
              <w:bottom w:w="120" w:type="dxa"/>
              <w:right w:w="120" w:type="dxa"/>
            </w:tcMar>
            <w:vAlign w:val="center"/>
          </w:tcPr>
          <w:p w14:paraId="4B992B70">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10.3390/economies11050134</w:t>
            </w:r>
          </w:p>
        </w:tc>
      </w:tr>
    </w:tbl>
    <w:p w14:paraId="30333E52">
      <w:pPr>
        <w:spacing w:before="240" w:after="120"/>
        <w:rPr>
          <w:rFonts w:hint="eastAsia" w:ascii="黑体" w:hAnsi="黑体" w:eastAsia="黑体" w:cs="黑体"/>
          <w:sz w:val="21"/>
          <w:szCs w:val="21"/>
        </w:rPr>
      </w:pPr>
      <w:r>
        <w:rPr>
          <w:rFonts w:hint="eastAsia" w:ascii="黑体" w:hAnsi="黑体" w:eastAsia="黑体" w:cs="黑体"/>
          <w:b/>
          <w:color w:val="1F4E79"/>
          <w:sz w:val="21"/>
          <w:szCs w:val="21"/>
        </w:rPr>
        <w:t>一、论文基本信息与研究价值</w:t>
      </w:r>
    </w:p>
    <w:p w14:paraId="7ADFF80C">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这篇论文关注的是“能否利用实时更新的电力市场数据来提前判断经济活动变化”。传统宏观经济指标虽然能够反映经济运行状态，但通常存在发布滞后；而电力消费、电力生产和电力价格等电力市场数据更新频率高，能够更快反映生产、消费、贸易和市场成本变化。因此，论文尝试使用立陶宛的电力市场数据，对多个宏观经济指标进行 nowcasting（即时预测）。</w:t>
      </w:r>
    </w:p>
    <w:p w14:paraId="542E2F53">
      <w:pPr>
        <w:spacing w:after="120" w:line="300" w:lineRule="auto"/>
        <w:ind w:firstLine="420"/>
        <w:rPr>
          <w:rFonts w:hint="eastAsia" w:ascii="黑体" w:hAnsi="黑体" w:eastAsia="黑体" w:cs="黑体"/>
          <w:b w:val="0"/>
          <w:sz w:val="21"/>
          <w:szCs w:val="21"/>
        </w:rPr>
      </w:pPr>
      <w:r>
        <w:rPr>
          <w:rFonts w:hint="eastAsia" w:ascii="黑体" w:hAnsi="黑体" w:eastAsia="黑体" w:cs="黑体"/>
          <w:b w:val="0"/>
          <w:sz w:val="21"/>
          <w:szCs w:val="21"/>
        </w:rPr>
        <w:t>与只预测 GDP 的研究不同，这篇论文把经济活动拆分为工业生产、进出口、批发零售、消费者信心、就业、价格等多个维度。对本项目而言，它的重要价值在于：电力数据不应只被理解为负荷预测数据，而应被转化为能够反映不同经济部门运行状态的高频信号。</w:t>
      </w:r>
    </w:p>
    <w:p w14:paraId="0FB4654E">
      <w:pPr>
        <w:spacing w:before="240" w:after="120"/>
        <w:rPr>
          <w:rFonts w:hint="eastAsia" w:ascii="黑体" w:hAnsi="黑体" w:eastAsia="黑体" w:cs="黑体"/>
          <w:sz w:val="21"/>
          <w:szCs w:val="21"/>
        </w:rPr>
      </w:pPr>
      <w:r>
        <w:rPr>
          <w:rFonts w:hint="eastAsia" w:ascii="黑体" w:hAnsi="黑体" w:eastAsia="黑体" w:cs="黑体"/>
          <w:b/>
          <w:color w:val="1F4E79"/>
          <w:sz w:val="21"/>
          <w:szCs w:val="21"/>
        </w:rPr>
        <w:t>二、论文中最值得本项目参考的内容</w:t>
      </w:r>
    </w:p>
    <w:tbl>
      <w:tblPr>
        <w:tblStyle w:val="34"/>
        <w:tblW w:w="0" w:type="auto"/>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0" w:type="dxa"/>
          <w:left w:w="108" w:type="dxa"/>
          <w:bottom w:w="0" w:type="dxa"/>
          <w:right w:w="108" w:type="dxa"/>
        </w:tblCellMar>
      </w:tblPr>
      <w:tblGrid>
        <w:gridCol w:w="1928"/>
        <w:gridCol w:w="3685"/>
        <w:gridCol w:w="3855"/>
      </w:tblGrid>
      <w:tr w14:paraId="1C4A858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shd w:val="clear" w:color="auto" w:fill="D9EAF7"/>
            <w:tcMar>
              <w:top w:w="120" w:type="dxa"/>
              <w:left w:w="120" w:type="dxa"/>
              <w:bottom w:w="120" w:type="dxa"/>
              <w:right w:w="120" w:type="dxa"/>
            </w:tcMar>
            <w:vAlign w:val="center"/>
          </w:tcPr>
          <w:p w14:paraId="11A6486C">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可参考内容</w:t>
            </w:r>
          </w:p>
        </w:tc>
        <w:tc>
          <w:tcPr>
            <w:tcW w:w="3685" w:type="dxa"/>
            <w:shd w:val="clear" w:color="auto" w:fill="D9EAF7"/>
            <w:tcMar>
              <w:top w:w="120" w:type="dxa"/>
              <w:left w:w="120" w:type="dxa"/>
              <w:bottom w:w="120" w:type="dxa"/>
              <w:right w:w="120" w:type="dxa"/>
            </w:tcMar>
            <w:vAlign w:val="center"/>
          </w:tcPr>
          <w:p w14:paraId="0792A160">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论文中的含义</w:t>
            </w:r>
          </w:p>
        </w:tc>
        <w:tc>
          <w:tcPr>
            <w:tcW w:w="3855" w:type="dxa"/>
            <w:shd w:val="clear" w:color="auto" w:fill="D9EAF7"/>
            <w:tcMar>
              <w:top w:w="120" w:type="dxa"/>
              <w:left w:w="120" w:type="dxa"/>
              <w:bottom w:w="120" w:type="dxa"/>
              <w:right w:w="120" w:type="dxa"/>
            </w:tcMar>
            <w:vAlign w:val="center"/>
          </w:tcPr>
          <w:p w14:paraId="2D2D99A9">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对本项目的启发</w:t>
            </w:r>
          </w:p>
        </w:tc>
      </w:tr>
      <w:tr w14:paraId="15D7BEF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tcMar>
              <w:top w:w="120" w:type="dxa"/>
              <w:left w:w="120" w:type="dxa"/>
              <w:bottom w:w="120" w:type="dxa"/>
              <w:right w:w="120" w:type="dxa"/>
            </w:tcMar>
            <w:vAlign w:val="center"/>
          </w:tcPr>
          <w:p w14:paraId="3573DEA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1. 高频电力市场数据</w:t>
            </w:r>
          </w:p>
        </w:tc>
        <w:tc>
          <w:tcPr>
            <w:tcW w:w="3685" w:type="dxa"/>
            <w:tcMar>
              <w:top w:w="120" w:type="dxa"/>
              <w:left w:w="120" w:type="dxa"/>
              <w:bottom w:w="120" w:type="dxa"/>
              <w:right w:w="120" w:type="dxa"/>
            </w:tcMar>
            <w:vAlign w:val="center"/>
          </w:tcPr>
          <w:p w14:paraId="58F0BC4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论文指出，部分宏观经济指标虽然按月统计，但通常有 1—2 个月发布滞后；电力消费、电力生产和电力价格可小时级更新。</w:t>
            </w:r>
          </w:p>
        </w:tc>
        <w:tc>
          <w:tcPr>
            <w:tcW w:w="3855" w:type="dxa"/>
            <w:tcMar>
              <w:top w:w="120" w:type="dxa"/>
              <w:left w:w="120" w:type="dxa"/>
              <w:bottom w:w="120" w:type="dxa"/>
              <w:right w:w="120" w:type="dxa"/>
            </w:tcMar>
            <w:vAlign w:val="center"/>
          </w:tcPr>
          <w:p w14:paraId="773070ED">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可支撑本项目“电力数据实时性强，适合经济态势感知”的研究背景。智能体可接收日度/月度电力数据，提前感知经济变化。</w:t>
            </w:r>
          </w:p>
        </w:tc>
      </w:tr>
      <w:tr w14:paraId="7C5BD02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tcMar>
              <w:top w:w="120" w:type="dxa"/>
              <w:left w:w="120" w:type="dxa"/>
              <w:bottom w:w="120" w:type="dxa"/>
              <w:right w:w="120" w:type="dxa"/>
            </w:tcMar>
            <w:vAlign w:val="center"/>
          </w:tcPr>
          <w:p w14:paraId="12047469">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2. 不只分析 GDP</w:t>
            </w:r>
          </w:p>
        </w:tc>
        <w:tc>
          <w:tcPr>
            <w:tcW w:w="3685" w:type="dxa"/>
            <w:tcMar>
              <w:top w:w="120" w:type="dxa"/>
              <w:left w:w="120" w:type="dxa"/>
              <w:bottom w:w="120" w:type="dxa"/>
              <w:right w:w="120" w:type="dxa"/>
            </w:tcMar>
            <w:vAlign w:val="center"/>
          </w:tcPr>
          <w:p w14:paraId="56A1C436">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论文对 9 个宏观经济指标进行 nowcasting，包括工业生产、进出口、批发零售、消费者信心、失业率、CPI 等。</w:t>
            </w:r>
          </w:p>
        </w:tc>
        <w:tc>
          <w:tcPr>
            <w:tcW w:w="3855" w:type="dxa"/>
            <w:tcMar>
              <w:top w:w="120" w:type="dxa"/>
              <w:left w:w="120" w:type="dxa"/>
              <w:bottom w:w="120" w:type="dxa"/>
              <w:right w:w="120" w:type="dxa"/>
            </w:tcMar>
            <w:vAlign w:val="center"/>
          </w:tcPr>
          <w:p w14:paraId="0E009CA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本项目不应只输出“GDP 上升/下降”，而应扩展为工业、商业消费、贸易、预期、价格等多维经济解释。</w:t>
            </w:r>
          </w:p>
        </w:tc>
      </w:tr>
      <w:tr w14:paraId="3D8AE26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tcMar>
              <w:top w:w="120" w:type="dxa"/>
              <w:left w:w="120" w:type="dxa"/>
              <w:bottom w:w="120" w:type="dxa"/>
              <w:right w:w="120" w:type="dxa"/>
            </w:tcMar>
            <w:vAlign w:val="center"/>
          </w:tcPr>
          <w:p w14:paraId="059FE4D0">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3. 三类电力指标</w:t>
            </w:r>
          </w:p>
        </w:tc>
        <w:tc>
          <w:tcPr>
            <w:tcW w:w="3685" w:type="dxa"/>
            <w:tcMar>
              <w:top w:w="120" w:type="dxa"/>
              <w:left w:w="120" w:type="dxa"/>
              <w:bottom w:w="120" w:type="dxa"/>
              <w:right w:w="120" w:type="dxa"/>
            </w:tcMar>
            <w:vAlign w:val="center"/>
          </w:tcPr>
          <w:p w14:paraId="222F3768">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论文分别考察电力消费、电力生产、电力价格。不同指标对应不同经济含义。</w:t>
            </w:r>
          </w:p>
        </w:tc>
        <w:tc>
          <w:tcPr>
            <w:tcW w:w="3855" w:type="dxa"/>
            <w:tcMar>
              <w:top w:w="120" w:type="dxa"/>
              <w:left w:w="120" w:type="dxa"/>
              <w:bottom w:w="120" w:type="dxa"/>
              <w:right w:w="120" w:type="dxa"/>
            </w:tcMar>
            <w:vAlign w:val="center"/>
          </w:tcPr>
          <w:p w14:paraId="5958BA2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智能体应区分“用电量、发电量、电价/电力成本”，不能把所有电力变量简单归为同一种经济信号。</w:t>
            </w:r>
          </w:p>
        </w:tc>
      </w:tr>
      <w:tr w14:paraId="2C837C5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tcMar>
              <w:top w:w="120" w:type="dxa"/>
              <w:left w:w="120" w:type="dxa"/>
              <w:bottom w:w="120" w:type="dxa"/>
              <w:right w:w="120" w:type="dxa"/>
            </w:tcMar>
            <w:vAlign w:val="center"/>
          </w:tcPr>
          <w:p w14:paraId="63835FBF">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4. MIDAS 混频建模</w:t>
            </w:r>
          </w:p>
        </w:tc>
        <w:tc>
          <w:tcPr>
            <w:tcW w:w="3685" w:type="dxa"/>
            <w:tcMar>
              <w:top w:w="120" w:type="dxa"/>
              <w:left w:w="120" w:type="dxa"/>
              <w:bottom w:w="120" w:type="dxa"/>
              <w:right w:w="120" w:type="dxa"/>
            </w:tcMar>
            <w:vAlign w:val="center"/>
          </w:tcPr>
          <w:p w14:paraId="38604B5D">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论文用 MIDAS 将日度电力市场数据与月度宏观指标连接起来，解决数据频率不一致问题。</w:t>
            </w:r>
          </w:p>
        </w:tc>
        <w:tc>
          <w:tcPr>
            <w:tcW w:w="3855" w:type="dxa"/>
            <w:tcMar>
              <w:top w:w="120" w:type="dxa"/>
              <w:left w:w="120" w:type="dxa"/>
              <w:bottom w:w="120" w:type="dxa"/>
              <w:right w:w="120" w:type="dxa"/>
            </w:tcMar>
            <w:vAlign w:val="center"/>
          </w:tcPr>
          <w:p w14:paraId="46C1387F">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本项目如果使用日度电力数据，需要先构造月度/季度特征，例如累计用电、移动平均、同比增速、异常偏离度。</w:t>
            </w:r>
          </w:p>
        </w:tc>
      </w:tr>
      <w:tr w14:paraId="6D1880D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tcMar>
              <w:top w:w="120" w:type="dxa"/>
              <w:left w:w="120" w:type="dxa"/>
              <w:bottom w:w="120" w:type="dxa"/>
              <w:right w:w="120" w:type="dxa"/>
            </w:tcMar>
            <w:vAlign w:val="center"/>
          </w:tcPr>
          <w:p w14:paraId="059D6712">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5. 指标适用边界</w:t>
            </w:r>
          </w:p>
        </w:tc>
        <w:tc>
          <w:tcPr>
            <w:tcW w:w="3685" w:type="dxa"/>
            <w:tcMar>
              <w:top w:w="120" w:type="dxa"/>
              <w:left w:w="120" w:type="dxa"/>
              <w:bottom w:w="120" w:type="dxa"/>
              <w:right w:w="120" w:type="dxa"/>
            </w:tcMar>
            <w:vAlign w:val="center"/>
          </w:tcPr>
          <w:p w14:paraId="6390CF8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电力市场数据对工业生产、进出口、批发零售等较有效，但对失业率、经济景气指数和 CPI 的改善有限。</w:t>
            </w:r>
          </w:p>
        </w:tc>
        <w:tc>
          <w:tcPr>
            <w:tcW w:w="3855" w:type="dxa"/>
            <w:tcMar>
              <w:top w:w="120" w:type="dxa"/>
              <w:left w:w="120" w:type="dxa"/>
              <w:bottom w:w="120" w:type="dxa"/>
              <w:right w:w="120" w:type="dxa"/>
            </w:tcMar>
            <w:vAlign w:val="center"/>
          </w:tcPr>
          <w:p w14:paraId="5E5DBF0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智能体输出时要说明“哪些经济结论可以较可靠，哪些结论仅凭电力数据不足以判断”，避免过度推断。</w:t>
            </w:r>
          </w:p>
        </w:tc>
      </w:tr>
      <w:tr w14:paraId="4E9A1D0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928" w:type="dxa"/>
            <w:tcMar>
              <w:top w:w="120" w:type="dxa"/>
              <w:left w:w="120" w:type="dxa"/>
              <w:bottom w:w="120" w:type="dxa"/>
              <w:right w:w="120" w:type="dxa"/>
            </w:tcMar>
            <w:vAlign w:val="center"/>
          </w:tcPr>
          <w:p w14:paraId="39A0DC2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6. 异常冲击影响</w:t>
            </w:r>
          </w:p>
        </w:tc>
        <w:tc>
          <w:tcPr>
            <w:tcW w:w="3685" w:type="dxa"/>
            <w:tcMar>
              <w:top w:w="120" w:type="dxa"/>
              <w:left w:w="120" w:type="dxa"/>
              <w:bottom w:w="120" w:type="dxa"/>
              <w:right w:w="120" w:type="dxa"/>
            </w:tcMar>
            <w:vAlign w:val="center"/>
          </w:tcPr>
          <w:p w14:paraId="36FB5122">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论文指出乌克兰战争、能源价格剧烈波动等冲击会改变电力变量与经济指标之间的关系。</w:t>
            </w:r>
          </w:p>
        </w:tc>
        <w:tc>
          <w:tcPr>
            <w:tcW w:w="3855" w:type="dxa"/>
            <w:tcMar>
              <w:top w:w="120" w:type="dxa"/>
              <w:left w:w="120" w:type="dxa"/>
              <w:bottom w:w="120" w:type="dxa"/>
              <w:right w:w="120" w:type="dxa"/>
            </w:tcMar>
            <w:vAlign w:val="center"/>
          </w:tcPr>
          <w:p w14:paraId="3DDC8041">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本项目应加入异常检测、外部事件识别和置信度提示机制，避免把能源价格冲击误判为一般经济变化。</w:t>
            </w:r>
          </w:p>
        </w:tc>
      </w:tr>
    </w:tbl>
    <w:p w14:paraId="68BA2300">
      <w:pPr>
        <w:spacing w:before="240" w:after="120"/>
        <w:rPr>
          <w:rFonts w:hint="eastAsia" w:ascii="黑体" w:hAnsi="黑体" w:eastAsia="黑体" w:cs="黑体"/>
          <w:sz w:val="21"/>
          <w:szCs w:val="21"/>
        </w:rPr>
      </w:pPr>
      <w:r>
        <w:rPr>
          <w:rFonts w:hint="eastAsia" w:ascii="黑体" w:hAnsi="黑体" w:eastAsia="黑体" w:cs="黑体"/>
          <w:b/>
          <w:color w:val="1F4E79"/>
          <w:sz w:val="21"/>
          <w:szCs w:val="21"/>
        </w:rPr>
        <w:t>三、关键方法解释：如何用电力市场数据预测经济活动</w:t>
      </w:r>
    </w:p>
    <w:p w14:paraId="4A47C321">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3.1 为什么电力市场数据可以反映经济</w:t>
      </w:r>
    </w:p>
    <w:p w14:paraId="040CCB03">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的基本逻辑是：经济活动会通过电力系统留下痕迹。企业生产、商业运营、居民消费、进出口加工和服务业活动都需要电力作为基础投入。因此，当经济活动增强时，电力消费通常会增加；当生产放缓或商业活动下降时，电力需求也可能随之下降。</w:t>
      </w:r>
    </w:p>
    <w:p w14:paraId="35BBEF94">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但论文也强调，电力市场数据并不等同于经济数据。电力消费会受到天气、周内季节性、能源价格、产业结构和突发事件等影响；电力价格也会受到市场供需、燃料价格、政策和国际冲击影响。因此，更合理的做法不是直接用某一天的用电量判断经济好坏，而是将电力数据处理成一组稳定的经济特征，再结合经济知识进行解释。</w:t>
      </w:r>
    </w:p>
    <w:p w14:paraId="3DFAC1D5">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3.2 三类电力市场指标及经济含义</w:t>
      </w:r>
    </w:p>
    <w:tbl>
      <w:tblPr>
        <w:tblStyle w:val="34"/>
        <w:tblW w:w="0" w:type="auto"/>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0" w:type="dxa"/>
          <w:left w:w="108" w:type="dxa"/>
          <w:bottom w:w="0" w:type="dxa"/>
          <w:right w:w="108" w:type="dxa"/>
        </w:tblCellMar>
      </w:tblPr>
      <w:tblGrid>
        <w:gridCol w:w="1701"/>
        <w:gridCol w:w="3288"/>
        <w:gridCol w:w="4422"/>
      </w:tblGrid>
      <w:tr w14:paraId="04B6BB3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701" w:type="dxa"/>
            <w:shd w:val="clear" w:color="auto" w:fill="D9EAF7"/>
            <w:tcMar>
              <w:top w:w="120" w:type="dxa"/>
              <w:left w:w="120" w:type="dxa"/>
              <w:bottom w:w="120" w:type="dxa"/>
              <w:right w:w="120" w:type="dxa"/>
            </w:tcMar>
            <w:vAlign w:val="center"/>
          </w:tcPr>
          <w:p w14:paraId="2B142520">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指标</w:t>
            </w:r>
          </w:p>
        </w:tc>
        <w:tc>
          <w:tcPr>
            <w:tcW w:w="3288" w:type="dxa"/>
            <w:shd w:val="clear" w:color="auto" w:fill="D9EAF7"/>
            <w:tcMar>
              <w:top w:w="120" w:type="dxa"/>
              <w:left w:w="120" w:type="dxa"/>
              <w:bottom w:w="120" w:type="dxa"/>
              <w:right w:w="120" w:type="dxa"/>
            </w:tcMar>
            <w:vAlign w:val="center"/>
          </w:tcPr>
          <w:p w14:paraId="2E020646">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含义</w:t>
            </w:r>
          </w:p>
        </w:tc>
        <w:tc>
          <w:tcPr>
            <w:tcW w:w="4422" w:type="dxa"/>
            <w:shd w:val="clear" w:color="auto" w:fill="D9EAF7"/>
            <w:tcMar>
              <w:top w:w="120" w:type="dxa"/>
              <w:left w:w="120" w:type="dxa"/>
              <w:bottom w:w="120" w:type="dxa"/>
              <w:right w:w="120" w:type="dxa"/>
            </w:tcMar>
            <w:vAlign w:val="center"/>
          </w:tcPr>
          <w:p w14:paraId="71225308">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可用于本项目的解释方向</w:t>
            </w:r>
          </w:p>
        </w:tc>
      </w:tr>
      <w:tr w14:paraId="2E285BE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701" w:type="dxa"/>
            <w:tcMar>
              <w:top w:w="120" w:type="dxa"/>
              <w:left w:w="120" w:type="dxa"/>
              <w:bottom w:w="120" w:type="dxa"/>
              <w:right w:w="120" w:type="dxa"/>
            </w:tcMar>
            <w:vAlign w:val="center"/>
          </w:tcPr>
          <w:p w14:paraId="685B386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电力消费量</w:t>
            </w:r>
          </w:p>
        </w:tc>
        <w:tc>
          <w:tcPr>
            <w:tcW w:w="3288" w:type="dxa"/>
            <w:tcMar>
              <w:top w:w="120" w:type="dxa"/>
              <w:left w:w="120" w:type="dxa"/>
              <w:bottom w:w="120" w:type="dxa"/>
              <w:right w:w="120" w:type="dxa"/>
            </w:tcMar>
            <w:vAlign w:val="center"/>
          </w:tcPr>
          <w:p w14:paraId="07D653F9">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表示社会生产、商业运营和居民生活实际消耗的电能。</w:t>
            </w:r>
          </w:p>
        </w:tc>
        <w:tc>
          <w:tcPr>
            <w:tcW w:w="4422" w:type="dxa"/>
            <w:tcMar>
              <w:top w:w="120" w:type="dxa"/>
              <w:left w:w="120" w:type="dxa"/>
              <w:bottom w:w="120" w:type="dxa"/>
              <w:right w:w="120" w:type="dxa"/>
            </w:tcMar>
            <w:vAlign w:val="center"/>
          </w:tcPr>
          <w:p w14:paraId="3276B1A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最适合反映实体经济活动，尤其是工业生产、批发零售、进口和消费相关活动。</w:t>
            </w:r>
          </w:p>
        </w:tc>
      </w:tr>
      <w:tr w14:paraId="4D0FC59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701" w:type="dxa"/>
            <w:tcMar>
              <w:top w:w="120" w:type="dxa"/>
              <w:left w:w="120" w:type="dxa"/>
              <w:bottom w:w="120" w:type="dxa"/>
              <w:right w:w="120" w:type="dxa"/>
            </w:tcMar>
            <w:vAlign w:val="center"/>
          </w:tcPr>
          <w:p w14:paraId="4161C34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电力生产量</w:t>
            </w:r>
          </w:p>
        </w:tc>
        <w:tc>
          <w:tcPr>
            <w:tcW w:w="3288" w:type="dxa"/>
            <w:tcMar>
              <w:top w:w="120" w:type="dxa"/>
              <w:left w:w="120" w:type="dxa"/>
              <w:bottom w:w="120" w:type="dxa"/>
              <w:right w:w="120" w:type="dxa"/>
            </w:tcMar>
            <w:vAlign w:val="center"/>
          </w:tcPr>
          <w:p w14:paraId="2FE239CB">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表示电力系统供给侧的生产情况。</w:t>
            </w:r>
          </w:p>
        </w:tc>
        <w:tc>
          <w:tcPr>
            <w:tcW w:w="4422" w:type="dxa"/>
            <w:tcMar>
              <w:top w:w="120" w:type="dxa"/>
              <w:left w:w="120" w:type="dxa"/>
              <w:bottom w:w="120" w:type="dxa"/>
              <w:right w:w="120" w:type="dxa"/>
            </w:tcMar>
            <w:vAlign w:val="center"/>
          </w:tcPr>
          <w:p w14:paraId="79DDBD88">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对工业生产有一定参考价值，但也可能受能源结构、发电资源和天气影响。</w:t>
            </w:r>
          </w:p>
        </w:tc>
      </w:tr>
      <w:tr w14:paraId="4390A50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701" w:type="dxa"/>
            <w:tcMar>
              <w:top w:w="120" w:type="dxa"/>
              <w:left w:w="120" w:type="dxa"/>
              <w:bottom w:w="120" w:type="dxa"/>
              <w:right w:w="120" w:type="dxa"/>
            </w:tcMar>
            <w:vAlign w:val="center"/>
          </w:tcPr>
          <w:p w14:paraId="7DA972F0">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电力价格</w:t>
            </w:r>
          </w:p>
        </w:tc>
        <w:tc>
          <w:tcPr>
            <w:tcW w:w="3288" w:type="dxa"/>
            <w:tcMar>
              <w:top w:w="120" w:type="dxa"/>
              <w:left w:w="120" w:type="dxa"/>
              <w:bottom w:w="120" w:type="dxa"/>
              <w:right w:w="120" w:type="dxa"/>
            </w:tcMar>
            <w:vAlign w:val="center"/>
          </w:tcPr>
          <w:p w14:paraId="1A13FD66">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表示电力作为生产和经营成本的市场信号。</w:t>
            </w:r>
          </w:p>
        </w:tc>
        <w:tc>
          <w:tcPr>
            <w:tcW w:w="4422" w:type="dxa"/>
            <w:tcMar>
              <w:top w:w="120" w:type="dxa"/>
              <w:left w:w="120" w:type="dxa"/>
              <w:bottom w:w="120" w:type="dxa"/>
              <w:right w:w="120" w:type="dxa"/>
            </w:tcMar>
            <w:vAlign w:val="center"/>
          </w:tcPr>
          <w:p w14:paraId="172E882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对进出口、工业生产、企业成本和商品价格传导有参考意义。电价变化既可能反映需求变化，也可能反映能源供给冲击。</w:t>
            </w:r>
          </w:p>
        </w:tc>
      </w:tr>
    </w:tbl>
    <w:p w14:paraId="470E9F0C">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对本项目而言，这部分的启发是：电力看经济智能体不能只分析“总用电量”一个字段，而应尽量接入分行业用电量、发电量、电价、新增报装容量、工业园区负荷等多维指标。不同指标应触发不同的经济解释逻辑。</w:t>
      </w:r>
    </w:p>
    <w:p w14:paraId="7E4B9815">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3.3 MIDAS 混频回归：解决“日度电力数据—月度经济指标”的频率不一致问题</w:t>
      </w:r>
    </w:p>
    <w:p w14:paraId="3279E5A9">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论文采用 MIDAS（Mixed Data Sampling）混频回归模型。这个方法的核心作用是把高频数据与低频经济指标连接起来。例如，电力市场数据可以是小时级或日度数据，而宏观经济指标通常是月度或季度数据。直接把它们放进普通回归模型会出现频率不匹配的问题。</w:t>
      </w:r>
    </w:p>
    <w:p w14:paraId="2CD656D0">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MIDAS 的思想可以简化理解为：将一个月内的多个日度电力数据通过权重函数压缩为能够解释当月经济指标的特征项。这样既保留了高频数据中的实时信息，又避免估计过多参数。论文还将 MIDAS 模型与自回归模型进行比较，以检验电力市场数据是否真的能提升 nowcasting 效果。</w:t>
      </w:r>
    </w:p>
    <w:p w14:paraId="2C1BA901">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本项目不一定必须完整复现 MIDAS 模型，但应借鉴它的“混频处理”思想。也就是说，用户上传日度电力数据后，智能体应先将其转换为月度或季度层面的分析特征，例如日均用电量、月度累计用电量、近 7 日移动平均、近 30 日移动平均、同比增速、环比增速、季度累计增速和异常波动点。</w:t>
      </w:r>
    </w:p>
    <w:p w14:paraId="1E416798">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3.4 从单一 GDP 判断扩展到多维经济态势判断</w:t>
      </w:r>
    </w:p>
    <w:p w14:paraId="4E692A14">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论文将经济活动分解为多个宏观指标，而不是只预测 GDP。这对本项目特别重要。因为电力数据对不同经济领域的指示能力并不相同：工业用电更容易反映制造业和实体经济，商业用电更容易反映服务业和消费，电价变化更可能影响企业成本、贸易和生产决策。</w:t>
      </w:r>
    </w:p>
    <w:p w14:paraId="1578DE19">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因此，本项目智能体的输出也应从“经济好/坏”的单一结论升级为多维判断。例如：工业活动是否增强、商业消费是否回暖、外贸相关活动是否有压力、价格成本是否上升、居民用电是否主要由气温驱动等。</w:t>
      </w:r>
    </w:p>
    <w:p w14:paraId="521706F5">
      <w:pPr>
        <w:spacing w:before="240" w:after="120"/>
        <w:rPr>
          <w:rFonts w:hint="eastAsia" w:ascii="黑体" w:hAnsi="黑体" w:eastAsia="黑体" w:cs="黑体"/>
          <w:sz w:val="21"/>
          <w:szCs w:val="21"/>
        </w:rPr>
      </w:pPr>
      <w:r>
        <w:rPr>
          <w:rFonts w:hint="eastAsia" w:ascii="黑体" w:hAnsi="黑体" w:eastAsia="黑体" w:cs="黑体"/>
          <w:b/>
          <w:color w:val="1F4E79"/>
          <w:sz w:val="21"/>
          <w:szCs w:val="21"/>
        </w:rPr>
        <w:t>四、论文实证结果的主要内容</w:t>
      </w:r>
    </w:p>
    <w:p w14:paraId="3EC61DDE">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4.1 数据来源与建模对象</w:t>
      </w:r>
    </w:p>
    <w:p w14:paraId="1614C990">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论文使用立陶宛 2010 年 1 月至 2022 年 10 月左右的数据。宏观经济数据来自 Statistics Lithuania，电力市场数据来自立陶宛输电系统运营商 LITGRID。LITGRID 提供实时小时级数据，论文将其聚合为日度数据用于建模。</w:t>
      </w:r>
    </w:p>
    <w:p w14:paraId="1BED6555">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论文分析的宏观经济指标包括：失业率、消费者信心、经济景气指数、出口、本国原产商品出口、进口、基于 CPI 的消费者价格变化、工业生产、批发零售贸易和机动车维修。它们分别代表劳动市场、预期、贸易、价格、工业产出和商业活动等经济领域。</w:t>
      </w:r>
    </w:p>
    <w:p w14:paraId="2C4C3E79">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4.2 主要结果：电力消费最有用，但不是万能</w:t>
      </w:r>
    </w:p>
    <w:p w14:paraId="5202E78F">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的核心结果是：电力市场指标总体上可以用于部分宏观经济指标的即时预测，其中电力消费量是三类电力市场指标中最有用的。电力消费对进口、工业生产、消费者信心、批发零售贸易和机动车维修等指标有帮助；电力生产对工业生产有帮助；电力价格对出口、本国原产商品出口、进口和工业生产有帮助。</w:t>
      </w:r>
    </w:p>
    <w:p w14:paraId="72C45A9E">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同时，论文也发现电力市场数据并不能改善所有经济指标的预测。例如，相比自回归模型，电力市场数据对失业率、经济景气指数和 CPI 消费价格变化的预测提升并不明显。</w:t>
      </w:r>
    </w:p>
    <w:p w14:paraId="5379B500">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4.3 具体指标对应关系</w:t>
      </w:r>
    </w:p>
    <w:tbl>
      <w:tblPr>
        <w:tblStyle w:val="34"/>
        <w:tblW w:w="0" w:type="auto"/>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0" w:type="dxa"/>
          <w:left w:w="108" w:type="dxa"/>
          <w:bottom w:w="0" w:type="dxa"/>
          <w:right w:w="108" w:type="dxa"/>
        </w:tblCellMar>
      </w:tblPr>
      <w:tblGrid>
        <w:gridCol w:w="1814"/>
        <w:gridCol w:w="3742"/>
        <w:gridCol w:w="3855"/>
      </w:tblGrid>
      <w:tr w14:paraId="0B39E66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shd w:val="clear" w:color="auto" w:fill="D9EAF7"/>
            <w:tcMar>
              <w:top w:w="120" w:type="dxa"/>
              <w:left w:w="120" w:type="dxa"/>
              <w:bottom w:w="120" w:type="dxa"/>
              <w:right w:w="120" w:type="dxa"/>
            </w:tcMar>
            <w:vAlign w:val="center"/>
          </w:tcPr>
          <w:p w14:paraId="24A24FEE">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经济指标</w:t>
            </w:r>
          </w:p>
        </w:tc>
        <w:tc>
          <w:tcPr>
            <w:tcW w:w="3742" w:type="dxa"/>
            <w:shd w:val="clear" w:color="auto" w:fill="D9EAF7"/>
            <w:tcMar>
              <w:top w:w="120" w:type="dxa"/>
              <w:left w:w="120" w:type="dxa"/>
              <w:bottom w:w="120" w:type="dxa"/>
              <w:right w:w="120" w:type="dxa"/>
            </w:tcMar>
            <w:vAlign w:val="center"/>
          </w:tcPr>
          <w:p w14:paraId="4DC43843">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论文发现</w:t>
            </w:r>
          </w:p>
        </w:tc>
        <w:tc>
          <w:tcPr>
            <w:tcW w:w="3855" w:type="dxa"/>
            <w:shd w:val="clear" w:color="auto" w:fill="D9EAF7"/>
            <w:tcMar>
              <w:top w:w="120" w:type="dxa"/>
              <w:left w:w="120" w:type="dxa"/>
              <w:bottom w:w="120" w:type="dxa"/>
              <w:right w:w="120" w:type="dxa"/>
            </w:tcMar>
            <w:vAlign w:val="center"/>
          </w:tcPr>
          <w:p w14:paraId="5E7C28F7">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对本项目的启发</w:t>
            </w:r>
          </w:p>
        </w:tc>
      </w:tr>
      <w:tr w14:paraId="5FB27CC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459E8F8E">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工业生产</w:t>
            </w:r>
          </w:p>
        </w:tc>
        <w:tc>
          <w:tcPr>
            <w:tcW w:w="3742" w:type="dxa"/>
            <w:tcMar>
              <w:top w:w="120" w:type="dxa"/>
              <w:left w:w="120" w:type="dxa"/>
              <w:bottom w:w="120" w:type="dxa"/>
              <w:right w:w="120" w:type="dxa"/>
            </w:tcMar>
            <w:vAlign w:val="center"/>
          </w:tcPr>
          <w:p w14:paraId="1C9AA969">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电力消费、电力生产、电力价格均有参考价值；三类指标合用时表现较好。</w:t>
            </w:r>
          </w:p>
        </w:tc>
        <w:tc>
          <w:tcPr>
            <w:tcW w:w="3855" w:type="dxa"/>
            <w:tcMar>
              <w:top w:w="120" w:type="dxa"/>
              <w:left w:w="120" w:type="dxa"/>
              <w:bottom w:w="120" w:type="dxa"/>
              <w:right w:w="120" w:type="dxa"/>
            </w:tcMar>
            <w:vAlign w:val="center"/>
          </w:tcPr>
          <w:p w14:paraId="7392F7D8">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工业用电、发电、电价都应作为制造业和实体经济分析的重要输入。</w:t>
            </w:r>
          </w:p>
        </w:tc>
      </w:tr>
      <w:tr w14:paraId="0DF1649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12625BCD">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进出口</w:t>
            </w:r>
          </w:p>
        </w:tc>
        <w:tc>
          <w:tcPr>
            <w:tcW w:w="3742" w:type="dxa"/>
            <w:tcMar>
              <w:top w:w="120" w:type="dxa"/>
              <w:left w:w="120" w:type="dxa"/>
              <w:bottom w:w="120" w:type="dxa"/>
              <w:right w:w="120" w:type="dxa"/>
            </w:tcMar>
            <w:vAlign w:val="center"/>
          </w:tcPr>
          <w:p w14:paraId="579045D8">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电力价格对出口、本国原产商品出口、进口有较强参考价值；进口还可结合电力消费。</w:t>
            </w:r>
          </w:p>
        </w:tc>
        <w:tc>
          <w:tcPr>
            <w:tcW w:w="3855" w:type="dxa"/>
            <w:tcMar>
              <w:top w:w="120" w:type="dxa"/>
              <w:left w:w="120" w:type="dxa"/>
              <w:bottom w:w="120" w:type="dxa"/>
              <w:right w:w="120" w:type="dxa"/>
            </w:tcMar>
            <w:vAlign w:val="center"/>
          </w:tcPr>
          <w:p w14:paraId="4879E613">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电价和工业用电变化可作为外贸生产成本和贸易活动变化的辅助信号。</w:t>
            </w:r>
          </w:p>
        </w:tc>
      </w:tr>
      <w:tr w14:paraId="6F1D183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65EC2DB8">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批发零售与机动车维修</w:t>
            </w:r>
          </w:p>
        </w:tc>
        <w:tc>
          <w:tcPr>
            <w:tcW w:w="3742" w:type="dxa"/>
            <w:tcMar>
              <w:top w:w="120" w:type="dxa"/>
              <w:left w:w="120" w:type="dxa"/>
              <w:bottom w:w="120" w:type="dxa"/>
              <w:right w:w="120" w:type="dxa"/>
            </w:tcMar>
            <w:vAlign w:val="center"/>
          </w:tcPr>
          <w:p w14:paraId="31F7016F">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电力消费能够提供一定 nowcasting 信息，但提升幅度有限。</w:t>
            </w:r>
          </w:p>
        </w:tc>
        <w:tc>
          <w:tcPr>
            <w:tcW w:w="3855" w:type="dxa"/>
            <w:tcMar>
              <w:top w:w="120" w:type="dxa"/>
              <w:left w:w="120" w:type="dxa"/>
              <w:bottom w:w="120" w:type="dxa"/>
              <w:right w:w="120" w:type="dxa"/>
            </w:tcMar>
            <w:vAlign w:val="center"/>
          </w:tcPr>
          <w:p w14:paraId="0B997D09">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商业用电可以反映消费和服务业活动，但应结合社零、节假日和客流等数据。</w:t>
            </w:r>
          </w:p>
        </w:tc>
      </w:tr>
      <w:tr w14:paraId="3E52A35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750A846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消费者信心</w:t>
            </w:r>
          </w:p>
        </w:tc>
        <w:tc>
          <w:tcPr>
            <w:tcW w:w="3742" w:type="dxa"/>
            <w:tcMar>
              <w:top w:w="120" w:type="dxa"/>
              <w:left w:w="120" w:type="dxa"/>
              <w:bottom w:w="120" w:type="dxa"/>
              <w:right w:w="120" w:type="dxa"/>
            </w:tcMar>
            <w:vAlign w:val="center"/>
          </w:tcPr>
          <w:p w14:paraId="22D22FA5">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电力消费有一定帮助，但不能完全替代调查类指标。</w:t>
            </w:r>
          </w:p>
        </w:tc>
        <w:tc>
          <w:tcPr>
            <w:tcW w:w="3855" w:type="dxa"/>
            <w:tcMar>
              <w:top w:w="120" w:type="dxa"/>
              <w:left w:w="120" w:type="dxa"/>
              <w:bottom w:w="120" w:type="dxa"/>
              <w:right w:w="120" w:type="dxa"/>
            </w:tcMar>
            <w:vAlign w:val="center"/>
          </w:tcPr>
          <w:p w14:paraId="346D6ADF">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智能体可将用电变化作为辅助信号，不能仅凭电力数据判断居民预期。</w:t>
            </w:r>
          </w:p>
        </w:tc>
      </w:tr>
      <w:tr w14:paraId="49D8E93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2BF8585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失业率、经济景气指数、CPI</w:t>
            </w:r>
          </w:p>
        </w:tc>
        <w:tc>
          <w:tcPr>
            <w:tcW w:w="3742" w:type="dxa"/>
            <w:tcMar>
              <w:top w:w="120" w:type="dxa"/>
              <w:left w:w="120" w:type="dxa"/>
              <w:bottom w:w="120" w:type="dxa"/>
              <w:right w:w="120" w:type="dxa"/>
            </w:tcMar>
            <w:vAlign w:val="center"/>
          </w:tcPr>
          <w:p w14:paraId="0CE6DD02">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电力市场数据相对于自回归模型没有明显改进。</w:t>
            </w:r>
          </w:p>
        </w:tc>
        <w:tc>
          <w:tcPr>
            <w:tcW w:w="3855" w:type="dxa"/>
            <w:tcMar>
              <w:top w:w="120" w:type="dxa"/>
              <w:left w:w="120" w:type="dxa"/>
              <w:bottom w:w="120" w:type="dxa"/>
              <w:right w:w="120" w:type="dxa"/>
            </w:tcMar>
            <w:vAlign w:val="center"/>
          </w:tcPr>
          <w:p w14:paraId="40B70561">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就业、物价和综合景气判断需要补充就业、价格、金融和调查数据。</w:t>
            </w:r>
          </w:p>
        </w:tc>
      </w:tr>
    </w:tbl>
    <w:p w14:paraId="1CEACBA8">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4.4 论文结论对本项目最重要的提醒</w:t>
      </w:r>
    </w:p>
    <w:p w14:paraId="38B7BC06">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指出，电力市场数据是判断经济方向的较好代表，尤其能反映产出方向变化。但电力数据和经济指标之间的关系会受到外部冲击影响，例如战争、能源价格剧烈波动、供需冲击等。当外部环境发生重大变化时，模型需要重新评估和更新。</w:t>
      </w:r>
    </w:p>
    <w:p w14:paraId="6D624759">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因此，“电力看经济”不能机械理解为“用电量上升等于经济变好，用电量下降等于经济变差”。更严谨的流程应是：先判断电力变量类型，再识别异常因素，之后结合行业知识和宏观指标输出带置信度的经济分析。</w:t>
      </w:r>
    </w:p>
    <w:p w14:paraId="6BA85F1F">
      <w:pPr>
        <w:spacing w:before="240" w:after="120"/>
        <w:rPr>
          <w:rFonts w:hint="eastAsia" w:ascii="黑体" w:hAnsi="黑体" w:eastAsia="黑体" w:cs="黑体"/>
          <w:sz w:val="21"/>
          <w:szCs w:val="21"/>
        </w:rPr>
      </w:pPr>
      <w:r>
        <w:rPr>
          <w:rFonts w:hint="eastAsia" w:ascii="黑体" w:hAnsi="黑体" w:eastAsia="黑体" w:cs="黑体"/>
          <w:b/>
          <w:color w:val="1F4E79"/>
          <w:sz w:val="21"/>
          <w:szCs w:val="21"/>
        </w:rPr>
        <w:t>五、可直接借鉴到本项目的智能体设计方案</w:t>
      </w:r>
    </w:p>
    <w:p w14:paraId="38380FE6">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5.1 数据输入层</w:t>
      </w:r>
    </w:p>
    <w:p w14:paraId="6D56A871">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参考论文思路，本项目的数据输入不应局限于总用电量，而应尽量构建多源电力市场数据输入层。建议包括：</w:t>
      </w:r>
    </w:p>
    <w:p w14:paraId="04851B08">
      <w:pPr>
        <w:spacing w:after="40" w:line="288" w:lineRule="auto"/>
        <w:ind w:left="312" w:hanging="142"/>
        <w:rPr>
          <w:rFonts w:hint="eastAsia" w:ascii="黑体" w:hAnsi="黑体" w:eastAsia="黑体" w:cs="黑体"/>
          <w:sz w:val="21"/>
          <w:szCs w:val="21"/>
        </w:rPr>
      </w:pPr>
      <w:r>
        <w:rPr>
          <w:rFonts w:hint="eastAsia" w:ascii="黑体" w:hAnsi="黑体" w:eastAsia="黑体" w:cs="黑体"/>
          <w:b w:val="0"/>
          <w:sz w:val="21"/>
          <w:szCs w:val="21"/>
        </w:rPr>
        <w:t>• 电力消费数据：总用电量、工业用电量、商业用电量、居民用电量、分行业/分地区用电量；</w:t>
      </w:r>
    </w:p>
    <w:p w14:paraId="6D007F17">
      <w:pPr>
        <w:spacing w:after="40" w:line="288" w:lineRule="auto"/>
        <w:ind w:left="312" w:hanging="142"/>
        <w:rPr>
          <w:rFonts w:hint="eastAsia" w:ascii="黑体" w:hAnsi="黑体" w:eastAsia="黑体" w:cs="黑体"/>
          <w:sz w:val="21"/>
          <w:szCs w:val="21"/>
        </w:rPr>
      </w:pPr>
      <w:r>
        <w:rPr>
          <w:rFonts w:hint="eastAsia" w:ascii="黑体" w:hAnsi="黑体" w:eastAsia="黑体" w:cs="黑体"/>
          <w:b w:val="0"/>
          <w:sz w:val="21"/>
          <w:szCs w:val="21"/>
        </w:rPr>
        <w:t>• 电力生产数据：区域发电量、新能源发电量、火电/水电/风电/光伏等结构数据；</w:t>
      </w:r>
    </w:p>
    <w:p w14:paraId="664C75C3">
      <w:pPr>
        <w:spacing w:after="40" w:line="288" w:lineRule="auto"/>
        <w:ind w:left="312" w:hanging="142"/>
        <w:rPr>
          <w:rFonts w:hint="eastAsia" w:ascii="黑体" w:hAnsi="黑体" w:eastAsia="黑体" w:cs="黑体"/>
          <w:sz w:val="21"/>
          <w:szCs w:val="21"/>
        </w:rPr>
      </w:pPr>
      <w:r>
        <w:rPr>
          <w:rFonts w:hint="eastAsia" w:ascii="黑体" w:hAnsi="黑体" w:eastAsia="黑体" w:cs="黑体"/>
          <w:b w:val="0"/>
          <w:sz w:val="21"/>
          <w:szCs w:val="21"/>
        </w:rPr>
        <w:t>• 电力价格数据：市场电价、峰谷电价、工业电价、企业用能成本变化；</w:t>
      </w:r>
    </w:p>
    <w:p w14:paraId="007A12B4">
      <w:pPr>
        <w:spacing w:after="40" w:line="288" w:lineRule="auto"/>
        <w:ind w:left="312" w:hanging="142"/>
        <w:rPr>
          <w:rFonts w:hint="eastAsia" w:ascii="黑体" w:hAnsi="黑体" w:eastAsia="黑体" w:cs="黑体"/>
          <w:sz w:val="21"/>
          <w:szCs w:val="21"/>
        </w:rPr>
      </w:pPr>
      <w:r>
        <w:rPr>
          <w:rFonts w:hint="eastAsia" w:ascii="黑体" w:hAnsi="黑体" w:eastAsia="黑体" w:cs="黑体"/>
          <w:b w:val="0"/>
          <w:sz w:val="21"/>
          <w:szCs w:val="21"/>
        </w:rPr>
        <w:t>• 外部解释变量：气温、节假日、极端天气、能源价格、政策事件、产业结构变化；</w:t>
      </w:r>
    </w:p>
    <w:p w14:paraId="31208E59">
      <w:pPr>
        <w:spacing w:after="40" w:line="288" w:lineRule="auto"/>
        <w:ind w:left="312" w:hanging="142"/>
        <w:rPr>
          <w:rFonts w:hint="eastAsia" w:ascii="黑体" w:hAnsi="黑体" w:eastAsia="黑体" w:cs="黑体"/>
          <w:sz w:val="21"/>
          <w:szCs w:val="21"/>
        </w:rPr>
      </w:pPr>
      <w:r>
        <w:rPr>
          <w:rFonts w:hint="eastAsia" w:ascii="黑体" w:hAnsi="黑体" w:eastAsia="黑体" w:cs="黑体"/>
          <w:b w:val="0"/>
          <w:sz w:val="21"/>
          <w:szCs w:val="21"/>
        </w:rPr>
        <w:t>• 宏观对照数据：工业增加值、GDP、PMI、社零、进出口、CPI、失业率、消费者信心等。</w:t>
      </w:r>
    </w:p>
    <w:p w14:paraId="0260537A">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5.2 特征工程层</w:t>
      </w:r>
    </w:p>
    <w:p w14:paraId="088EDFDF">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论文最值得借鉴的是把高频电力市场数据转化为经济分析特征的思路。智能体应自动完成以下特征构造：</w:t>
      </w:r>
    </w:p>
    <w:tbl>
      <w:tblPr>
        <w:tblStyle w:val="34"/>
        <w:tblW w:w="0" w:type="auto"/>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0" w:type="dxa"/>
          <w:left w:w="108" w:type="dxa"/>
          <w:bottom w:w="0" w:type="dxa"/>
          <w:right w:w="108" w:type="dxa"/>
        </w:tblCellMar>
      </w:tblPr>
      <w:tblGrid>
        <w:gridCol w:w="2268"/>
        <w:gridCol w:w="7143"/>
      </w:tblGrid>
      <w:tr w14:paraId="207E11A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shd w:val="clear" w:color="auto" w:fill="D9EAF7"/>
            <w:tcMar>
              <w:top w:w="120" w:type="dxa"/>
              <w:left w:w="120" w:type="dxa"/>
              <w:bottom w:w="120" w:type="dxa"/>
              <w:right w:w="120" w:type="dxa"/>
            </w:tcMar>
            <w:vAlign w:val="center"/>
          </w:tcPr>
          <w:p w14:paraId="6D8DB9B9">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特征</w:t>
            </w:r>
          </w:p>
        </w:tc>
        <w:tc>
          <w:tcPr>
            <w:tcW w:w="7143" w:type="dxa"/>
            <w:shd w:val="clear" w:color="auto" w:fill="D9EAF7"/>
            <w:tcMar>
              <w:top w:w="120" w:type="dxa"/>
              <w:left w:w="120" w:type="dxa"/>
              <w:bottom w:w="120" w:type="dxa"/>
              <w:right w:w="120" w:type="dxa"/>
            </w:tcMar>
            <w:vAlign w:val="center"/>
          </w:tcPr>
          <w:p w14:paraId="0F8B0BD6">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作用</w:t>
            </w:r>
          </w:p>
        </w:tc>
      </w:tr>
      <w:tr w14:paraId="6281FE4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392DCC40">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同比增长率</w:t>
            </w:r>
          </w:p>
        </w:tc>
        <w:tc>
          <w:tcPr>
            <w:tcW w:w="7143" w:type="dxa"/>
            <w:tcMar>
              <w:top w:w="120" w:type="dxa"/>
              <w:left w:w="120" w:type="dxa"/>
              <w:bottom w:w="120" w:type="dxa"/>
              <w:right w:w="120" w:type="dxa"/>
            </w:tcMar>
            <w:vAlign w:val="center"/>
          </w:tcPr>
          <w:p w14:paraId="6F69F9A1">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与去年同期相比，判断经济活动是否强于去年。</w:t>
            </w:r>
          </w:p>
        </w:tc>
      </w:tr>
      <w:tr w14:paraId="26EBFD6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006F5445">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环比增长率</w:t>
            </w:r>
          </w:p>
        </w:tc>
        <w:tc>
          <w:tcPr>
            <w:tcW w:w="7143" w:type="dxa"/>
            <w:tcMar>
              <w:top w:w="120" w:type="dxa"/>
              <w:left w:w="120" w:type="dxa"/>
              <w:bottom w:w="120" w:type="dxa"/>
              <w:right w:w="120" w:type="dxa"/>
            </w:tcMar>
            <w:vAlign w:val="center"/>
          </w:tcPr>
          <w:p w14:paraId="52BF20C8">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与上月或上周相比，判断近期趋势方向。</w:t>
            </w:r>
          </w:p>
        </w:tc>
      </w:tr>
      <w:tr w14:paraId="157D36C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42B1DAF3">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移动平均</w:t>
            </w:r>
          </w:p>
        </w:tc>
        <w:tc>
          <w:tcPr>
            <w:tcW w:w="7143" w:type="dxa"/>
            <w:tcMar>
              <w:top w:w="120" w:type="dxa"/>
              <w:left w:w="120" w:type="dxa"/>
              <w:bottom w:w="120" w:type="dxa"/>
              <w:right w:w="120" w:type="dxa"/>
            </w:tcMar>
            <w:vAlign w:val="center"/>
          </w:tcPr>
          <w:p w14:paraId="092D5D1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用 7 日、30 日或 3 个月移动平均平滑短期噪声。</w:t>
            </w:r>
          </w:p>
        </w:tc>
      </w:tr>
      <w:tr w14:paraId="0804305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5F8EE416">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累计用电量</w:t>
            </w:r>
          </w:p>
        </w:tc>
        <w:tc>
          <w:tcPr>
            <w:tcW w:w="7143" w:type="dxa"/>
            <w:tcMar>
              <w:top w:w="120" w:type="dxa"/>
              <w:left w:w="120" w:type="dxa"/>
              <w:bottom w:w="120" w:type="dxa"/>
              <w:right w:w="120" w:type="dxa"/>
            </w:tcMar>
            <w:vAlign w:val="center"/>
          </w:tcPr>
          <w:p w14:paraId="57B33E35">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将日度数据聚合为月度或季度累计量，便于与宏观指标对应。</w:t>
            </w:r>
          </w:p>
        </w:tc>
      </w:tr>
      <w:tr w14:paraId="014ACBD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68AEF8FE">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电价波动率</w:t>
            </w:r>
          </w:p>
        </w:tc>
        <w:tc>
          <w:tcPr>
            <w:tcW w:w="7143" w:type="dxa"/>
            <w:tcMar>
              <w:top w:w="120" w:type="dxa"/>
              <w:left w:w="120" w:type="dxa"/>
              <w:bottom w:w="120" w:type="dxa"/>
              <w:right w:w="120" w:type="dxa"/>
            </w:tcMar>
            <w:vAlign w:val="center"/>
          </w:tcPr>
          <w:p w14:paraId="3A85B28B">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识别能源成本冲击和市场异常波动。</w:t>
            </w:r>
          </w:p>
        </w:tc>
      </w:tr>
      <w:tr w14:paraId="6020916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24EDBA7D">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行业结构</w:t>
            </w:r>
          </w:p>
        </w:tc>
        <w:tc>
          <w:tcPr>
            <w:tcW w:w="7143" w:type="dxa"/>
            <w:tcMar>
              <w:top w:w="120" w:type="dxa"/>
              <w:left w:w="120" w:type="dxa"/>
              <w:bottom w:w="120" w:type="dxa"/>
              <w:right w:w="120" w:type="dxa"/>
            </w:tcMar>
            <w:vAlign w:val="center"/>
          </w:tcPr>
          <w:p w14:paraId="6EFD449B">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分析工业、商业、居民等用电占比是否发生变化。</w:t>
            </w:r>
          </w:p>
        </w:tc>
      </w:tr>
      <w:tr w14:paraId="55310B2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0D719EE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异常偏离度</w:t>
            </w:r>
          </w:p>
        </w:tc>
        <w:tc>
          <w:tcPr>
            <w:tcW w:w="7143" w:type="dxa"/>
            <w:tcMar>
              <w:top w:w="120" w:type="dxa"/>
              <w:left w:w="120" w:type="dxa"/>
              <w:bottom w:w="120" w:type="dxa"/>
              <w:right w:w="120" w:type="dxa"/>
            </w:tcMar>
            <w:vAlign w:val="center"/>
          </w:tcPr>
          <w:p w14:paraId="49E034B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识别低基数、极端天气、节假日错位和突发事件造成的异常。</w:t>
            </w:r>
          </w:p>
        </w:tc>
      </w:tr>
    </w:tbl>
    <w:p w14:paraId="7CAC34F6">
      <w:pPr>
        <w:spacing w:before="160" w:after="80"/>
        <w:rPr>
          <w:rFonts w:hint="eastAsia" w:ascii="黑体" w:hAnsi="黑体" w:eastAsia="黑体" w:cs="黑体"/>
          <w:sz w:val="21"/>
          <w:szCs w:val="21"/>
        </w:rPr>
      </w:pPr>
      <w:r>
        <w:rPr>
          <w:rFonts w:hint="eastAsia" w:ascii="黑体" w:hAnsi="黑体" w:eastAsia="黑体" w:cs="黑体"/>
          <w:b/>
          <w:color w:val="1F4E79"/>
          <w:sz w:val="21"/>
          <w:szCs w:val="21"/>
        </w:rPr>
        <w:t>5.3 智能体推理层</w:t>
      </w:r>
    </w:p>
    <w:tbl>
      <w:tblPr>
        <w:tblStyle w:val="34"/>
        <w:tblW w:w="0" w:type="auto"/>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0" w:type="dxa"/>
          <w:left w:w="108" w:type="dxa"/>
          <w:bottom w:w="0" w:type="dxa"/>
          <w:right w:w="108" w:type="dxa"/>
        </w:tblCellMar>
      </w:tblPr>
      <w:tblGrid>
        <w:gridCol w:w="1361"/>
        <w:gridCol w:w="8050"/>
      </w:tblGrid>
      <w:tr w14:paraId="0AA7EA7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shd w:val="clear" w:color="auto" w:fill="D9EAF7"/>
            <w:tcMar>
              <w:top w:w="120" w:type="dxa"/>
              <w:left w:w="120" w:type="dxa"/>
              <w:bottom w:w="120" w:type="dxa"/>
              <w:right w:w="120" w:type="dxa"/>
            </w:tcMar>
            <w:vAlign w:val="center"/>
          </w:tcPr>
          <w:p w14:paraId="2EFAA4DB">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流程</w:t>
            </w:r>
          </w:p>
        </w:tc>
        <w:tc>
          <w:tcPr>
            <w:tcW w:w="8050" w:type="dxa"/>
            <w:shd w:val="clear" w:color="auto" w:fill="D9EAF7"/>
            <w:tcMar>
              <w:top w:w="120" w:type="dxa"/>
              <w:left w:w="120" w:type="dxa"/>
              <w:bottom w:w="120" w:type="dxa"/>
              <w:right w:w="120" w:type="dxa"/>
            </w:tcMar>
            <w:vAlign w:val="center"/>
          </w:tcPr>
          <w:p w14:paraId="5BADEBCE">
            <w:pPr>
              <w:spacing w:after="0" w:line="240" w:lineRule="auto"/>
              <w:rPr>
                <w:rFonts w:hint="eastAsia" w:ascii="黑体" w:hAnsi="黑体" w:eastAsia="黑体" w:cs="黑体"/>
                <w:sz w:val="21"/>
                <w:szCs w:val="21"/>
              </w:rPr>
            </w:pPr>
            <w:r>
              <w:rPr>
                <w:rFonts w:hint="eastAsia" w:ascii="黑体" w:hAnsi="黑体" w:eastAsia="黑体" w:cs="黑体"/>
                <w:b/>
                <w:color w:val="000000"/>
                <w:sz w:val="21"/>
                <w:szCs w:val="21"/>
              </w:rPr>
              <w:t>内容</w:t>
            </w:r>
          </w:p>
        </w:tc>
      </w:tr>
      <w:tr w14:paraId="02BB8AF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5AAC6D4E">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1</w:t>
            </w:r>
          </w:p>
        </w:tc>
        <w:tc>
          <w:tcPr>
            <w:tcW w:w="8050" w:type="dxa"/>
            <w:tcMar>
              <w:top w:w="120" w:type="dxa"/>
              <w:left w:w="120" w:type="dxa"/>
              <w:bottom w:w="120" w:type="dxa"/>
              <w:right w:w="120" w:type="dxa"/>
            </w:tcMar>
            <w:vAlign w:val="center"/>
          </w:tcPr>
          <w:p w14:paraId="124F5A87">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识别用户上传的数据类型：日度/月度/季度、电力消费/电力生产/电力价格、总量/分行业/分地区。</w:t>
            </w:r>
          </w:p>
        </w:tc>
      </w:tr>
      <w:tr w14:paraId="249C107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634CD34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2</w:t>
            </w:r>
          </w:p>
        </w:tc>
        <w:tc>
          <w:tcPr>
            <w:tcW w:w="8050" w:type="dxa"/>
            <w:tcMar>
              <w:top w:w="120" w:type="dxa"/>
              <w:left w:w="120" w:type="dxa"/>
              <w:bottom w:w="120" w:type="dxa"/>
              <w:right w:w="120" w:type="dxa"/>
            </w:tcMar>
            <w:vAlign w:val="center"/>
          </w:tcPr>
          <w:p w14:paraId="0816EAFF">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计算同比、环比、累计量、移动平均、行业结构和异常偏离度等基础特征。</w:t>
            </w:r>
          </w:p>
        </w:tc>
      </w:tr>
      <w:tr w14:paraId="63E8643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028CF662">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3</w:t>
            </w:r>
          </w:p>
        </w:tc>
        <w:tc>
          <w:tcPr>
            <w:tcW w:w="8050" w:type="dxa"/>
            <w:tcMar>
              <w:top w:w="120" w:type="dxa"/>
              <w:left w:w="120" w:type="dxa"/>
              <w:bottom w:w="120" w:type="dxa"/>
              <w:right w:w="120" w:type="dxa"/>
            </w:tcMar>
            <w:vAlign w:val="center"/>
          </w:tcPr>
          <w:p w14:paraId="0522E076">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判断电力变量与经济部门的对应关系：工业、商业消费、贸易、价格成本、居民生活等。</w:t>
            </w:r>
          </w:p>
        </w:tc>
      </w:tr>
      <w:tr w14:paraId="137CFE4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1FB66CA0">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4</w:t>
            </w:r>
          </w:p>
        </w:tc>
        <w:tc>
          <w:tcPr>
            <w:tcW w:w="8050" w:type="dxa"/>
            <w:tcMar>
              <w:top w:w="120" w:type="dxa"/>
              <w:left w:w="120" w:type="dxa"/>
              <w:bottom w:w="120" w:type="dxa"/>
              <w:right w:w="120" w:type="dxa"/>
            </w:tcMar>
            <w:vAlign w:val="center"/>
          </w:tcPr>
          <w:p w14:paraId="3297D32D">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检索知识库中的论文、政策文件和项目资料，补充解释依据。</w:t>
            </w:r>
          </w:p>
        </w:tc>
      </w:tr>
      <w:tr w14:paraId="5D00609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587A4FC4">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5</w:t>
            </w:r>
          </w:p>
        </w:tc>
        <w:tc>
          <w:tcPr>
            <w:tcW w:w="8050" w:type="dxa"/>
            <w:tcMar>
              <w:top w:w="120" w:type="dxa"/>
              <w:left w:w="120" w:type="dxa"/>
              <w:bottom w:w="120" w:type="dxa"/>
              <w:right w:w="120" w:type="dxa"/>
            </w:tcMar>
            <w:vAlign w:val="center"/>
          </w:tcPr>
          <w:p w14:paraId="6A8A81A6">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识别干扰因素：天气、节假日、能源价格冲击、战争/疫情/政策事件、低基数效应。</w:t>
            </w:r>
          </w:p>
        </w:tc>
      </w:tr>
      <w:tr w14:paraId="2E9996C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617263D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6</w:t>
            </w:r>
          </w:p>
        </w:tc>
        <w:tc>
          <w:tcPr>
            <w:tcW w:w="8050" w:type="dxa"/>
            <w:tcMar>
              <w:top w:w="120" w:type="dxa"/>
              <w:left w:w="120" w:type="dxa"/>
              <w:bottom w:w="120" w:type="dxa"/>
              <w:right w:w="120" w:type="dxa"/>
            </w:tcMar>
            <w:vAlign w:val="center"/>
          </w:tcPr>
          <w:p w14:paraId="46C6B9F9">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判断趋势：扩张/放缓/恢复/异常波动/结构性变化/暂时无法判断。</w:t>
            </w:r>
          </w:p>
        </w:tc>
      </w:tr>
      <w:tr w14:paraId="1C7A7B3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0" w:type="dxa"/>
            <w:left w:w="108" w:type="dxa"/>
            <w:bottom w:w="0" w:type="dxa"/>
            <w:right w:w="108" w:type="dxa"/>
          </w:tblCellMar>
        </w:tblPrEx>
        <w:trPr>
          <w:jc w:val="center"/>
        </w:trPr>
        <w:tc>
          <w:tcPr>
            <w:tcW w:w="1361" w:type="dxa"/>
            <w:tcMar>
              <w:top w:w="120" w:type="dxa"/>
              <w:left w:w="120" w:type="dxa"/>
              <w:bottom w:w="120" w:type="dxa"/>
              <w:right w:w="120" w:type="dxa"/>
            </w:tcMar>
            <w:vAlign w:val="center"/>
          </w:tcPr>
          <w:p w14:paraId="3C5C310A">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步骤 7</w:t>
            </w:r>
          </w:p>
        </w:tc>
        <w:tc>
          <w:tcPr>
            <w:tcW w:w="8050" w:type="dxa"/>
            <w:tcMar>
              <w:top w:w="120" w:type="dxa"/>
              <w:left w:w="120" w:type="dxa"/>
              <w:bottom w:w="120" w:type="dxa"/>
              <w:right w:w="120" w:type="dxa"/>
            </w:tcMar>
            <w:vAlign w:val="center"/>
          </w:tcPr>
          <w:p w14:paraId="2D04E495">
            <w:pPr>
              <w:spacing w:after="0" w:line="240" w:lineRule="auto"/>
              <w:rPr>
                <w:rFonts w:hint="eastAsia" w:ascii="黑体" w:hAnsi="黑体" w:eastAsia="黑体" w:cs="黑体"/>
                <w:sz w:val="21"/>
                <w:szCs w:val="21"/>
              </w:rPr>
            </w:pPr>
            <w:r>
              <w:rPr>
                <w:rFonts w:hint="eastAsia" w:ascii="黑体" w:hAnsi="黑体" w:eastAsia="黑体" w:cs="黑体"/>
                <w:b w:val="0"/>
                <w:sz w:val="21"/>
                <w:szCs w:val="21"/>
              </w:rPr>
              <w:t>生成报告并标注置信度，说明结论依据、局限性和需要补充的数据。</w:t>
            </w:r>
          </w:p>
        </w:tc>
      </w:tr>
    </w:tbl>
    <w:p w14:paraId="73551CA3">
      <w:pPr>
        <w:spacing w:before="240" w:after="120"/>
        <w:rPr>
          <w:rFonts w:hint="eastAsia" w:ascii="黑体" w:hAnsi="黑体" w:eastAsia="黑体" w:cs="黑体"/>
          <w:sz w:val="21"/>
          <w:szCs w:val="21"/>
        </w:rPr>
      </w:pPr>
      <w:r>
        <w:rPr>
          <w:rFonts w:hint="eastAsia" w:ascii="黑体" w:hAnsi="黑体" w:eastAsia="黑体" w:cs="黑体"/>
          <w:b/>
          <w:color w:val="1F4E79"/>
          <w:sz w:val="21"/>
          <w:szCs w:val="21"/>
        </w:rPr>
        <w:t>六、局限性与本项目可改进方向</w:t>
      </w:r>
    </w:p>
    <w:p w14:paraId="43510A7E">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这篇论文最大的提醒是：电力市场数据有价值，但不是万能指标。电力消费最能反映实体经济和商业活动，但对就业、通胀、综合景气等指标的解释能力有限。因此，本项目的智能体不能只依赖电力数据，而应接入宏观经济、气象、金融、节假日和行业知识等多源数据。</w:t>
      </w:r>
    </w:p>
    <w:p w14:paraId="05251A2E">
      <w:pPr>
        <w:spacing w:after="120" w:line="300" w:lineRule="auto"/>
        <w:ind w:firstLine="420"/>
        <w:rPr>
          <w:rFonts w:hint="eastAsia" w:ascii="黑体" w:hAnsi="黑体" w:eastAsia="黑体" w:cs="黑体"/>
          <w:sz w:val="21"/>
          <w:szCs w:val="21"/>
        </w:rPr>
      </w:pPr>
      <w:r>
        <w:rPr>
          <w:rFonts w:hint="eastAsia" w:ascii="黑体" w:hAnsi="黑体" w:eastAsia="黑体" w:cs="黑体"/>
          <w:b w:val="0"/>
          <w:sz w:val="21"/>
          <w:szCs w:val="21"/>
        </w:rPr>
        <w:t>论文还指出，战争、能源价格暴涨等外部冲击会改变电力变量与经济指标之间的关系。这说明本项目需要设置模型更新和异常识别机制。当出现能源价格剧烈波动、极端天气、春节错位或重大政策事件时，智能体应自动降低判断置信度，并提示需要补充外部事件信息。</w:t>
      </w:r>
    </w:p>
    <w:p w14:paraId="1E4B2D4C">
      <w:pPr>
        <w:spacing w:after="120" w:line="300" w:lineRule="auto"/>
        <w:ind w:firstLine="420"/>
        <w:rPr>
          <w:rFonts w:hint="eastAsia" w:ascii="黑体" w:hAnsi="黑体" w:eastAsia="黑体" w:cs="黑体"/>
          <w:b w:val="0"/>
          <w:sz w:val="21"/>
          <w:szCs w:val="21"/>
        </w:rPr>
      </w:pPr>
      <w:r>
        <w:rPr>
          <w:rFonts w:hint="eastAsia" w:ascii="黑体" w:hAnsi="黑体" w:eastAsia="黑体" w:cs="黑体"/>
          <w:b w:val="0"/>
          <w:sz w:val="21"/>
          <w:szCs w:val="21"/>
        </w:rPr>
        <w:t>相较于论文只做计量模型，本项目可以进一步加入大模型智能体能力。具体做法是：用统计模型和特征工程负责“计算”，用知识库检索负责“找依据”，用大模型负责“解释和生成报告”。这样既能避免大模型凭空判断，又能把复杂的电力经济关系转化为老师和决策者容易理解的文字报告。</w:t>
      </w:r>
    </w:p>
    <w:p w14:paraId="4740914C">
      <w:pPr>
        <w:spacing w:after="120" w:line="300" w:lineRule="auto"/>
        <w:ind w:firstLine="420"/>
        <w:rPr>
          <w:rFonts w:hint="eastAsia" w:ascii="黑体" w:hAnsi="黑体" w:eastAsia="黑体" w:cs="黑体"/>
          <w:b w:val="0"/>
          <w:sz w:val="21"/>
          <w:szCs w:val="21"/>
        </w:rPr>
      </w:pPr>
    </w:p>
    <w:p w14:paraId="0E5702C9">
      <w:pPr>
        <w:spacing w:after="120" w:line="300" w:lineRule="auto"/>
        <w:ind w:firstLine="420"/>
        <w:rPr>
          <w:rFonts w:hint="eastAsia" w:ascii="黑体" w:hAnsi="黑体" w:eastAsia="黑体" w:cs="黑体"/>
          <w:b w:val="0"/>
          <w:sz w:val="21"/>
          <w:szCs w:val="21"/>
        </w:rPr>
      </w:pPr>
    </w:p>
    <w:p w14:paraId="12488D1B">
      <w:pPr>
        <w:spacing w:after="120" w:line="300" w:lineRule="auto"/>
        <w:ind w:firstLine="420"/>
        <w:rPr>
          <w:rFonts w:hint="eastAsia" w:ascii="黑体" w:hAnsi="黑体" w:eastAsia="黑体" w:cs="黑体"/>
          <w:b w:val="0"/>
          <w:sz w:val="21"/>
          <w:szCs w:val="21"/>
        </w:rPr>
      </w:pPr>
    </w:p>
    <w:p w14:paraId="5BBFACA3">
      <w:pPr>
        <w:spacing w:after="120" w:line="300" w:lineRule="auto"/>
        <w:ind w:firstLine="420"/>
        <w:rPr>
          <w:rFonts w:hint="eastAsia" w:ascii="黑体" w:hAnsi="黑体" w:eastAsia="黑体" w:cs="黑体"/>
          <w:b w:val="0"/>
          <w:sz w:val="21"/>
          <w:szCs w:val="21"/>
        </w:rPr>
      </w:pPr>
    </w:p>
    <w:p w14:paraId="6C747F49">
      <w:pPr>
        <w:spacing w:after="120" w:line="300" w:lineRule="auto"/>
        <w:ind w:firstLine="420"/>
        <w:rPr>
          <w:rFonts w:hint="eastAsia" w:ascii="黑体" w:hAnsi="黑体" w:eastAsia="黑体" w:cs="黑体"/>
          <w:b w:val="0"/>
          <w:sz w:val="21"/>
          <w:szCs w:val="21"/>
          <w:lang w:val="en-US" w:eastAsia="zh-CN"/>
        </w:rPr>
      </w:pPr>
      <w:r>
        <w:rPr>
          <w:rFonts w:hint="eastAsia" w:ascii="黑体" w:hAnsi="黑体" w:eastAsia="黑体" w:cs="黑体"/>
          <w:b w:val="0"/>
          <w:sz w:val="21"/>
          <w:szCs w:val="21"/>
          <w:lang w:val="en-US" w:eastAsia="zh-CN"/>
        </w:rPr>
        <w:t>其他论文和项目：</w:t>
      </w:r>
    </w:p>
    <w:p w14:paraId="4B0836C0">
      <w:pPr>
        <w:numPr>
          <w:ilvl w:val="0"/>
          <w:numId w:val="7"/>
        </w:numPr>
        <w:spacing w:after="120" w:line="300" w:lineRule="auto"/>
        <w:ind w:firstLine="420"/>
        <w:rPr>
          <w:rFonts w:hint="default" w:ascii="黑体" w:hAnsi="黑体" w:eastAsia="黑体" w:cs="黑体"/>
          <w:b w:val="0"/>
          <w:sz w:val="21"/>
          <w:szCs w:val="21"/>
          <w:lang w:val="en-US" w:eastAsia="zh-CN"/>
        </w:rPr>
      </w:pPr>
      <w:r>
        <w:rPr>
          <w:rFonts w:hint="default" w:ascii="黑体" w:hAnsi="黑体" w:eastAsia="黑体" w:cs="黑体"/>
          <w:b w:val="0"/>
          <w:sz w:val="21"/>
          <w:szCs w:val="21"/>
          <w:lang w:val="en-US" w:eastAsia="zh-CN"/>
        </w:rPr>
        <w:t xml:space="preserve">Shang, X. Zhang, R. Tao, X. Wang and L. Zhang, "GDP Nowcasting Based on Daily Electricity Data and Financial Market Data," 2023 IEEE International Conference on Big Data (BigData), Sorrento, Italy, 2023, pp. 3445-3452, doi: 10.1109/BigData59044.2023.10386538. </w:t>
      </w:r>
      <w:r>
        <w:rPr>
          <w:rFonts w:hint="eastAsia" w:ascii="黑体" w:hAnsi="黑体" w:eastAsia="黑体" w:cs="黑体"/>
          <w:b w:val="0"/>
          <w:sz w:val="21"/>
          <w:szCs w:val="21"/>
          <w:lang w:val="en-US" w:eastAsia="zh-CN"/>
        </w:rPr>
        <w:t xml:space="preserve">    </w:t>
      </w:r>
      <w:r>
        <w:rPr>
          <w:rFonts w:hint="default" w:ascii="黑体" w:hAnsi="黑体" w:eastAsia="黑体" w:cs="黑体"/>
          <w:b w:val="0"/>
          <w:sz w:val="21"/>
          <w:szCs w:val="21"/>
          <w:lang w:val="en-US" w:eastAsia="zh-CN"/>
        </w:rPr>
        <w:t>keywords: {Surveys;Analytical models;Time-frequency analysis;Economic indicators;Pandemics;Predictive models;Data models;GDP</w:t>
      </w:r>
      <w:bookmarkStart w:id="1" w:name="_GoBack"/>
      <w:bookmarkEnd w:id="1"/>
      <w:r>
        <w:rPr>
          <w:rFonts w:hint="default" w:ascii="黑体" w:hAnsi="黑体" w:eastAsia="黑体" w:cs="黑体"/>
          <w:b w:val="0"/>
          <w:sz w:val="21"/>
          <w:szCs w:val="21"/>
          <w:lang w:val="en-US" w:eastAsia="zh-CN"/>
        </w:rPr>
        <w:t>;Nowcasting;Dynamic factor model;Daily data processing},</w:t>
      </w:r>
    </w:p>
    <w:p w14:paraId="3B7446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rPr>
          <w:rFonts w:hint="default" w:ascii="黑体" w:hAnsi="黑体" w:eastAsia="黑体" w:cs="黑体"/>
          <w:b w:val="0"/>
          <w:bCs w:val="0"/>
          <w:color w:val="auto"/>
          <w:sz w:val="21"/>
          <w:szCs w:val="21"/>
          <w:lang w:val="en-US" w:eastAsia="zh-CN" w:bidi="ar-SA"/>
        </w:rPr>
      </w:pPr>
      <w:r>
        <w:rPr>
          <w:rFonts w:hint="default" w:ascii="黑体" w:hAnsi="黑体" w:eastAsia="黑体" w:cs="黑体"/>
          <w:b w:val="0"/>
          <w:bCs w:val="0"/>
          <w:color w:val="auto"/>
          <w:sz w:val="21"/>
          <w:szCs w:val="21"/>
          <w:lang w:val="en-US" w:eastAsia="zh-CN" w:bidi="ar-SA"/>
        </w:rPr>
        <w:t>Does energy consumption play a key role? Re-evaluating the energy consumption-economic growth nexus from GDP growth rates forecasting</w:t>
      </w:r>
    </w:p>
    <w:p w14:paraId="1F98C4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80" w:firstLine="0"/>
        <w:jc w:val="left"/>
        <w:rPr>
          <w:rFonts w:hint="default" w:ascii="黑体" w:hAnsi="黑体" w:eastAsia="黑体" w:cs="黑体"/>
          <w:b w:val="0"/>
          <w:bCs w:val="0"/>
          <w:color w:val="auto"/>
          <w:sz w:val="21"/>
          <w:szCs w:val="21"/>
          <w:lang w:val="en-US" w:eastAsia="zh-CN" w:bidi="ar-SA"/>
        </w:rPr>
      </w:pPr>
      <w:r>
        <w:rPr>
          <w:rFonts w:hint="default" w:ascii="黑体" w:hAnsi="黑体" w:eastAsia="黑体" w:cs="黑体"/>
          <w:b w:val="0"/>
          <w:bCs w:val="0"/>
          <w:color w:val="auto"/>
          <w:sz w:val="21"/>
          <w:szCs w:val="21"/>
          <w:lang w:val="en-US" w:eastAsia="zh-CN" w:bidi="ar-SA"/>
        </w:rPr>
        <w:t>Fei Lu a, </w:t>
      </w:r>
      <w:bookmarkStart w:id="0" w:name="bau0010-profile"/>
      <w:r>
        <w:rPr>
          <w:rFonts w:hint="default" w:ascii="黑体" w:hAnsi="黑体" w:eastAsia="黑体" w:cs="黑体"/>
          <w:b w:val="0"/>
          <w:bCs w:val="0"/>
          <w:color w:val="auto"/>
          <w:sz w:val="21"/>
          <w:szCs w:val="21"/>
          <w:lang w:val="en-US" w:eastAsia="zh-CN" w:bidi="ar-SA"/>
        </w:rPr>
        <w:fldChar w:fldCharType="begin"/>
      </w:r>
      <w:r>
        <w:rPr>
          <w:rFonts w:hint="default" w:ascii="黑体" w:hAnsi="黑体" w:eastAsia="黑体" w:cs="黑体"/>
          <w:b w:val="0"/>
          <w:bCs w:val="0"/>
          <w:color w:val="auto"/>
          <w:sz w:val="21"/>
          <w:szCs w:val="21"/>
          <w:lang w:val="en-US" w:eastAsia="zh-CN" w:bidi="ar-SA"/>
        </w:rPr>
        <w:instrText xml:space="preserve"> HYPERLINK "https://www.sciencedirect.com/author/55549235800/feng-ma" </w:instrText>
      </w:r>
      <w:r>
        <w:rPr>
          <w:rFonts w:hint="default" w:ascii="黑体" w:hAnsi="黑体" w:eastAsia="黑体" w:cs="黑体"/>
          <w:b w:val="0"/>
          <w:bCs w:val="0"/>
          <w:color w:val="auto"/>
          <w:sz w:val="21"/>
          <w:szCs w:val="21"/>
          <w:lang w:val="en-US" w:eastAsia="zh-CN" w:bidi="ar-SA"/>
        </w:rPr>
        <w:fldChar w:fldCharType="separate"/>
      </w:r>
      <w:r>
        <w:rPr>
          <w:rFonts w:hint="default" w:ascii="黑体" w:hAnsi="黑体" w:eastAsia="黑体" w:cs="黑体"/>
          <w:b w:val="0"/>
          <w:bCs w:val="0"/>
          <w:color w:val="auto"/>
          <w:sz w:val="21"/>
          <w:szCs w:val="21"/>
          <w:lang w:val="en-US" w:eastAsia="zh-CN" w:bidi="ar-SA"/>
        </w:rPr>
        <w:t>Feng Ma a b</w:t>
      </w:r>
      <w:bookmarkEnd w:id="0"/>
      <w:r>
        <w:rPr>
          <w:rFonts w:hint="default" w:ascii="黑体" w:hAnsi="黑体" w:eastAsia="黑体" w:cs="黑体"/>
          <w:b w:val="0"/>
          <w:bCs w:val="0"/>
          <w:color w:val="auto"/>
          <w:sz w:val="21"/>
          <w:szCs w:val="21"/>
          <w:lang w:val="en-US" w:eastAsia="zh-CN" w:bidi="ar-SA"/>
        </w:rPr>
        <w:fldChar w:fldCharType="end"/>
      </w:r>
      <w:r>
        <w:rPr>
          <w:rFonts w:hint="default" w:ascii="黑体" w:hAnsi="黑体" w:eastAsia="黑体" w:cs="黑体"/>
          <w:b w:val="0"/>
          <w:bCs w:val="0"/>
          <w:color w:val="auto"/>
          <w:sz w:val="21"/>
          <w:szCs w:val="21"/>
          <w:lang w:val="en-US" w:eastAsia="zh-CN" w:bidi="ar-SA"/>
        </w:rPr>
        <w:t>, Shiyang Hu c</w:t>
      </w:r>
    </w:p>
    <w:p w14:paraId="6C110D88">
      <w:pPr>
        <w:pStyle w:val="3"/>
        <w:keepNext w:val="0"/>
        <w:keepLines w:val="0"/>
        <w:widowControl/>
        <w:suppressLineNumbers w:val="0"/>
        <w:spacing w:before="0" w:beforeAutospacing="0" w:after="50" w:afterAutospacing="0" w:line="360" w:lineRule="atLeast"/>
        <w:ind w:left="0" w:right="0" w:firstLine="0"/>
        <w:rPr>
          <w:rFonts w:ascii="NexusSerifWebPro" w:hAnsi="NexusSerifWebPro" w:eastAsia="NexusSerifWebPro" w:cs="NexusSerifWebPro"/>
          <w:i w:val="0"/>
          <w:iCs w:val="0"/>
          <w:caps w:val="0"/>
          <w:color w:val="222222"/>
          <w:spacing w:val="0"/>
          <w:sz w:val="28"/>
          <w:szCs w:val="28"/>
        </w:rPr>
      </w:pPr>
      <w:r>
        <w:rPr>
          <w:rFonts w:hint="eastAsia" w:ascii="黑体" w:hAnsi="黑体" w:eastAsia="黑体" w:cs="黑体"/>
          <w:b w:val="0"/>
          <w:bCs w:val="0"/>
          <w:color w:val="auto"/>
          <w:sz w:val="21"/>
          <w:szCs w:val="21"/>
          <w:lang w:val="en-US" w:eastAsia="zh-CN" w:bidi="ar-SA"/>
        </w:rPr>
        <w:t xml:space="preserve">  </w:t>
      </w:r>
      <w:r>
        <w:rPr>
          <w:rFonts w:hint="default" w:ascii="黑体" w:hAnsi="黑体" w:eastAsia="黑体" w:cs="黑体"/>
          <w:b w:val="0"/>
          <w:bCs w:val="0"/>
          <w:color w:val="auto"/>
          <w:sz w:val="21"/>
          <w:szCs w:val="21"/>
          <w:lang w:val="en-US" w:eastAsia="zh-CN" w:bidi="ar-SA"/>
        </w:rPr>
        <w:t>Forecasting Regional Industrial Production with High-Frequency Electricity Consumption Data</w:t>
      </w:r>
    </w:p>
    <w:p w14:paraId="38F6C9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80" w:firstLine="0"/>
        <w:jc w:val="left"/>
        <w:rPr>
          <w:rFonts w:hint="eastAsia" w:ascii="黑体" w:hAnsi="黑体" w:eastAsia="黑体" w:cs="黑体"/>
          <w:b w:val="0"/>
          <w:bCs w:val="0"/>
          <w:color w:val="auto"/>
          <w:sz w:val="21"/>
          <w:szCs w:val="21"/>
          <w:lang w:val="en-US" w:eastAsia="zh-CN" w:bidi="ar-SA"/>
        </w:rPr>
      </w:pPr>
      <w:r>
        <w:rPr>
          <w:rFonts w:hint="eastAsia" w:ascii="黑体" w:hAnsi="黑体" w:eastAsia="黑体" w:cs="黑体"/>
          <w:b w:val="0"/>
          <w:bCs w:val="0"/>
          <w:color w:val="auto"/>
          <w:sz w:val="21"/>
          <w:szCs w:val="21"/>
          <w:lang w:val="en-US" w:eastAsia="zh-CN" w:bidi="ar-SA"/>
        </w:rPr>
        <w:t xml:space="preserve">  Dify：</w:t>
      </w:r>
      <w:r>
        <w:rPr>
          <w:rFonts w:hint="eastAsia" w:ascii="黑体" w:hAnsi="黑体" w:eastAsia="黑体" w:cs="黑体"/>
          <w:b w:val="0"/>
          <w:bCs w:val="0"/>
          <w:color w:val="auto"/>
          <w:sz w:val="21"/>
          <w:szCs w:val="21"/>
          <w:lang w:val="en-US" w:eastAsia="zh-CN" w:bidi="ar-SA"/>
        </w:rPr>
        <w:fldChar w:fldCharType="begin"/>
      </w:r>
      <w:r>
        <w:rPr>
          <w:rFonts w:hint="eastAsia" w:ascii="黑体" w:hAnsi="黑体" w:eastAsia="黑体" w:cs="黑体"/>
          <w:b w:val="0"/>
          <w:bCs w:val="0"/>
          <w:color w:val="auto"/>
          <w:sz w:val="21"/>
          <w:szCs w:val="21"/>
          <w:lang w:val="en-US" w:eastAsia="zh-CN" w:bidi="ar-SA"/>
        </w:rPr>
        <w:instrText xml:space="preserve"> HYPERLINK "https://github.com/langgenius/dify?utm_source=chatgpt.com" </w:instrText>
      </w:r>
      <w:r>
        <w:rPr>
          <w:rFonts w:hint="eastAsia" w:ascii="黑体" w:hAnsi="黑体" w:eastAsia="黑体" w:cs="黑体"/>
          <w:b w:val="0"/>
          <w:bCs w:val="0"/>
          <w:color w:val="auto"/>
          <w:sz w:val="21"/>
          <w:szCs w:val="21"/>
          <w:lang w:val="en-US" w:eastAsia="zh-CN" w:bidi="ar-SA"/>
        </w:rPr>
        <w:fldChar w:fldCharType="separate"/>
      </w:r>
      <w:r>
        <w:rPr>
          <w:rStyle w:val="136"/>
          <w:rFonts w:hint="eastAsia" w:ascii="黑体" w:hAnsi="黑体" w:eastAsia="黑体" w:cs="黑体"/>
          <w:b w:val="0"/>
          <w:bCs w:val="0"/>
          <w:sz w:val="21"/>
          <w:szCs w:val="21"/>
          <w:lang w:val="en-US" w:eastAsia="zh-CN" w:bidi="ar-SA"/>
        </w:rPr>
        <w:t>https://github.com/langgenius/dify?utm_source=chatgpt.com</w:t>
      </w:r>
      <w:r>
        <w:rPr>
          <w:rFonts w:hint="eastAsia" w:ascii="黑体" w:hAnsi="黑体" w:eastAsia="黑体" w:cs="黑体"/>
          <w:b w:val="0"/>
          <w:bCs w:val="0"/>
          <w:color w:val="auto"/>
          <w:sz w:val="21"/>
          <w:szCs w:val="21"/>
          <w:lang w:val="en-US" w:eastAsia="zh-CN" w:bidi="ar-SA"/>
        </w:rPr>
        <w:fldChar w:fldCharType="end"/>
      </w:r>
    </w:p>
    <w:p w14:paraId="5E790C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right="80" w:firstLine="210" w:firstLineChars="100"/>
        <w:jc w:val="left"/>
        <w:rPr>
          <w:rFonts w:hint="eastAsia" w:ascii="黑体" w:hAnsi="黑体" w:eastAsia="黑体" w:cs="黑体"/>
          <w:b w:val="0"/>
          <w:bCs w:val="0"/>
          <w:color w:val="auto"/>
          <w:sz w:val="21"/>
          <w:szCs w:val="21"/>
          <w:lang w:val="en-US" w:eastAsia="zh-CN" w:bidi="ar-SA"/>
        </w:rPr>
      </w:pPr>
      <w:r>
        <w:rPr>
          <w:rFonts w:hint="eastAsia" w:ascii="黑体" w:hAnsi="黑体" w:eastAsia="黑体" w:cs="黑体"/>
          <w:b w:val="0"/>
          <w:bCs w:val="0"/>
          <w:color w:val="auto"/>
          <w:sz w:val="21"/>
          <w:szCs w:val="21"/>
          <w:lang w:val="en-US" w:eastAsia="zh-CN" w:bidi="ar-SA"/>
        </w:rPr>
        <w:t>Macro Specialist Agent（</w:t>
      </w:r>
      <w:r>
        <w:rPr>
          <w:rFonts w:hint="default" w:ascii="黑体" w:hAnsi="黑体" w:eastAsia="黑体" w:cs="黑体"/>
          <w:b w:val="0"/>
          <w:bCs w:val="0"/>
          <w:color w:val="auto"/>
          <w:sz w:val="21"/>
          <w:szCs w:val="21"/>
          <w:lang w:val="en-US" w:eastAsia="zh-CN" w:bidi="ar-SA"/>
        </w:rPr>
        <w:t>宏观经济分析智能体</w:t>
      </w:r>
      <w:r>
        <w:rPr>
          <w:rFonts w:hint="eastAsia" w:ascii="黑体" w:hAnsi="黑体" w:eastAsia="黑体" w:cs="黑体"/>
          <w:b w:val="0"/>
          <w:bCs w:val="0"/>
          <w:color w:val="auto"/>
          <w:sz w:val="21"/>
          <w:szCs w:val="21"/>
          <w:lang w:val="en-US" w:eastAsia="zh-CN" w:bidi="ar-SA"/>
        </w:rPr>
        <w:t>）：</w:t>
      </w:r>
      <w:r>
        <w:rPr>
          <w:rFonts w:hint="eastAsia" w:ascii="黑体" w:hAnsi="黑体" w:eastAsia="黑体" w:cs="黑体"/>
          <w:b w:val="0"/>
          <w:bCs w:val="0"/>
          <w:color w:val="auto"/>
          <w:sz w:val="21"/>
          <w:szCs w:val="21"/>
          <w:lang w:val="en-US" w:eastAsia="zh-CN" w:bidi="ar-SA"/>
        </w:rPr>
        <w:fldChar w:fldCharType="begin"/>
      </w:r>
      <w:r>
        <w:rPr>
          <w:rFonts w:hint="eastAsia" w:ascii="黑体" w:hAnsi="黑体" w:eastAsia="黑体" w:cs="黑体"/>
          <w:b w:val="0"/>
          <w:bCs w:val="0"/>
          <w:color w:val="auto"/>
          <w:sz w:val="21"/>
          <w:szCs w:val="21"/>
          <w:lang w:val="en-US" w:eastAsia="zh-CN" w:bidi="ar-SA"/>
        </w:rPr>
        <w:instrText xml:space="preserve"> HYPERLINK "https://github.com/NpappaG/macro-specialist-agent?utm_source=chatgpt.com" </w:instrText>
      </w:r>
      <w:r>
        <w:rPr>
          <w:rFonts w:hint="eastAsia" w:ascii="黑体" w:hAnsi="黑体" w:eastAsia="黑体" w:cs="黑体"/>
          <w:b w:val="0"/>
          <w:bCs w:val="0"/>
          <w:color w:val="auto"/>
          <w:sz w:val="21"/>
          <w:szCs w:val="21"/>
          <w:lang w:val="en-US" w:eastAsia="zh-CN" w:bidi="ar-SA"/>
        </w:rPr>
        <w:fldChar w:fldCharType="separate"/>
      </w:r>
      <w:r>
        <w:rPr>
          <w:rStyle w:val="136"/>
          <w:rFonts w:hint="eastAsia" w:ascii="黑体" w:hAnsi="黑体" w:eastAsia="黑体" w:cs="黑体"/>
          <w:b w:val="0"/>
          <w:bCs w:val="0"/>
          <w:sz w:val="21"/>
          <w:szCs w:val="21"/>
          <w:lang w:val="en-US" w:eastAsia="zh-CN" w:bidi="ar-SA"/>
        </w:rPr>
        <w:t>https://github.com/NpappaG/macro-specialist-agent?utm_source=chatgpt.com</w:t>
      </w:r>
      <w:r>
        <w:rPr>
          <w:rFonts w:hint="eastAsia" w:ascii="黑体" w:hAnsi="黑体" w:eastAsia="黑体" w:cs="黑体"/>
          <w:b w:val="0"/>
          <w:bCs w:val="0"/>
          <w:color w:val="auto"/>
          <w:sz w:val="21"/>
          <w:szCs w:val="21"/>
          <w:lang w:val="en-US" w:eastAsia="zh-CN" w:bidi="ar-SA"/>
        </w:rPr>
        <w:fldChar w:fldCharType="end"/>
      </w:r>
    </w:p>
    <w:p w14:paraId="012A5D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right="80" w:firstLine="210" w:firstLineChars="100"/>
        <w:jc w:val="left"/>
        <w:rPr>
          <w:rStyle w:val="136"/>
          <w:rFonts w:hint="eastAsia" w:ascii="黑体" w:hAnsi="黑体" w:eastAsia="黑体" w:cs="黑体"/>
          <w:b w:val="0"/>
          <w:bCs w:val="0"/>
          <w:color w:val="0000FF"/>
          <w:sz w:val="21"/>
          <w:szCs w:val="21"/>
          <w:lang w:val="en-US" w:eastAsia="zh-CN" w:bidi="ar-SA"/>
        </w:rPr>
      </w:pPr>
      <w:r>
        <w:rPr>
          <w:rFonts w:hint="eastAsia" w:ascii="黑体" w:hAnsi="黑体" w:eastAsia="黑体" w:cs="黑体"/>
          <w:b w:val="0"/>
          <w:bCs w:val="0"/>
          <w:color w:val="auto"/>
          <w:sz w:val="21"/>
          <w:szCs w:val="21"/>
          <w:lang w:val="en-US" w:eastAsia="zh-CN" w:bidi="ar-SA"/>
        </w:rPr>
        <w:t>OpenEcon Data（给智能体接入经济数据）：</w:t>
      </w:r>
      <w:r>
        <w:rPr>
          <w:rStyle w:val="136"/>
          <w:rFonts w:hint="eastAsia" w:ascii="黑体" w:hAnsi="黑体" w:eastAsia="黑体" w:cs="黑体"/>
          <w:b w:val="0"/>
          <w:bCs w:val="0"/>
          <w:color w:val="0000FF"/>
          <w:sz w:val="21"/>
          <w:szCs w:val="21"/>
          <w:lang w:val="en-US" w:eastAsia="zh-CN" w:bidi="ar-SA"/>
        </w:rPr>
        <w:fldChar w:fldCharType="begin"/>
      </w:r>
      <w:r>
        <w:rPr>
          <w:rStyle w:val="136"/>
          <w:rFonts w:hint="eastAsia" w:ascii="黑体" w:hAnsi="黑体" w:eastAsia="黑体" w:cs="黑体"/>
          <w:b w:val="0"/>
          <w:bCs w:val="0"/>
          <w:color w:val="0000FF"/>
          <w:sz w:val="21"/>
          <w:szCs w:val="21"/>
          <w:lang w:val="en-US" w:eastAsia="zh-CN" w:bidi="ar-SA"/>
        </w:rPr>
        <w:instrText xml:space="preserve"> HYPERLINK "https://github.com/hanlulong/openecon-data?utm_source=chatgpt.com" </w:instrText>
      </w:r>
      <w:r>
        <w:rPr>
          <w:rStyle w:val="136"/>
          <w:rFonts w:hint="eastAsia" w:ascii="黑体" w:hAnsi="黑体" w:eastAsia="黑体" w:cs="黑体"/>
          <w:b w:val="0"/>
          <w:bCs w:val="0"/>
          <w:color w:val="0000FF"/>
          <w:sz w:val="21"/>
          <w:szCs w:val="21"/>
          <w:lang w:val="en-US" w:eastAsia="zh-CN" w:bidi="ar-SA"/>
        </w:rPr>
        <w:fldChar w:fldCharType="separate"/>
      </w:r>
      <w:r>
        <w:rPr>
          <w:rStyle w:val="136"/>
          <w:rFonts w:hint="eastAsia" w:ascii="黑体" w:hAnsi="黑体" w:eastAsia="黑体" w:cs="黑体"/>
          <w:b w:val="0"/>
          <w:bCs w:val="0"/>
          <w:color w:val="0000FF"/>
          <w:sz w:val="21"/>
          <w:szCs w:val="21"/>
          <w:lang w:val="en-US" w:eastAsia="zh-CN" w:bidi="ar-SA"/>
        </w:rPr>
        <w:t>https://github.com/hanlulong/openecon-data?utm_source=chatgpt.com</w:t>
      </w:r>
      <w:r>
        <w:rPr>
          <w:rStyle w:val="136"/>
          <w:rFonts w:hint="eastAsia" w:ascii="黑体" w:hAnsi="黑体" w:eastAsia="黑体" w:cs="黑体"/>
          <w:b w:val="0"/>
          <w:bCs w:val="0"/>
          <w:color w:val="0000FF"/>
          <w:sz w:val="21"/>
          <w:szCs w:val="21"/>
          <w:lang w:val="en-US" w:eastAsia="zh-CN" w:bidi="ar-SA"/>
        </w:rPr>
        <w:fldChar w:fldCharType="end"/>
      </w:r>
    </w:p>
    <w:p w14:paraId="1D3BD9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right="80" w:firstLine="210" w:firstLineChars="100"/>
        <w:jc w:val="left"/>
        <w:rPr>
          <w:rStyle w:val="136"/>
          <w:rFonts w:hint="eastAsia" w:ascii="黑体" w:hAnsi="黑体" w:eastAsia="黑体" w:cs="黑体"/>
          <w:b w:val="0"/>
          <w:bCs w:val="0"/>
          <w:color w:val="0000FF"/>
          <w:sz w:val="21"/>
          <w:szCs w:val="21"/>
          <w:lang w:val="en-US" w:eastAsia="zh-CN" w:bidi="ar-SA"/>
        </w:rPr>
      </w:pPr>
    </w:p>
    <w:p w14:paraId="53162D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right="80" w:firstLine="210" w:firstLineChars="100"/>
        <w:jc w:val="left"/>
        <w:rPr>
          <w:rFonts w:hint="eastAsia" w:ascii="黑体" w:hAnsi="黑体" w:eastAsia="黑体" w:cs="黑体"/>
          <w:b w:val="0"/>
          <w:bCs w:val="0"/>
          <w:color w:val="auto"/>
          <w:sz w:val="21"/>
          <w:szCs w:val="21"/>
          <w:lang w:val="en-US" w:eastAsia="zh-CN" w:bidi="ar-SA"/>
        </w:rPr>
      </w:pPr>
    </w:p>
    <w:p w14:paraId="11B2AE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right="80" w:firstLine="240" w:firstLineChars="100"/>
        <w:jc w:val="left"/>
        <w:rPr>
          <w:rFonts w:hint="eastAsia" w:ascii="宋体" w:hAnsi="宋体" w:eastAsia="宋体" w:cs="宋体"/>
          <w:sz w:val="24"/>
          <w:szCs w:val="24"/>
          <w:lang w:val="en-US" w:eastAsia="zh-CN"/>
        </w:rPr>
      </w:pPr>
    </w:p>
    <w:p w14:paraId="273BCDDE">
      <w:pPr>
        <w:numPr>
          <w:numId w:val="0"/>
        </w:numPr>
        <w:spacing w:after="120" w:line="300" w:lineRule="auto"/>
        <w:rPr>
          <w:rFonts w:hint="default" w:ascii="黑体" w:hAnsi="黑体" w:eastAsia="黑体" w:cs="黑体"/>
          <w:b w:val="0"/>
          <w:sz w:val="21"/>
          <w:szCs w:val="21"/>
          <w:lang w:val="en-US" w:eastAsia="zh-CN"/>
        </w:rPr>
      </w:pPr>
    </w:p>
    <w:p w14:paraId="210A87CD">
      <w:pPr>
        <w:numPr>
          <w:numId w:val="0"/>
        </w:numPr>
        <w:spacing w:after="120" w:line="300" w:lineRule="auto"/>
        <w:rPr>
          <w:rFonts w:hint="default" w:ascii="黑体" w:hAnsi="黑体" w:eastAsia="黑体" w:cs="黑体"/>
          <w:b w:val="0"/>
          <w:sz w:val="21"/>
          <w:szCs w:val="21"/>
          <w:lang w:val="en-US" w:eastAsia="zh-CN"/>
        </w:rPr>
      </w:pPr>
    </w:p>
    <w:sectPr>
      <w:headerReference r:id="rId5" w:type="default"/>
      <w:pgSz w:w="12240" w:h="15840"/>
      <w:pgMar w:top="1080" w:right="1123" w:bottom="1080"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auto"/>
    <w:pitch w:val="default"/>
    <w:sig w:usb0="E0002EFF" w:usb1="C000785B" w:usb2="00000009" w:usb3="00000000" w:csb0="400001FF" w:csb1="FFFF0000"/>
  </w:font>
  <w:font w:name="NexusSerifWebPro">
    <w:altName w:val="SWAstr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D4A46">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0A0602"/>
    <w:multiLevelType w:val="singleLevel"/>
    <w:tmpl w:val="C60A0602"/>
    <w:lvl w:ilvl="0" w:tentative="0">
      <w:start w:val="23"/>
      <w:numFmt w:val="upperLetter"/>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AA0778"/>
    <w:rsid w:val="2984623C"/>
    <w:rsid w:val="388877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Noto Sans CJK SC" w:hAnsi="Noto Sans CJK SC" w:eastAsia="Noto Sans CJK SC"/>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131</Words>
  <Characters>367</Characters>
  <Lines>0</Lines>
  <Paragraphs>0</Paragraphs>
  <TotalTime>56</TotalTime>
  <ScaleCrop>false</ScaleCrop>
  <LinksUpToDate>false</LinksUpToDate>
  <CharactersWithSpaces>404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ø</dc:creator>
  <dc:description>generated by python-docx</dc:description>
  <cp:keywords>电力看经济, GDP即时预测, 电力数据, 智能体, 论文解读</cp:keywords>
  <cp:lastModifiedBy>ø</cp:lastModifiedBy>
  <dcterms:modified xsi:type="dcterms:W3CDTF">2026-07-10T12:28:04Z</dcterms:modified>
  <dc:subject>Composite GDP nowcasting using macroeconomic variables and electricity data 解读</dc:subject>
  <dc:title>电力看经济论文参考解读</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eyJoZGlkIjoiYTMzOTQ3MzgxMmQ2MzQxOTBlYzJiMTBkZmQ2NDMyOTAiLCJ1c2VySWQiOiIxMzYzODkxMzMzIn0=</vt:lpwstr>
  </property>
  <property fmtid="{D5CDD505-2E9C-101B-9397-08002B2CF9AE}" pid="3" name="KSOProductBuildVer">
    <vt:lpwstr>2052-12.1.0.26895</vt:lpwstr>
  </property>
  <property fmtid="{D5CDD505-2E9C-101B-9397-08002B2CF9AE}" pid="4" name="ICV">
    <vt:lpwstr>6E4FF4C7FABB4906A8F806B8ED21FC0D_12</vt:lpwstr>
  </property>
</Properties>
</file>