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17365D"/>
            <w:tcMar>
              <w:top w:w="520" w:type="dxa"/>
              <w:start w:w="300" w:type="dxa"/>
              <w:bottom w:w="520" w:type="dxa"/>
              <w:end w:w="3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0"/>
              </w:rPr>
              <w:t>基于 STL 分解与知识增强的</w:t>
              <w:br/>
              <w:t>“电力看经济”智能体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DDEBF7"/>
                <w:sz w:val="28"/>
              </w:rPr>
              <w:t>浙江省电力与经济数据的季节-趋势分解、异常候选与原因约束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EAF2F8"/>
                <w:sz w:val="21"/>
              </w:rPr>
              <w:t>完整代码 · 实际运行结果 · 模型可读输出 · 知识图谱接口设计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17365D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36"/>
              </w:rPr>
              <w:t>51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月度用电样本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EAF2F8"/>
                <w:sz w:val="16"/>
              </w:rPr>
              <w:t>2021-01 至 2025-03</w:t>
            </w:r>
          </w:p>
        </w:tc>
        <w:tc>
          <w:tcPr>
            <w:tcW w:type="dxa" w:w="2521"/>
            <w:shd w:fill="2F75B5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36"/>
              </w:rPr>
              <w:t>+29.78%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STL 趋势累计增长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EAF2F8"/>
                <w:sz w:val="16"/>
              </w:rPr>
              <w:t>折算年化约 6.46%</w:t>
            </w:r>
          </w:p>
        </w:tc>
        <w:tc>
          <w:tcPr>
            <w:tcW w:type="dxa" w:w="2521"/>
            <w:shd w:fill="17365D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36"/>
              </w:rPr>
              <w:t>0.854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季节强度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EAF2F8"/>
                <w:sz w:val="16"/>
              </w:rPr>
              <w:t>7-8月显著高峰</w:t>
            </w:r>
          </w:p>
        </w:tc>
        <w:tc>
          <w:tcPr>
            <w:tcW w:type="dxa" w:w="2521"/>
            <w:shd w:fill="2F75B5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36"/>
              </w:rPr>
              <w:t>48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异常/质量候选记录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EAF2F8"/>
                <w:sz w:val="16"/>
              </w:rPr>
              <w:t>含统计核算风险标签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line="317" w:lineRule="auto"/>
            </w:pPr>
            <w:r>
              <w:rPr>
                <w:rFonts w:ascii="Noto Sans CJK SC" w:hAnsi="Noto Sans CJK SC" w:eastAsia="Noto Sans CJK SC"/>
                <w:b/>
                <w:color w:val="7F6000"/>
                <w:sz w:val="21"/>
              </w:rPr>
              <w:t xml:space="preserve">核心结论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STL 能稳定拆出“长期趋势、固定季节项、残差”，但移动春节、疫情低基数和 GDP 年度核算修订必须通过显式规则约束；否则大模型会把统计口径或日历效应误说成经济因果。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Noto Sans CJK SC" w:hAnsi="Noto Sans CJK SC" w:eastAsia="Noto Sans CJK SC"/>
          <w:color w:val="666666"/>
          <w:sz w:val="20"/>
        </w:rPr>
        <w:t>阶段性技术报告｜生成日期：2026-07-23</w:t>
      </w:r>
    </w:p>
    <w:p>
      <w:r>
        <w:br w:type="page"/>
      </w:r>
    </w:p>
    <w:p>
      <w:pPr>
        <w:pStyle w:val="Heading1"/>
        <w:keepNext/>
        <w:spacing w:before="240" w:after="160"/>
        <w:pBdr>
          <w:bottom w:val="single" w:sz="12" w:space="4" w:color="2F75B5"/>
        </w:pBdr>
      </w:pPr>
      <w:r>
        <w:rPr>
          <w:rFonts w:ascii="Noto Sans CJK SC" w:hAnsi="Noto Sans CJK SC" w:eastAsia="Noto Sans CJK SC"/>
          <w:b/>
          <w:color w:val="17365D"/>
          <w:sz w:val="34"/>
        </w:rPr>
        <w:t>摘要与主要结论</w:t>
      </w:r>
    </w:p>
    <w:p>
      <w:pPr>
        <w:spacing w:after="80" w:line="341" w:lineRule="auto"/>
        <w:ind w:firstLine="420"/>
      </w:pPr>
      <w:r>
        <w:rPr>
          <w:rFonts w:ascii="Noto Sans CJK SC" w:hAnsi="Noto Sans CJK SC" w:eastAsia="Noto Sans CJK SC"/>
          <w:color w:val="1F2937"/>
          <w:sz w:val="21"/>
        </w:rPr>
        <w:t>本次任务围绕老师强调的三个重点——数据获取、STL 分解算法、知识图谱构建——完成了一套可复现的技术闭环。输入端保留原始 XLSX/DOCX，清洗端把单位、累计口径和移动节假日转换为模型可理解的字段；算法端使用 robust STL 分离趋势、季节和残差；输出端将异常候选、候选原因、所需证据和防误判规则写入 JSONL，可直接进入知识图谱、RAG 或多智能体工作流。</w:t>
      </w:r>
    </w:p>
    <w:p>
      <w:pPr>
        <w:spacing w:after="40" w:line="307" w:lineRule="auto"/>
        <w:ind w:left="425" w:hanging="312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1. </w:t>
      </w:r>
      <w:r>
        <w:rPr>
          <w:rFonts w:ascii="Noto Sans CJK SC" w:hAnsi="Noto Sans CJK SC" w:eastAsia="Noto Sans CJK SC"/>
          <w:color w:val="1F2937"/>
          <w:sz w:val="20"/>
        </w:rPr>
        <w:t>浙江月度全社会用电量共有 51 个连续样本，满足 12 个月季节周期的阶段性分析需要；STL 趋势由 452.63 亿千瓦时/月上升到 587.43 亿千瓦时/月，累计增长 29.78%，折算年化约 6.46%。</w:t>
      </w:r>
    </w:p>
    <w:p>
      <w:pPr>
        <w:spacing w:after="40" w:line="307" w:lineRule="auto"/>
        <w:ind w:left="425" w:hanging="312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2. </w:t>
      </w:r>
      <w:r>
        <w:rPr>
          <w:rFonts w:ascii="Noto Sans CJK SC" w:hAnsi="Noto Sans CJK SC" w:eastAsia="Noto Sans CJK SC"/>
          <w:color w:val="1F2937"/>
          <w:sz w:val="20"/>
        </w:rPr>
        <w:t>季节性很强：季节强度为 0.854；平均季节项在 7 月和 8 月分别为 +125.23、+134.05 亿千瓦时，2 月为 -109.44 亿千瓦时。</w:t>
      </w:r>
    </w:p>
    <w:p>
      <w:pPr>
        <w:spacing w:after="40" w:line="307" w:lineRule="auto"/>
        <w:ind w:left="425" w:hanging="312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3. </w:t>
      </w:r>
      <w:r>
        <w:rPr>
          <w:rFonts w:ascii="Noto Sans CJK SC" w:hAnsi="Noto Sans CJK SC" w:eastAsia="Noto Sans CJK SC"/>
          <w:color w:val="1F2937"/>
          <w:sz w:val="20"/>
        </w:rPr>
        <w:t>月度用电共识别 5 个 strong、5 个 watch 候选。最显著的负残差集中在春节所在月份：2021-02（-22.83%）、2023-01（-20.43%）、2024-02（-14.09%）；2024-01则为 +15.58%，反映春节后移到 2 月带来的工作日结构变化。</w:t>
      </w:r>
    </w:p>
    <w:p>
      <w:pPr>
        <w:spacing w:after="40" w:line="307" w:lineRule="auto"/>
        <w:ind w:left="425" w:hanging="312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4. </w:t>
      </w:r>
      <w:r>
        <w:rPr>
          <w:rFonts w:ascii="Noto Sans CJK SC" w:hAnsi="Noto Sans CJK SC" w:eastAsia="Noto Sans CJK SC"/>
          <w:color w:val="1F2937"/>
          <w:sz w:val="20"/>
        </w:rPr>
        <w:t>GDP 累计同比增速 STL 清晰捕捉 2020Q1 的负向冲击和 2021Q1-Q3 的低基数复苏。第二产业异常幅度最大，2021Q1残差 +22.91 个百分点；第三产业 2020Q1 残差 -8.45 个百分点。第一产业没有达到设定阈值，波动明显较小。</w:t>
      </w:r>
    </w:p>
    <w:p>
      <w:pPr>
        <w:spacing w:after="40" w:line="307" w:lineRule="auto"/>
        <w:ind w:left="425" w:hanging="312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5. </w:t>
      </w:r>
      <w:r>
        <w:rPr>
          <w:rFonts w:ascii="Noto Sans CJK SC" w:hAnsi="Noto Sans CJK SC" w:eastAsia="Noto Sans CJK SC"/>
          <w:color w:val="1F2937"/>
          <w:sz w:val="20"/>
        </w:rPr>
        <w:t>累计 GDP 做差得到单季值后，Q4 容易集中承接全年核算、修订和四舍五入差额。因此单季值 STL 只作为辅助质量检查，并设置 annual_reconciliation_risk，不能与真实经济冲击等价。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DF4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line="317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 xml:space="preserve">诊断输出原则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模型最终只能表述为“异常候选 + 证据链 + 置信度”。在天气、行业、政策、价格、节假日等证据未齐全时，不得输出确定性因果结论。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60"/>
        <w:pBdr>
          <w:bottom w:val="single" w:sz="12" w:space="4" w:color="2F75B5"/>
        </w:pBdr>
      </w:pPr>
      <w:r>
        <w:rPr>
          <w:rFonts w:ascii="Noto Sans CJK SC" w:hAnsi="Noto Sans CJK SC" w:eastAsia="Noto Sans CJK SC"/>
          <w:b/>
          <w:color w:val="17365D"/>
          <w:sz w:val="34"/>
        </w:rPr>
        <w:t>1. 项目目标与本次分析边界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75B5"/>
          <w:sz w:val="27"/>
        </w:rPr>
        <w:t>1.1 与项目总体架构的对应关系</w:t>
      </w:r>
    </w:p>
    <w:p>
      <w:pPr>
        <w:spacing w:after="80" w:line="341" w:lineRule="auto"/>
        <w:ind w:firstLine="420"/>
      </w:pPr>
      <w:r>
        <w:rPr>
          <w:rFonts w:ascii="Noto Sans CJK SC" w:hAnsi="Noto Sans CJK SC" w:eastAsia="Noto Sans CJK SC"/>
          <w:color w:val="1F2937"/>
          <w:sz w:val="21"/>
        </w:rPr>
        <w:t>开题材料提出的主流程是“多源数据输入 → 特征解耦分析 → 知识增强诊断 → 多智能体协同 → 智能输出”。本次工作聚焦前两步，并把结果整理为第三步可以直接消费的知识记录：STL 负责把原始波动拆成趋势、季节和残差；规则层负责给残差加上日历、统计口径和边界风险标签；JSONL 输出负责把数据、异常、候选原因与证据要求连接起来。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项目环节</w:t>
            </w:r>
          </w:p>
        </w:tc>
        <w:tc>
          <w:tcPr>
            <w:tcW w:type="dxa" w:w="49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本次实现</w:t>
            </w:r>
          </w:p>
        </w:tc>
        <w:tc>
          <w:tcPr>
            <w:tcW w:type="dxa" w:w="23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输出文件</w:t>
            </w:r>
          </w:p>
        </w:tc>
      </w:tr>
      <w:tr>
        <w:trPr>
          <w:cantSplit/>
        </w:trPr>
        <w:tc>
          <w:tcPr>
            <w:tcW w:type="dxa" w:w="17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多源数据输入</w:t>
            </w:r>
          </w:p>
        </w:tc>
        <w:tc>
          <w:tcPr>
            <w:tcW w:type="dxa" w:w="49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XLSX 月度用电、季度 GDP、DOCX 节假日；官方来源交叉校核</w:t>
            </w:r>
          </w:p>
        </w:tc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input/、data/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特征解耦分析</w:t>
            </w:r>
          </w:p>
        </w:tc>
        <w:tc>
          <w:tcPr>
            <w:tcW w:type="dxa" w:w="4988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月度 period=12、季度 period=4 的 robust STL</w:t>
            </w:r>
          </w:p>
        </w:tc>
        <w:tc>
          <w:tcPr>
            <w:tcW w:type="dxa" w:w="2381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electricity_stl.csv、gdp_*_stl.csv</w:t>
            </w:r>
          </w:p>
        </w:tc>
      </w:tr>
      <w:tr>
        <w:trPr>
          <w:cantSplit/>
        </w:trPr>
        <w:tc>
          <w:tcPr>
            <w:tcW w:type="dxa" w:w="17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异常监测</w:t>
            </w:r>
          </w:p>
        </w:tc>
        <w:tc>
          <w:tcPr>
            <w:tcW w:type="dxa" w:w="49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残差率/残差百分点阈值 + 边界标记</w:t>
            </w:r>
          </w:p>
        </w:tc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anomalies.csv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知识增强诊断</w:t>
            </w:r>
          </w:p>
        </w:tc>
        <w:tc>
          <w:tcPr>
            <w:tcW w:type="dxa" w:w="4988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春节、疫情低基数、年度核算等规则与证据要求</w:t>
            </w:r>
          </w:p>
        </w:tc>
        <w:tc>
          <w:tcPr>
            <w:tcW w:type="dxa" w:w="2381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anomaly_records.jsonl</w:t>
            </w:r>
          </w:p>
        </w:tc>
      </w:tr>
      <w:tr>
        <w:trPr>
          <w:cantSplit/>
        </w:trPr>
        <w:tc>
          <w:tcPr>
            <w:tcW w:type="dxa" w:w="17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智能输出</w:t>
            </w:r>
          </w:p>
        </w:tc>
        <w:tc>
          <w:tcPr>
            <w:tcW w:type="dxa" w:w="49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报告、图表、JSON 摘要、运行日志</w:t>
            </w:r>
          </w:p>
        </w:tc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报告.docx、figures/、analysis_summary.json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75B5"/>
          <w:sz w:val="27"/>
        </w:rPr>
        <w:t>1.2 为什么没有强行对全部城市数据做 STL</w:t>
      </w:r>
    </w:p>
    <w:p>
      <w:pPr>
        <w:spacing w:after="80" w:line="341" w:lineRule="auto"/>
        <w:ind w:firstLine="420"/>
      </w:pPr>
      <w:r>
        <w:rPr>
          <w:rFonts w:ascii="Noto Sans CJK SC" w:hAnsi="Noto Sans CJK SC" w:eastAsia="Noto Sans CJK SC"/>
          <w:color w:val="1F2937"/>
          <w:sz w:val="21"/>
        </w:rPr>
        <w:t>STL 的关键前提不是“有数据就能分解”，而是序列要有明确频率并覆盖足够的完整季节周期。用户收集的苏州、南京、江门材料均来自政府统计部门，真实性较好，但当前更适合作为数据获取成果和后续城市扩展入口，而非本轮 STL 主样本。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81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数据集</w:t>
            </w:r>
          </w:p>
        </w:tc>
        <w:tc>
          <w:tcPr>
            <w:tcW w:type="dxa" w:w="204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频率/形态</w:t>
            </w:r>
          </w:p>
        </w:tc>
        <w:tc>
          <w:tcPr>
            <w:tcW w:type="dxa" w:w="294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当前问题</w:t>
            </w:r>
          </w:p>
        </w:tc>
        <w:tc>
          <w:tcPr>
            <w:tcW w:type="dxa" w:w="23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本轮处理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苏州用电与经济指标</w:t>
            </w:r>
          </w:p>
        </w:tc>
        <w:tc>
          <w:tcPr>
            <w:tcW w:type="dxa" w:w="204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近一年多月度累计表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不足两个完整年度；累计值需先差分</w:t>
            </w:r>
          </w:p>
        </w:tc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暂不强行 STL，建议累计到 24-36 个月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南京全社会用电</w:t>
            </w:r>
          </w:p>
        </w:tc>
        <w:tc>
          <w:tcPr>
            <w:tcW w:type="dxa" w:w="204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2000-2023 年度序列</w:t>
            </w:r>
          </w:p>
        </w:tc>
        <w:tc>
          <w:tcPr>
            <w:tcW w:type="dxa" w:w="2948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年度频率没有年内季节项</w:t>
            </w:r>
          </w:p>
        </w:tc>
        <w:tc>
          <w:tcPr>
            <w:tcW w:type="dxa" w:w="2381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应用趋势/结构突变方法，而非 STL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江门用电</w:t>
            </w:r>
          </w:p>
        </w:tc>
        <w:tc>
          <w:tcPr>
            <w:tcW w:type="dxa" w:w="204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近一年多月度累计表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长度不足；需转为单月值</w:t>
            </w:r>
          </w:p>
        </w:tc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保留为后续城市验证集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浙江月度用电</w:t>
            </w:r>
          </w:p>
        </w:tc>
        <w:tc>
          <w:tcPr>
            <w:tcW w:type="dxa" w:w="204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2021-01 至 2025-03，51 个月</w:t>
            </w:r>
          </w:p>
        </w:tc>
        <w:tc>
          <w:tcPr>
            <w:tcW w:type="dxa" w:w="2948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仅约4个周期，边界需谨慎</w:t>
            </w:r>
          </w:p>
        </w:tc>
        <w:tc>
          <w:tcPr>
            <w:tcW w:type="dxa" w:w="2381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作为本轮月度 STL 主样本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浙江三次产业 GDP</w:t>
            </w:r>
          </w:p>
        </w:tc>
        <w:tc>
          <w:tcPr>
            <w:tcW w:type="dxa" w:w="204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季度，主分析 2010Q1-2025Q4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累计口径；早期差分有异常</w:t>
            </w:r>
          </w:p>
        </w:tc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累计增速 STL + 单季值辅助检查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line="317" w:lineRule="auto"/>
            </w:pPr>
            <w:r>
              <w:rPr>
                <w:rFonts w:ascii="Noto Sans CJK SC" w:hAnsi="Noto Sans CJK SC" w:eastAsia="Noto Sans CJK SC"/>
                <w:b/>
                <w:color w:val="7F6000"/>
                <w:sz w:val="21"/>
              </w:rPr>
              <w:t xml:space="preserve">方法纪律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不适合 STL 的序列不应为了“展示算法”而强行分解。对年度序列应改用 LOESS/HP 趋势、断点检验、CUSUM 或变点检测；对短月度序列应先扩充样本。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60"/>
        <w:pBdr>
          <w:bottom w:val="single" w:sz="12" w:space="4" w:color="2F75B5"/>
        </w:pBdr>
      </w:pPr>
      <w:r>
        <w:rPr>
          <w:rFonts w:ascii="Noto Sans CJK SC" w:hAnsi="Noto Sans CJK SC" w:eastAsia="Noto Sans CJK SC"/>
          <w:b/>
          <w:color w:val="17365D"/>
          <w:sz w:val="34"/>
        </w:rPr>
        <w:t>2. 数据获取、真实性校核与清洗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75B5"/>
          <w:sz w:val="27"/>
        </w:rPr>
        <w:t>2.1 数据来源</w:t>
      </w:r>
    </w:p>
    <w:p>
      <w:pPr>
        <w:spacing w:after="80" w:line="341" w:lineRule="auto"/>
        <w:ind w:firstLine="420"/>
      </w:pPr>
      <w:r>
        <w:rPr>
          <w:rFonts w:ascii="Noto Sans CJK SC" w:hAnsi="Noto Sans CJK SC" w:eastAsia="Noto Sans CJK SC"/>
          <w:color w:val="1F2937"/>
          <w:sz w:val="21"/>
        </w:rPr>
        <w:t>浙江省数据包包含月度全社会用电量、三次产业季度增加值/同比增速和国务院办公厅近五年节假日安排。城市材料列出了苏州市统计局、南京市统计局、江门市统计局的官方入口。报告所用数字均来自用户提供原始文件，外部网页只用于单位、年度合计和最新季度值的交叉校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58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481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原始文件/来源</w:t>
            </w:r>
          </w:p>
        </w:tc>
        <w:tc>
          <w:tcPr>
            <w:tcW w:type="dxa" w:w="277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月度电力</w:t>
            </w:r>
          </w:p>
        </w:tc>
        <w:tc>
          <w:tcPr>
            <w:tcW w:type="dxa" w:w="481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浙江全社会用电量信息（月度）.xlsx</w:t>
            </w:r>
          </w:p>
        </w:tc>
        <w:tc>
          <w:tcPr>
            <w:tcW w:type="dxa" w:w="277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趋势、季节、残差和异常候选</w:t>
            </w:r>
          </w:p>
        </w:tc>
      </w:tr>
      <w:tr>
        <w:trPr>
          <w:cantSplit/>
        </w:trPr>
        <w:tc>
          <w:tcPr>
            <w:tcW w:type="dxa" w:w="158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季度经济</w:t>
            </w:r>
          </w:p>
        </w:tc>
        <w:tc>
          <w:tcPr>
            <w:tcW w:type="dxa" w:w="4818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浙江省第一/二/三产业季度.xlsx</w:t>
            </w:r>
          </w:p>
        </w:tc>
        <w:tc>
          <w:tcPr>
            <w:tcW w:type="dxa" w:w="277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产业增速冲击和单季值质量检查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日历因素</w:t>
            </w:r>
          </w:p>
        </w:tc>
        <w:tc>
          <w:tcPr>
            <w:tcW w:type="dxa" w:w="481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国务院办公厅近五年节假日安排.docx</w:t>
            </w:r>
          </w:p>
        </w:tc>
        <w:tc>
          <w:tcPr>
            <w:tcW w:type="dxa" w:w="277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构造春节所在月份和假期天数</w:t>
            </w:r>
          </w:p>
        </w:tc>
      </w:tr>
      <w:tr>
        <w:trPr>
          <w:cantSplit/>
        </w:trPr>
        <w:tc>
          <w:tcPr>
            <w:tcW w:type="dxa" w:w="158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城市扩展</w:t>
            </w:r>
          </w:p>
        </w:tc>
        <w:tc>
          <w:tcPr>
            <w:tcW w:type="dxa" w:w="4818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苏州/南京/江门官方统计入口与截图</w:t>
            </w:r>
          </w:p>
        </w:tc>
        <w:tc>
          <w:tcPr>
            <w:tcW w:type="dxa" w:w="277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数据获取证明、后续多地区验证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外部校核</w:t>
            </w:r>
          </w:p>
        </w:tc>
        <w:tc>
          <w:tcPr>
            <w:tcW w:type="dxa" w:w="481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人民网、新华网、浙江省经济信息中心、中国政府网</w:t>
            </w:r>
          </w:p>
        </w:tc>
        <w:tc>
          <w:tcPr>
            <w:tcW w:type="dxa" w:w="277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单位、总量、季度值和节假日日期校核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75B5"/>
          <w:sz w:val="27"/>
        </w:rPr>
        <w:t>2.2 用电量单位的反向校核</w:t>
      </w:r>
    </w:p>
    <w:p>
      <w:pPr>
        <w:spacing w:after="80" w:line="341" w:lineRule="auto"/>
        <w:ind w:firstLine="420"/>
      </w:pPr>
      <w:r>
        <w:rPr>
          <w:rFonts w:ascii="Noto Sans CJK SC" w:hAnsi="Noto Sans CJK SC" w:eastAsia="Noto Sans CJK SC"/>
          <w:color w:val="1F2937"/>
          <w:sz w:val="21"/>
        </w:rPr>
        <w:t>原始月度值没有在字段名中明确写出单位。脚本先假定原始值为“万千瓦时”，除以 10,000 转换为“亿千瓦时”，再按年汇总并与权威发布值对照。2021 年汇总为 5514.1109 亿千瓦时，官方发布为 5514 亿千瓦时；2024 年汇总为 6780.8515 亿千瓦时，官方发布为 6780 亿千瓦时。两者相对误差分别仅约 0.0020% 和 0.0126%，说明单位判断正确，微小差异可由发布取整造成。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41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年份</w:t>
            </w:r>
          </w:p>
        </w:tc>
        <w:tc>
          <w:tcPr>
            <w:tcW w:type="dxa" w:w="283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月度数据汇总（亿千瓦时）</w:t>
            </w:r>
          </w:p>
        </w:tc>
        <w:tc>
          <w:tcPr>
            <w:tcW w:type="dxa" w:w="255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权威发布（亿千瓦时）</w:t>
            </w:r>
          </w:p>
        </w:tc>
        <w:tc>
          <w:tcPr>
            <w:tcW w:type="dxa" w:w="17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相对差异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2021</w:t>
            </w:r>
          </w:p>
        </w:tc>
        <w:tc>
          <w:tcPr>
            <w:tcW w:type="dxa" w:w="283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5514.1109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5514</w:t>
            </w:r>
          </w:p>
        </w:tc>
        <w:tc>
          <w:tcPr>
            <w:tcW w:type="dxa" w:w="17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0.0020%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2024</w:t>
            </w:r>
          </w:p>
        </w:tc>
        <w:tc>
          <w:tcPr>
            <w:tcW w:type="dxa" w:w="283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6780.8515</w:t>
            </w:r>
          </w:p>
        </w:tc>
        <w:tc>
          <w:tcPr>
            <w:tcW w:type="dxa" w:w="2551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6780</w:t>
            </w:r>
          </w:p>
        </w:tc>
        <w:tc>
          <w:tcPr>
            <w:tcW w:type="dxa" w:w="170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0.0126%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75B5"/>
          <w:sz w:val="27"/>
        </w:rPr>
        <w:t>2.3 GDP 累计口径转换</w:t>
      </w:r>
    </w:p>
    <w:p>
      <w:pPr>
        <w:spacing w:after="80" w:line="341" w:lineRule="auto"/>
        <w:ind w:firstLine="420"/>
      </w:pPr>
      <w:r>
        <w:rPr>
          <w:rFonts w:ascii="Noto Sans CJK SC" w:hAnsi="Noto Sans CJK SC" w:eastAsia="Noto Sans CJK SC"/>
          <w:color w:val="1F2937"/>
          <w:sz w:val="21"/>
        </w:rPr>
        <w:t>季度工作簿中的增加值为“年内累计值”，不能直接当作单季流量。脚本按同一年相邻季度做差：Q1=Q1累计；Q2=上半年累计-Q1；Q3=前三季度累计-上半年；Q4=全年累计-前三季度。累计同比增速则直接用于主 STL，因为它是官方常用的经济景气指标。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52" w:lineRule="auto"/>
            </w:pPr>
            <w:r>
              <w:rPr>
                <w:rFonts w:ascii="DejaVu Sans Mono" w:hAnsi="DejaVu Sans Mono" w:eastAsia="DejaVu Sans Mono"/>
                <w:color w:val="24292F"/>
                <w:sz w:val="17"/>
              </w:rPr>
              <w:t>single_quarter[Q1] = cumulative[Q1]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7"/>
              </w:rPr>
              <w:t>single_quarter[Q2] = cumulative[Q2] - cumulative[Q1]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7"/>
              </w:rPr>
              <w:t>single_quarter[Q3] = cumulative[Q3] - cumulative[Q2]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7"/>
              </w:rPr>
              <w:t>single_quarter[Q4] = cumulative[Q4] - cumulative[Q3]</w:t>
            </w:r>
          </w:p>
        </w:tc>
      </w:tr>
    </w:tbl>
    <w:p>
      <w:pPr>
        <w:spacing w:after="20"/>
      </w:pPr>
    </w:p>
    <w:p>
      <w:pPr>
        <w:spacing w:after="80" w:line="341" w:lineRule="auto"/>
        <w:ind w:firstLine="420"/>
      </w:pPr>
      <w:r>
        <w:rPr>
          <w:rFonts w:ascii="Noto Sans CJK SC" w:hAnsi="Noto Sans CJK SC" w:eastAsia="Noto Sans CJK SC"/>
          <w:color w:val="1F2937"/>
          <w:sz w:val="21"/>
        </w:rPr>
        <w:t>交叉校核显示，数据包中的 2025Q1 三次产业增加值分别为 398、8249、13653 亿元，增速分别为 3.3%、6.5%、5.7%，与浙江省公开的一季度经济数据一致。第一产业和第三产业在 1997Q3 的累计差分出现非正值，属于明显的数据口径/早期历史质量问题，因此主分析统一从 2010Q1 开始。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75B5"/>
          <w:sz w:val="27"/>
        </w:rPr>
        <w:t>2.4 节假日特征工程</w:t>
      </w:r>
    </w:p>
    <w:p>
      <w:pPr>
        <w:spacing w:after="80" w:line="341" w:lineRule="auto"/>
        <w:ind w:firstLine="420"/>
      </w:pPr>
      <w:r>
        <w:rPr>
          <w:rFonts w:ascii="Noto Sans CJK SC" w:hAnsi="Noto Sans CJK SC" w:eastAsia="Noto Sans CJK SC"/>
          <w:color w:val="1F2937"/>
          <w:sz w:val="21"/>
        </w:rPr>
        <w:t>春节日期每年在 1 月和 2 月之间移动，固定的 12 月季节项无法自动把这种“移动节日”完全吸收。脚本从随附国务院办公厅通知中校验 2021-2025 年春节区间，并把每个月包含的春节假期天数写入 holiday_features.csv。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24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年份</w:t>
            </w:r>
          </w:p>
        </w:tc>
        <w:tc>
          <w:tcPr>
            <w:tcW w:type="dxa" w:w="340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春节放假区间</w:t>
            </w:r>
          </w:p>
        </w:tc>
        <w:tc>
          <w:tcPr>
            <w:tcW w:type="dxa" w:w="19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1月假期天数</w:t>
            </w:r>
          </w:p>
        </w:tc>
        <w:tc>
          <w:tcPr>
            <w:tcW w:type="dxa" w:w="19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2月假期天数</w:t>
            </w:r>
          </w:p>
        </w:tc>
      </w:tr>
      <w:tr>
        <w:trPr>
          <w:cantSplit/>
        </w:trPr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2021</w:t>
            </w:r>
          </w:p>
        </w:tc>
        <w:tc>
          <w:tcPr>
            <w:tcW w:type="dxa" w:w="34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2月11-17日</w:t>
            </w:r>
          </w:p>
        </w:tc>
        <w:tc>
          <w:tcPr>
            <w:tcW w:type="dxa" w:w="198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0</w:t>
            </w:r>
          </w:p>
        </w:tc>
        <w:tc>
          <w:tcPr>
            <w:tcW w:type="dxa" w:w="198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2022</w:t>
            </w:r>
          </w:p>
        </w:tc>
        <w:tc>
          <w:tcPr>
            <w:tcW w:type="dxa" w:w="3401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1月31日-2月6日</w:t>
            </w:r>
          </w:p>
        </w:tc>
        <w:tc>
          <w:tcPr>
            <w:tcW w:type="dxa" w:w="198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198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2023</w:t>
            </w:r>
          </w:p>
        </w:tc>
        <w:tc>
          <w:tcPr>
            <w:tcW w:type="dxa" w:w="34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1月21-27日</w:t>
            </w:r>
          </w:p>
        </w:tc>
        <w:tc>
          <w:tcPr>
            <w:tcW w:type="dxa" w:w="198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7</w:t>
            </w:r>
          </w:p>
        </w:tc>
        <w:tc>
          <w:tcPr>
            <w:tcW w:type="dxa" w:w="198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2024</w:t>
            </w:r>
          </w:p>
        </w:tc>
        <w:tc>
          <w:tcPr>
            <w:tcW w:type="dxa" w:w="3401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2月10-17日</w:t>
            </w:r>
          </w:p>
        </w:tc>
        <w:tc>
          <w:tcPr>
            <w:tcW w:type="dxa" w:w="198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0</w:t>
            </w:r>
          </w:p>
        </w:tc>
        <w:tc>
          <w:tcPr>
            <w:tcW w:type="dxa" w:w="198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2025</w:t>
            </w:r>
          </w:p>
        </w:tc>
        <w:tc>
          <w:tcPr>
            <w:tcW w:type="dxa" w:w="34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1月28日-2月4日</w:t>
            </w:r>
          </w:p>
        </w:tc>
        <w:tc>
          <w:tcPr>
            <w:tcW w:type="dxa" w:w="198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198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4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60"/>
        <w:pBdr>
          <w:bottom w:val="single" w:sz="12" w:space="4" w:color="2F75B5"/>
        </w:pBdr>
      </w:pPr>
      <w:r>
        <w:rPr>
          <w:rFonts w:ascii="Noto Sans CJK SC" w:hAnsi="Noto Sans CJK SC" w:eastAsia="Noto Sans CJK SC"/>
          <w:b/>
          <w:color w:val="17365D"/>
          <w:sz w:val="34"/>
        </w:rPr>
        <w:t>3. STL 分解算法与参数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75B5"/>
          <w:sz w:val="27"/>
        </w:rPr>
        <w:t>3.1 基本模型</w:t>
      </w:r>
    </w:p>
    <w:p>
      <w:pPr>
        <w:spacing w:after="80" w:line="341" w:lineRule="auto"/>
        <w:ind w:firstLine="420"/>
      </w:pPr>
      <w:r>
        <w:rPr>
          <w:rFonts w:ascii="Noto Sans CJK SC" w:hAnsi="Noto Sans CJK SC" w:eastAsia="Noto Sans CJK SC"/>
          <w:color w:val="1F2937"/>
          <w:sz w:val="21"/>
        </w:rPr>
        <w:t>STL（Seasonal-Trend decomposition using LOESS）将时间序列写成加性形式：</w:t>
      </w:r>
    </w:p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30"/>
        </w:rPr>
        <w:t>yₜ = Tₜ + Sₜ + Rₜ</w:t>
      </w:r>
    </w:p>
    <w:p>
      <w:pPr>
        <w:spacing w:after="80" w:line="341" w:lineRule="auto"/>
        <w:ind w:firstLine="420"/>
      </w:pPr>
      <w:r>
        <w:rPr>
          <w:rFonts w:ascii="Noto Sans CJK SC" w:hAnsi="Noto Sans CJK SC" w:eastAsia="Noto Sans CJK SC"/>
          <w:color w:val="1F2937"/>
          <w:sz w:val="21"/>
        </w:rPr>
        <w:t>其中 Tₜ 为缓慢变化的趋势项，Sₜ 为周期性季节项，Rₜ 为在趋势和季节性之外剩余的扰动。本项目把 Rₜ 视为“异常候选信号”，再交给规则、知识图谱和大模型做证据增强诊断。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75B5"/>
          <w:sz w:val="27"/>
        </w:rPr>
        <w:t>3.2 参数配置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rPr>
          <w:tblHeader w:val="true"/>
        </w:trPr>
        <w:tc>
          <w:tcPr>
            <w:tcW w:type="dxa" w:w="175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序列</w:t>
            </w:r>
          </w:p>
        </w:tc>
        <w:tc>
          <w:tcPr>
            <w:tcW w:type="dxa" w:w="85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period</w:t>
            </w:r>
          </w:p>
        </w:tc>
        <w:tc>
          <w:tcPr>
            <w:tcW w:type="dxa" w:w="102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seasonal</w:t>
            </w:r>
          </w:p>
        </w:tc>
        <w:tc>
          <w:tcPr>
            <w:tcW w:type="dxa" w:w="90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trend</w:t>
            </w:r>
          </w:p>
        </w:tc>
        <w:tc>
          <w:tcPr>
            <w:tcW w:type="dxa" w:w="102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low_pass</w:t>
            </w:r>
          </w:p>
        </w:tc>
        <w:tc>
          <w:tcPr>
            <w:tcW w:type="dxa" w:w="90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robust</w:t>
            </w:r>
          </w:p>
        </w:tc>
        <w:tc>
          <w:tcPr>
            <w:tcW w:type="dxa" w:w="283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解释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月度用电量</w:t>
            </w:r>
          </w:p>
        </w:tc>
        <w:tc>
          <w:tcPr>
            <w:tcW w:type="dxa" w:w="85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12</w:t>
            </w:r>
          </w:p>
        </w:tc>
        <w:tc>
          <w:tcPr>
            <w:tcW w:type="dxa" w:w="10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13</w:t>
            </w:r>
          </w:p>
        </w:tc>
        <w:tc>
          <w:tcPr>
            <w:tcW w:type="dxa" w:w="9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21</w:t>
            </w:r>
          </w:p>
        </w:tc>
        <w:tc>
          <w:tcPr>
            <w:tcW w:type="dxa" w:w="10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13</w:t>
            </w:r>
          </w:p>
        </w:tc>
        <w:tc>
          <w:tcPr>
            <w:tcW w:type="dxa" w:w="9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True</w:t>
            </w:r>
          </w:p>
        </w:tc>
        <w:tc>
          <w:tcPr>
            <w:tcW w:type="dxa" w:w="283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按年季节周期；趋势窗口约21个月</w:t>
            </w:r>
          </w:p>
        </w:tc>
      </w:tr>
      <w:tr>
        <w:trPr>
          <w:cantSplit/>
        </w:trPr>
        <w:tc>
          <w:tcPr>
            <w:tcW w:type="dxa" w:w="175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季度GDP累计同比</w:t>
            </w:r>
          </w:p>
        </w:tc>
        <w:tc>
          <w:tcPr>
            <w:tcW w:type="dxa" w:w="85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02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90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102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90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True</w:t>
            </w:r>
          </w:p>
        </w:tc>
        <w:tc>
          <w:tcPr>
            <w:tcW w:type="dxa" w:w="283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按四季度周期；突出经济冲击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单季GDP对数值</w:t>
            </w:r>
          </w:p>
        </w:tc>
        <w:tc>
          <w:tcPr>
            <w:tcW w:type="dxa" w:w="85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0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9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10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9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True</w:t>
            </w:r>
          </w:p>
        </w:tc>
        <w:tc>
          <w:tcPr>
            <w:tcW w:type="dxa" w:w="283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对数尺度减弱规模效应</w:t>
            </w:r>
          </w:p>
        </w:tc>
      </w:tr>
    </w:tbl>
    <w:p>
      <w:pPr>
        <w:spacing w:after="40"/>
      </w:pPr>
    </w:p>
    <w:p>
      <w:pPr>
        <w:spacing w:after="80" w:line="341" w:lineRule="auto"/>
        <w:ind w:firstLine="420"/>
      </w:pPr>
      <w:r>
        <w:rPr>
          <w:rFonts w:ascii="Noto Sans CJK SC" w:hAnsi="Noto Sans CJK SC" w:eastAsia="Noto Sans CJK SC"/>
          <w:color w:val="1F2937"/>
          <w:sz w:val="21"/>
        </w:rPr>
        <w:t>robust=True 会通过外层迭代降低极端点对趋势和季节估计的影响，适合电力与经济数据中存在突发冲击的场景。seasonal、trend、low_pass 都使用奇数窗口，以满足局部回归平滑的实现要求。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75B5"/>
          <w:sz w:val="27"/>
        </w:rPr>
        <w:t>3.3 趋势/季节强度与异常阈值</w:t>
      </w:r>
    </w:p>
    <w:p>
      <w:pPr>
        <w:spacing w:after="80" w:line="341" w:lineRule="auto"/>
        <w:ind w:firstLine="420"/>
      </w:pPr>
      <w:r>
        <w:rPr>
          <w:rFonts w:ascii="Noto Sans CJK SC" w:hAnsi="Noto Sans CJK SC" w:eastAsia="Noto Sans CJK SC"/>
          <w:color w:val="1F2937"/>
          <w:sz w:val="21"/>
        </w:rPr>
        <w:t>为量化分解是否有效，报告采用常用强度指标：趋势强度 F_T=max(0, 1-Var(R)/Var(T+R))；季节强度 F_S=max(0, 1-Var(R)/Var(S+R))。数值越接近 1，说明该分量越明显。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17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226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残差指标</w:t>
            </w:r>
          </w:p>
        </w:tc>
        <w:tc>
          <w:tcPr>
            <w:tcW w:type="dxa" w:w="17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watch</w:t>
            </w:r>
          </w:p>
        </w:tc>
        <w:tc>
          <w:tcPr>
            <w:tcW w:type="dxa" w:w="17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strong</w:t>
            </w:r>
          </w:p>
        </w:tc>
        <w:tc>
          <w:tcPr>
            <w:tcW w:type="dxa" w:w="181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附加质量标记</w:t>
            </w:r>
          </w:p>
        </w:tc>
      </w:tr>
      <w:tr>
        <w:trPr>
          <w:cantSplit/>
        </w:trPr>
        <w:tc>
          <w:tcPr>
            <w:tcW w:type="dxa" w:w="17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月度用电量</w:t>
            </w:r>
          </w:p>
        </w:tc>
        <w:tc>
          <w:tcPr>
            <w:tcW w:type="dxa" w:w="226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R/T×100%</w:t>
            </w:r>
          </w:p>
        </w:tc>
        <w:tc>
          <w:tcPr>
            <w:tcW w:type="dxa" w:w="17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绝对值6%-10%</w:t>
            </w:r>
          </w:p>
        </w:tc>
        <w:tc>
          <w:tcPr>
            <w:tcW w:type="dxa" w:w="17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绝对值≥10%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首尾6个月 edge_flag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GDP累计同比</w:t>
            </w:r>
          </w:p>
        </w:tc>
        <w:tc>
          <w:tcPr>
            <w:tcW w:type="dxa" w:w="226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R（百分点）</w:t>
            </w:r>
          </w:p>
        </w:tc>
        <w:tc>
          <w:tcPr>
            <w:tcW w:type="dxa" w:w="170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绝对值3-5</w:t>
            </w:r>
          </w:p>
        </w:tc>
        <w:tc>
          <w:tcPr>
            <w:tcW w:type="dxa" w:w="170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绝对值≥5</w:t>
            </w:r>
          </w:p>
        </w:tc>
        <w:tc>
          <w:tcPr>
            <w:tcW w:type="dxa" w:w="181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疫情/低基数标签</w:t>
            </w:r>
          </w:p>
        </w:tc>
      </w:tr>
      <w:tr>
        <w:trPr>
          <w:cantSplit/>
        </w:trPr>
        <w:tc>
          <w:tcPr>
            <w:tcW w:type="dxa" w:w="17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单季GDP</w:t>
            </w:r>
          </w:p>
        </w:tc>
        <w:tc>
          <w:tcPr>
            <w:tcW w:type="dxa" w:w="226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(exp(R)-1)×100%</w:t>
            </w:r>
          </w:p>
        </w:tc>
        <w:tc>
          <w:tcPr>
            <w:tcW w:type="dxa" w:w="17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绝对值5%-10%</w:t>
            </w:r>
          </w:p>
        </w:tc>
        <w:tc>
          <w:tcPr>
            <w:tcW w:type="dxa" w:w="17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绝对值≥10%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Q4核算风险标签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line="317" w:lineRule="auto"/>
            </w:pPr>
            <w:r>
              <w:rPr>
                <w:rFonts w:ascii="Noto Sans CJK SC" w:hAnsi="Noto Sans CJK SC" w:eastAsia="Noto Sans CJK SC"/>
                <w:b/>
                <w:color w:val="7F6000"/>
                <w:sz w:val="21"/>
              </w:rPr>
              <w:t xml:space="preserve">阈值含义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这些阈值用于项目原型的候选筛选，不是统计显著性检验。正式系统应根据历史误报率、地区差异和专家反馈进行校准。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75B5"/>
          <w:sz w:val="27"/>
        </w:rPr>
        <w:t>3.4 核心代码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52" w:lineRule="auto"/>
            </w:pPr>
            <w:r>
              <w:rPr>
                <w:rFonts w:ascii="DejaVu Sans Mono" w:hAnsi="DejaVu Sans Mono" w:eastAsia="DejaVu Sans Mono"/>
                <w:color w:val="24292F"/>
                <w:sz w:val="16"/>
              </w:rPr>
              <w:t># 月度用电量：加性 robust STL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6"/>
              </w:rPr>
              <w:t>result = STL(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6"/>
              </w:rPr>
              <w:t xml:space="preserve">    values,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6"/>
              </w:rPr>
              <w:t xml:space="preserve">    period=12,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6"/>
              </w:rPr>
              <w:t xml:space="preserve">    seasonal=13,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6"/>
              </w:rPr>
              <w:t xml:space="preserve">    trend=21,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6"/>
              </w:rPr>
              <w:t xml:space="preserve">    low_pass=13,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6"/>
              </w:rPr>
              <w:t xml:space="preserve">    robust=True,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6"/>
              </w:rPr>
              <w:t>).fit()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6"/>
              </w:rPr>
              <w:t>expected = result.trend + result.seasonal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6"/>
              </w:rPr>
              <w:t>residual_pct = result.resid / result.trend * 100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6"/>
              </w:rPr>
              <w:t>severity = classify(residual_pct)</w:t>
            </w:r>
          </w:p>
        </w:tc>
      </w:tr>
    </w:tbl>
    <w:p>
      <w:pPr>
        <w:spacing w:after="20"/>
      </w:pPr>
    </w:p>
    <w:p>
      <w:pPr>
        <w:spacing w:after="80" w:line="341" w:lineRule="auto"/>
        <w:ind w:firstLine="420"/>
      </w:pPr>
      <w:r>
        <w:rPr>
          <w:rFonts w:ascii="Noto Sans CJK SC" w:hAnsi="Noto Sans CJK SC" w:eastAsia="Noto Sans CJK SC"/>
          <w:color w:val="1F2937"/>
          <w:sz w:val="21"/>
        </w:rPr>
        <w:t>完整可执行代码见完整包中的 run_stl_analysis.py。脚本直接解析 XLSX/DOCX 的 OOXML，不依赖手工复制粘贴；输入原始 ZIP 后会自动生成所有 CSV、JSON、图表与运行日志。</w:t>
      </w:r>
    </w:p>
    <w:p>
      <w:pPr>
        <w:pStyle w:val="Heading1"/>
        <w:keepNext/>
        <w:spacing w:before="240" w:after="160"/>
        <w:pBdr>
          <w:bottom w:val="single" w:sz="12" w:space="4" w:color="2F75B5"/>
        </w:pBdr>
      </w:pPr>
      <w:r>
        <w:rPr>
          <w:rFonts w:ascii="Noto Sans CJK SC" w:hAnsi="Noto Sans CJK SC" w:eastAsia="Noto Sans CJK SC"/>
          <w:b/>
          <w:color w:val="17365D"/>
          <w:sz w:val="34"/>
        </w:rPr>
        <w:t>4. 浙江省月度用电量 STL 结果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75B5"/>
          <w:sz w:val="27"/>
        </w:rPr>
        <w:t>4.1 长期趋势</w:t>
      </w:r>
    </w:p>
    <w:p>
      <w:pPr>
        <w:spacing w:after="80" w:line="341" w:lineRule="auto"/>
        <w:ind w:firstLine="420"/>
      </w:pPr>
      <w:r>
        <w:rPr>
          <w:rFonts w:ascii="Noto Sans CJK SC" w:hAnsi="Noto Sans CJK SC" w:eastAsia="Noto Sans CJK SC"/>
          <w:color w:val="1F2937"/>
          <w:sz w:val="21"/>
        </w:rPr>
        <w:t>样本覆盖 2021-01 至 2025-03，共 51 个月。STL 趋势由 452.63 亿千瓦时/月升至 587.43 亿千瓦时/月，累计增长 29.78%，按 50 个月间隔折算年化约 6.46%。趋势强度为 0.681，说明中长期上升趋势清晰，但仍存在较强的季节和短期扰动。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837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浙江月度用电量_观测值与趋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37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图1  浙江省月度全社会用电量观测值与 STL 趋势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年份</w:t>
            </w:r>
          </w:p>
        </w:tc>
        <w:tc>
          <w:tcPr>
            <w:tcW w:type="dxa" w:w="39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由月度数据汇总（亿千瓦时）</w:t>
            </w:r>
          </w:p>
        </w:tc>
        <w:tc>
          <w:tcPr>
            <w:tcW w:type="dxa" w:w="283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同比</w:t>
            </w:r>
          </w:p>
        </w:tc>
      </w:tr>
      <w:tr>
        <w:trPr>
          <w:cantSplit/>
        </w:trPr>
        <w:tc>
          <w:tcPr>
            <w:tcW w:type="dxa" w:w="17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2021</w:t>
            </w:r>
          </w:p>
        </w:tc>
        <w:tc>
          <w:tcPr>
            <w:tcW w:type="dxa" w:w="39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5514.11</w:t>
            </w:r>
          </w:p>
        </w:tc>
        <w:tc>
          <w:tcPr>
            <w:tcW w:type="dxa" w:w="283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2022</w:t>
            </w:r>
          </w:p>
        </w:tc>
        <w:tc>
          <w:tcPr>
            <w:tcW w:type="dxa" w:w="3968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5799.35</w:t>
            </w:r>
          </w:p>
        </w:tc>
        <w:tc>
          <w:tcPr>
            <w:tcW w:type="dxa" w:w="283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5.17%</w:t>
            </w:r>
          </w:p>
        </w:tc>
      </w:tr>
      <w:tr>
        <w:trPr>
          <w:cantSplit/>
        </w:trPr>
        <w:tc>
          <w:tcPr>
            <w:tcW w:type="dxa" w:w="17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2023</w:t>
            </w:r>
          </w:p>
        </w:tc>
        <w:tc>
          <w:tcPr>
            <w:tcW w:type="dxa" w:w="39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6192.00</w:t>
            </w:r>
          </w:p>
        </w:tc>
        <w:tc>
          <w:tcPr>
            <w:tcW w:type="dxa" w:w="283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6.77%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2024</w:t>
            </w:r>
          </w:p>
        </w:tc>
        <w:tc>
          <w:tcPr>
            <w:tcW w:type="dxa" w:w="3968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6780.85</w:t>
            </w:r>
          </w:p>
        </w:tc>
        <w:tc>
          <w:tcPr>
            <w:tcW w:type="dxa" w:w="283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9.51%</w:t>
            </w:r>
          </w:p>
        </w:tc>
      </w:tr>
      <w:tr>
        <w:trPr>
          <w:cantSplit/>
        </w:trPr>
        <w:tc>
          <w:tcPr>
            <w:tcW w:type="dxa" w:w="17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2025Q1</w:t>
            </w:r>
          </w:p>
        </w:tc>
        <w:tc>
          <w:tcPr>
            <w:tcW w:type="dxa" w:w="39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1527.16</w:t>
            </w:r>
          </w:p>
        </w:tc>
        <w:tc>
          <w:tcPr>
            <w:tcW w:type="dxa" w:w="283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不完整年度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1981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浙江年度用电量汇总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98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图2  由月度数据汇总的浙江省年度全社会用电量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75B5"/>
          <w:sz w:val="27"/>
        </w:rPr>
        <w:t>4.2 季节规律</w:t>
      </w:r>
    </w:p>
    <w:p>
      <w:pPr>
        <w:spacing w:after="80" w:line="341" w:lineRule="auto"/>
        <w:ind w:firstLine="420"/>
      </w:pPr>
      <w:r>
        <w:rPr>
          <w:rFonts w:ascii="Noto Sans CJK SC" w:hAnsi="Noto Sans CJK SC" w:eastAsia="Noto Sans CJK SC"/>
          <w:color w:val="1F2937"/>
          <w:sz w:val="21"/>
        </w:rPr>
        <w:t>季节强度为 0.854，高于趋势强度，说明月度用电量具有非常显著的年内季节模式。7-9 月为正季节项，其中 8 月平均比趋势水平高 134.05 亿千瓦时；2 月平均低 109.44 亿千瓦时。该模式与夏季制冷负荷、工业生产节奏和春节停复工共同相关，但 STL 本身不能区分这些原因。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41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月份</w:t>
            </w:r>
          </w:p>
        </w:tc>
        <w:tc>
          <w:tcPr>
            <w:tcW w:type="dxa" w:w="283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平均季节项（亿千瓦时）</w:t>
            </w:r>
          </w:p>
        </w:tc>
        <w:tc>
          <w:tcPr>
            <w:tcW w:type="dxa" w:w="425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解释提示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1月</w:t>
            </w:r>
          </w:p>
        </w:tc>
        <w:tc>
          <w:tcPr>
            <w:tcW w:type="dxa" w:w="283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-61.46</w:t>
            </w:r>
          </w:p>
        </w:tc>
        <w:tc>
          <w:tcPr>
            <w:tcW w:type="dxa" w:w="425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受春节落点跨年移动影响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2月</w:t>
            </w:r>
          </w:p>
        </w:tc>
        <w:tc>
          <w:tcPr>
            <w:tcW w:type="dxa" w:w="283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-109.44</w:t>
            </w:r>
          </w:p>
        </w:tc>
        <w:tc>
          <w:tcPr>
            <w:tcW w:type="dxa" w:w="4251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春节与工作日减少叠加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3月</w:t>
            </w:r>
          </w:p>
        </w:tc>
        <w:tc>
          <w:tcPr>
            <w:tcW w:type="dxa" w:w="283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-7.28</w:t>
            </w:r>
          </w:p>
        </w:tc>
        <w:tc>
          <w:tcPr>
            <w:tcW w:type="dxa" w:w="425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常规季节项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4月</w:t>
            </w:r>
          </w:p>
        </w:tc>
        <w:tc>
          <w:tcPr>
            <w:tcW w:type="dxa" w:w="283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-37.62</w:t>
            </w:r>
          </w:p>
        </w:tc>
        <w:tc>
          <w:tcPr>
            <w:tcW w:type="dxa" w:w="4251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常规季节项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5月</w:t>
            </w:r>
          </w:p>
        </w:tc>
        <w:tc>
          <w:tcPr>
            <w:tcW w:type="dxa" w:w="283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-21.91</w:t>
            </w:r>
          </w:p>
        </w:tc>
        <w:tc>
          <w:tcPr>
            <w:tcW w:type="dxa" w:w="425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常规季节项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6月</w:t>
            </w:r>
          </w:p>
        </w:tc>
        <w:tc>
          <w:tcPr>
            <w:tcW w:type="dxa" w:w="283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-4.99</w:t>
            </w:r>
          </w:p>
        </w:tc>
        <w:tc>
          <w:tcPr>
            <w:tcW w:type="dxa" w:w="4251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常规季节项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7月</w:t>
            </w:r>
          </w:p>
        </w:tc>
        <w:tc>
          <w:tcPr>
            <w:tcW w:type="dxa" w:w="283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+125.23</w:t>
            </w:r>
          </w:p>
        </w:tc>
        <w:tc>
          <w:tcPr>
            <w:tcW w:type="dxa" w:w="425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夏季高峰，优先联接温度/CDD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8月</w:t>
            </w:r>
          </w:p>
        </w:tc>
        <w:tc>
          <w:tcPr>
            <w:tcW w:type="dxa" w:w="283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+134.05</w:t>
            </w:r>
          </w:p>
        </w:tc>
        <w:tc>
          <w:tcPr>
            <w:tcW w:type="dxa" w:w="4251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夏季高峰，优先联接温度/CDD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9月</w:t>
            </w:r>
          </w:p>
        </w:tc>
        <w:tc>
          <w:tcPr>
            <w:tcW w:type="dxa" w:w="283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+55.79</w:t>
            </w:r>
          </w:p>
        </w:tc>
        <w:tc>
          <w:tcPr>
            <w:tcW w:type="dxa" w:w="425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高温尾段/工业生产节奏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10月</w:t>
            </w:r>
          </w:p>
        </w:tc>
        <w:tc>
          <w:tcPr>
            <w:tcW w:type="dxa" w:w="283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-38.03</w:t>
            </w:r>
          </w:p>
        </w:tc>
        <w:tc>
          <w:tcPr>
            <w:tcW w:type="dxa" w:w="4251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常规季节项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11月</w:t>
            </w:r>
          </w:p>
        </w:tc>
        <w:tc>
          <w:tcPr>
            <w:tcW w:type="dxa" w:w="283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-40.78</w:t>
            </w:r>
          </w:p>
        </w:tc>
        <w:tc>
          <w:tcPr>
            <w:tcW w:type="dxa" w:w="425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常规季节项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12月</w:t>
            </w:r>
          </w:p>
        </w:tc>
        <w:tc>
          <w:tcPr>
            <w:tcW w:type="dxa" w:w="283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+15.48</w:t>
            </w:r>
          </w:p>
        </w:tc>
        <w:tc>
          <w:tcPr>
            <w:tcW w:type="dxa" w:w="4251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常规季节项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2003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浙江月度平均季节项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00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图3  月度平均季节项：7-8月高、2月低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75B5"/>
          <w:sz w:val="27"/>
        </w:rPr>
        <w:t>4.3 异常候选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rPr>
          <w:tblHeader w:val="true"/>
        </w:trPr>
        <w:tc>
          <w:tcPr>
            <w:tcW w:type="dxa" w:w="1133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月份</w:t>
            </w:r>
          </w:p>
        </w:tc>
        <w:tc>
          <w:tcPr>
            <w:tcW w:type="dxa" w:w="1303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实际值</w:t>
            </w:r>
          </w:p>
        </w:tc>
        <w:tc>
          <w:tcPr>
            <w:tcW w:type="dxa" w:w="124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残差率</w:t>
            </w:r>
          </w:p>
        </w:tc>
        <w:tc>
          <w:tcPr>
            <w:tcW w:type="dxa" w:w="793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等级</w:t>
            </w:r>
          </w:p>
        </w:tc>
        <w:tc>
          <w:tcPr>
            <w:tcW w:type="dxa" w:w="963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春节天数</w:t>
            </w:r>
          </w:p>
        </w:tc>
        <w:tc>
          <w:tcPr>
            <w:tcW w:type="dxa" w:w="351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诊断约束/候选解释</w:t>
            </w:r>
          </w:p>
        </w:tc>
      </w:tr>
      <w:tr>
        <w:trPr>
          <w:cantSplit/>
        </w:trPr>
        <w:tc>
          <w:tcPr>
            <w:tcW w:type="dxa" w:w="11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2021-01</w:t>
            </w:r>
          </w:p>
        </w:tc>
        <w:tc>
          <w:tcPr>
            <w:tcW w:type="dxa" w:w="13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465.60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+8.83%</w:t>
            </w:r>
          </w:p>
        </w:tc>
        <w:tc>
          <w:tcPr>
            <w:tcW w:type="dxa" w:w="79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关注</w:t>
            </w:r>
          </w:p>
        </w:tc>
        <w:tc>
          <w:tcPr>
            <w:tcW w:type="dxa" w:w="96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0</w:t>
            </w:r>
          </w:p>
        </w:tc>
        <w:tc>
          <w:tcPr>
            <w:tcW w:type="dxa" w:w="351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样本边界，趋势与残差估计不稳定，需降权</w:t>
            </w:r>
          </w:p>
        </w:tc>
      </w:tr>
      <w:tr>
        <w:trPr>
          <w:cantSplit/>
        </w:trPr>
        <w:tc>
          <w:tcPr>
            <w:tcW w:type="dxa" w:w="113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2021-02</w:t>
            </w:r>
          </w:p>
        </w:tc>
        <w:tc>
          <w:tcPr>
            <w:tcW w:type="dxa" w:w="130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256.10</w:t>
            </w:r>
          </w:p>
        </w:tc>
        <w:tc>
          <w:tcPr>
            <w:tcW w:type="dxa" w:w="124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-22.83%</w:t>
            </w:r>
          </w:p>
        </w:tc>
        <w:tc>
          <w:tcPr>
            <w:tcW w:type="dxa" w:w="79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强</w:t>
            </w:r>
          </w:p>
        </w:tc>
        <w:tc>
          <w:tcPr>
            <w:tcW w:type="dxa" w:w="96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7</w:t>
            </w:r>
          </w:p>
        </w:tc>
        <w:tc>
          <w:tcPr>
            <w:tcW w:type="dxa" w:w="351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春节落在当月（7天），优先判为日历效应；边界期需降权</w:t>
            </w:r>
          </w:p>
        </w:tc>
      </w:tr>
      <w:tr>
        <w:trPr>
          <w:cantSplit/>
        </w:trPr>
        <w:tc>
          <w:tcPr>
            <w:tcW w:type="dxa" w:w="11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2022-05</w:t>
            </w:r>
          </w:p>
        </w:tc>
        <w:tc>
          <w:tcPr>
            <w:tcW w:type="dxa" w:w="13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438.44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-6.14%</w:t>
            </w:r>
          </w:p>
        </w:tc>
        <w:tc>
          <w:tcPr>
            <w:tcW w:type="dxa" w:w="79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关注</w:t>
            </w:r>
          </w:p>
        </w:tc>
        <w:tc>
          <w:tcPr>
            <w:tcW w:type="dxa" w:w="96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0</w:t>
            </w:r>
          </w:p>
        </w:tc>
        <w:tc>
          <w:tcPr>
            <w:tcW w:type="dxa" w:w="351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需联接天气、行业用电、工业增加值和政策事件进行原因复核</w:t>
            </w:r>
          </w:p>
        </w:tc>
      </w:tr>
      <w:tr>
        <w:trPr>
          <w:cantSplit/>
        </w:trPr>
        <w:tc>
          <w:tcPr>
            <w:tcW w:type="dxa" w:w="113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2022-09</w:t>
            </w:r>
          </w:p>
        </w:tc>
        <w:tc>
          <w:tcPr>
            <w:tcW w:type="dxa" w:w="130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483.31</w:t>
            </w:r>
          </w:p>
        </w:tc>
        <w:tc>
          <w:tcPr>
            <w:tcW w:type="dxa" w:w="124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-13.00%</w:t>
            </w:r>
          </w:p>
        </w:tc>
        <w:tc>
          <w:tcPr>
            <w:tcW w:type="dxa" w:w="79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强</w:t>
            </w:r>
          </w:p>
        </w:tc>
        <w:tc>
          <w:tcPr>
            <w:tcW w:type="dxa" w:w="96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0</w:t>
            </w:r>
          </w:p>
        </w:tc>
        <w:tc>
          <w:tcPr>
            <w:tcW w:type="dxa" w:w="351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需联接高温日数、制冷度日、工业行业用电及限电/政策事件</w:t>
            </w:r>
          </w:p>
        </w:tc>
      </w:tr>
      <w:tr>
        <w:trPr>
          <w:cantSplit/>
        </w:trPr>
        <w:tc>
          <w:tcPr>
            <w:tcW w:type="dxa" w:w="11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2023-01</w:t>
            </w:r>
          </w:p>
        </w:tc>
        <w:tc>
          <w:tcPr>
            <w:tcW w:type="dxa" w:w="13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341.15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-20.43%</w:t>
            </w:r>
          </w:p>
        </w:tc>
        <w:tc>
          <w:tcPr>
            <w:tcW w:type="dxa" w:w="79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强</w:t>
            </w:r>
          </w:p>
        </w:tc>
        <w:tc>
          <w:tcPr>
            <w:tcW w:type="dxa" w:w="96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7</w:t>
            </w:r>
          </w:p>
        </w:tc>
        <w:tc>
          <w:tcPr>
            <w:tcW w:type="dxa" w:w="351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春节落在当月（7天），优先判为日历效应；需与工业/天气复核</w:t>
            </w:r>
          </w:p>
        </w:tc>
      </w:tr>
      <w:tr>
        <w:trPr>
          <w:cantSplit/>
        </w:trPr>
        <w:tc>
          <w:tcPr>
            <w:tcW w:type="dxa" w:w="113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2023-02</w:t>
            </w:r>
          </w:p>
        </w:tc>
        <w:tc>
          <w:tcPr>
            <w:tcW w:type="dxa" w:w="130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442.30</w:t>
            </w:r>
          </w:p>
        </w:tc>
        <w:tc>
          <w:tcPr>
            <w:tcW w:type="dxa" w:w="124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+8.48%</w:t>
            </w:r>
          </w:p>
        </w:tc>
        <w:tc>
          <w:tcPr>
            <w:tcW w:type="dxa" w:w="79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关注</w:t>
            </w:r>
          </w:p>
        </w:tc>
        <w:tc>
          <w:tcPr>
            <w:tcW w:type="dxa" w:w="96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0</w:t>
            </w:r>
          </w:p>
        </w:tc>
        <w:tc>
          <w:tcPr>
            <w:tcW w:type="dxa" w:w="351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春节已前移到1月，2月出现节后恢复/工作日回补特征</w:t>
            </w:r>
          </w:p>
        </w:tc>
      </w:tr>
      <w:tr>
        <w:trPr>
          <w:cantSplit/>
        </w:trPr>
        <w:tc>
          <w:tcPr>
            <w:tcW w:type="dxa" w:w="11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2023-08</w:t>
            </w:r>
          </w:p>
        </w:tc>
        <w:tc>
          <w:tcPr>
            <w:tcW w:type="dxa" w:w="13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635.74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-7.28%</w:t>
            </w:r>
          </w:p>
        </w:tc>
        <w:tc>
          <w:tcPr>
            <w:tcW w:type="dxa" w:w="79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关注</w:t>
            </w:r>
          </w:p>
        </w:tc>
        <w:tc>
          <w:tcPr>
            <w:tcW w:type="dxa" w:w="96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0</w:t>
            </w:r>
          </w:p>
        </w:tc>
        <w:tc>
          <w:tcPr>
            <w:tcW w:type="dxa" w:w="351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需联接高温日数、制冷度日、工业行业用电及限电/政策事件</w:t>
            </w:r>
          </w:p>
        </w:tc>
      </w:tr>
      <w:tr>
        <w:trPr>
          <w:cantSplit/>
        </w:trPr>
        <w:tc>
          <w:tcPr>
            <w:tcW w:type="dxa" w:w="113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2023-09</w:t>
            </w:r>
          </w:p>
        </w:tc>
        <w:tc>
          <w:tcPr>
            <w:tcW w:type="dxa" w:w="130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557.71</w:t>
            </w:r>
          </w:p>
        </w:tc>
        <w:tc>
          <w:tcPr>
            <w:tcW w:type="dxa" w:w="124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-6.17%</w:t>
            </w:r>
          </w:p>
        </w:tc>
        <w:tc>
          <w:tcPr>
            <w:tcW w:type="dxa" w:w="79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关注</w:t>
            </w:r>
          </w:p>
        </w:tc>
        <w:tc>
          <w:tcPr>
            <w:tcW w:type="dxa" w:w="96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0</w:t>
            </w:r>
          </w:p>
        </w:tc>
        <w:tc>
          <w:tcPr>
            <w:tcW w:type="dxa" w:w="351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需联接高温日数、制冷度日、工业行业用电及限电/政策事件</w:t>
            </w:r>
          </w:p>
        </w:tc>
      </w:tr>
      <w:tr>
        <w:trPr>
          <w:cantSplit/>
        </w:trPr>
        <w:tc>
          <w:tcPr>
            <w:tcW w:type="dxa" w:w="11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2024-01</w:t>
            </w:r>
          </w:p>
        </w:tc>
        <w:tc>
          <w:tcPr>
            <w:tcW w:type="dxa" w:w="130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551.65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+15.58%</w:t>
            </w:r>
          </w:p>
        </w:tc>
        <w:tc>
          <w:tcPr>
            <w:tcW w:type="dxa" w:w="79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强</w:t>
            </w:r>
          </w:p>
        </w:tc>
        <w:tc>
          <w:tcPr>
            <w:tcW w:type="dxa" w:w="96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0</w:t>
            </w:r>
          </w:p>
        </w:tc>
        <w:tc>
          <w:tcPr>
            <w:tcW w:type="dxa" w:w="351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春节后移到2月，1月正常生产日较多；不宜直接解释为结构性繁荣</w:t>
            </w:r>
          </w:p>
        </w:tc>
      </w:tr>
      <w:tr>
        <w:trPr>
          <w:cantSplit/>
        </w:trPr>
        <w:tc>
          <w:tcPr>
            <w:tcW w:type="dxa" w:w="113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2024-02</w:t>
            </w:r>
          </w:p>
        </w:tc>
        <w:tc>
          <w:tcPr>
            <w:tcW w:type="dxa" w:w="130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354.78</w:t>
            </w:r>
          </w:p>
        </w:tc>
        <w:tc>
          <w:tcPr>
            <w:tcW w:type="dxa" w:w="124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-14.09%</w:t>
            </w:r>
          </w:p>
        </w:tc>
        <w:tc>
          <w:tcPr>
            <w:tcW w:type="dxa" w:w="79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强</w:t>
            </w:r>
          </w:p>
        </w:tc>
        <w:tc>
          <w:tcPr>
            <w:tcW w:type="dxa" w:w="96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8</w:t>
            </w:r>
          </w:p>
        </w:tc>
        <w:tc>
          <w:tcPr>
            <w:tcW w:type="dxa" w:w="351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春节落在当月（8天），优先判为日历效应；需与工业/天气复核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8407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浙江月度用电量_残差率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4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图4  月度用电量 STL 残差率与异常候选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line="317" w:lineRule="auto"/>
            </w:pPr>
            <w:r>
              <w:rPr>
                <w:rFonts w:ascii="Noto Sans CJK SC" w:hAnsi="Noto Sans CJK SC" w:eastAsia="Noto Sans CJK SC"/>
                <w:b/>
                <w:color w:val="7F6000"/>
                <w:sz w:val="21"/>
              </w:rPr>
              <w:t xml:space="preserve">最重要的发现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2021-02、2023-01、2024-02 的大幅负残差与春节所在月份高度对应；2024-01 的大幅正残差则与春节后移到2月一致。这说明“移动节假日规则”不是附加项，而是避免大模型误判的必要约束。</w:t>
            </w:r>
          </w:p>
        </w:tc>
      </w:tr>
    </w:tbl>
    <w:p>
      <w:pPr>
        <w:spacing w:after="20"/>
      </w:pPr>
    </w:p>
    <w:p>
      <w:pPr>
        <w:spacing w:after="80" w:line="341" w:lineRule="auto"/>
        <w:ind w:firstLine="420"/>
      </w:pPr>
      <w:r>
        <w:rPr>
          <w:rFonts w:ascii="Noto Sans CJK SC" w:hAnsi="Noto Sans CJK SC" w:eastAsia="Noto Sans CJK SC"/>
          <w:color w:val="1F2937"/>
          <w:sz w:val="21"/>
        </w:rPr>
        <w:t>2022-09 的残差率为 -13.00%，不在春节窗口内，是本轮最值得继续补证的数据点。下一步应联接浙江省月均气温、高温日数、制冷度日、分行业用电、规上工业增加值、重点行业开工率，以及当月限电、电价或政策事件。只有证据一致时，才可进一步归因为天气、工业需求或政策冲击。</w:t>
      </w:r>
    </w:p>
    <w:p>
      <w:pPr>
        <w:pStyle w:val="Heading1"/>
        <w:keepNext/>
        <w:spacing w:before="240" w:after="160"/>
        <w:pBdr>
          <w:bottom w:val="single" w:sz="12" w:space="4" w:color="2F75B5"/>
        </w:pBdr>
      </w:pPr>
      <w:r>
        <w:rPr>
          <w:rFonts w:ascii="Noto Sans CJK SC" w:hAnsi="Noto Sans CJK SC" w:eastAsia="Noto Sans CJK SC"/>
          <w:b/>
          <w:color w:val="17365D"/>
          <w:sz w:val="34"/>
        </w:rPr>
        <w:t>5. 浙江省三次产业季度 GDP STL 结果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75B5"/>
          <w:sz w:val="27"/>
        </w:rPr>
        <w:t>5.1 为什么以累计同比增速作为主分析对象</w:t>
      </w:r>
    </w:p>
    <w:p>
      <w:pPr>
        <w:spacing w:after="80" w:line="341" w:lineRule="auto"/>
        <w:ind w:firstLine="420"/>
      </w:pPr>
      <w:r>
        <w:rPr>
          <w:rFonts w:ascii="Noto Sans CJK SC" w:hAnsi="Noto Sans CJK SC" w:eastAsia="Noto Sans CJK SC"/>
          <w:color w:val="1F2937"/>
          <w:sz w:val="21"/>
        </w:rPr>
        <w:t>累计同比增速是官方季度经济发布中的核心景气指标，能够避免累计值规模随年份上升造成的异方差。虽然同比口径也存在基数效应，但这恰好可以通过异常标签和外部规则识别。相比之下，累计增加值做差得到的单季值容易把年度核算差额集中到 Q4，因此只作为辅助质量检查。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75B5"/>
          <w:sz w:val="27"/>
        </w:rPr>
        <w:t>5.2 分产业结果概览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rPr>
          <w:tblHeader w:val="true"/>
        </w:trPr>
        <w:tc>
          <w:tcPr>
            <w:tcW w:type="dxa" w:w="141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产业</w:t>
            </w:r>
          </w:p>
        </w:tc>
        <w:tc>
          <w:tcPr>
            <w:tcW w:type="dxa" w:w="85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季度数</w:t>
            </w:r>
          </w:p>
        </w:tc>
        <w:tc>
          <w:tcPr>
            <w:tcW w:type="dxa" w:w="14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同比趋势强度</w:t>
            </w:r>
          </w:p>
        </w:tc>
        <w:tc>
          <w:tcPr>
            <w:tcW w:type="dxa" w:w="14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同比季节强度</w:t>
            </w:r>
          </w:p>
        </w:tc>
        <w:tc>
          <w:tcPr>
            <w:tcW w:type="dxa" w:w="85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strong</w:t>
            </w:r>
          </w:p>
        </w:tc>
        <w:tc>
          <w:tcPr>
            <w:tcW w:type="dxa" w:w="85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watch</w:t>
            </w:r>
          </w:p>
        </w:tc>
        <w:tc>
          <w:tcPr>
            <w:tcW w:type="dxa" w:w="226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第一产业</w:t>
            </w:r>
          </w:p>
        </w:tc>
        <w:tc>
          <w:tcPr>
            <w:tcW w:type="dxa" w:w="85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64</w:t>
            </w:r>
          </w:p>
        </w:tc>
        <w:tc>
          <w:tcPr>
            <w:tcW w:type="dxa" w:w="147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0.789</w:t>
            </w:r>
          </w:p>
        </w:tc>
        <w:tc>
          <w:tcPr>
            <w:tcW w:type="dxa" w:w="147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0.244</w:t>
            </w:r>
          </w:p>
        </w:tc>
        <w:tc>
          <w:tcPr>
            <w:tcW w:type="dxa" w:w="85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0</w:t>
            </w:r>
          </w:p>
        </w:tc>
        <w:tc>
          <w:tcPr>
            <w:tcW w:type="dxa" w:w="85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0</w:t>
            </w:r>
          </w:p>
        </w:tc>
        <w:tc>
          <w:tcPr>
            <w:tcW w:type="dxa" w:w="226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波动较小，未越过阈值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第二产业</w:t>
            </w:r>
          </w:p>
        </w:tc>
        <w:tc>
          <w:tcPr>
            <w:tcW w:type="dxa" w:w="85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64</w:t>
            </w:r>
          </w:p>
        </w:tc>
        <w:tc>
          <w:tcPr>
            <w:tcW w:type="dxa" w:w="147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0.223</w:t>
            </w:r>
          </w:p>
        </w:tc>
        <w:tc>
          <w:tcPr>
            <w:tcW w:type="dxa" w:w="147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0.000</w:t>
            </w:r>
          </w:p>
        </w:tc>
        <w:tc>
          <w:tcPr>
            <w:tcW w:type="dxa" w:w="85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85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226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对疫情与复苏最敏感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第三产业</w:t>
            </w:r>
          </w:p>
        </w:tc>
        <w:tc>
          <w:tcPr>
            <w:tcW w:type="dxa" w:w="85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64</w:t>
            </w:r>
          </w:p>
        </w:tc>
        <w:tc>
          <w:tcPr>
            <w:tcW w:type="dxa" w:w="147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0.488</w:t>
            </w:r>
          </w:p>
        </w:tc>
        <w:tc>
          <w:tcPr>
            <w:tcW w:type="dxa" w:w="147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0.000</w:t>
            </w:r>
          </w:p>
        </w:tc>
        <w:tc>
          <w:tcPr>
            <w:tcW w:type="dxa" w:w="85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85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226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服务业冲击与恢复显著</w:t>
            </w:r>
          </w:p>
        </w:tc>
      </w:tr>
    </w:tbl>
    <w:p>
      <w:pPr>
        <w:spacing w:after="40"/>
      </w:pPr>
    </w:p>
    <w:p>
      <w:pPr>
        <w:spacing w:after="80" w:line="341" w:lineRule="auto"/>
        <w:ind w:firstLine="420"/>
      </w:pPr>
      <w:r>
        <w:rPr>
          <w:rFonts w:ascii="Noto Sans CJK SC" w:hAnsi="Noto Sans CJK SC" w:eastAsia="Noto Sans CJK SC"/>
          <w:color w:val="1F2937"/>
          <w:sz w:val="21"/>
        </w:rPr>
        <w:t>第二、第三产业累计同比序列的固定季节强度接近 0，并不表示没有季度差异，而是同比口径已经消除了大部分常规季节性；其主要信息集中在趋势变化和突发残差。第一产业的趋势强度更高、异常更少，说明其同比变化相对平滑。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rPr>
          <w:tblHeader w:val="true"/>
        </w:trPr>
        <w:tc>
          <w:tcPr>
            <w:tcW w:type="dxa" w:w="124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产业</w:t>
            </w:r>
          </w:p>
        </w:tc>
        <w:tc>
          <w:tcPr>
            <w:tcW w:type="dxa" w:w="1133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季度</w:t>
            </w:r>
          </w:p>
        </w:tc>
        <w:tc>
          <w:tcPr>
            <w:tcW w:type="dxa" w:w="124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实际同比</w:t>
            </w:r>
          </w:p>
        </w:tc>
        <w:tc>
          <w:tcPr>
            <w:tcW w:type="dxa" w:w="141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残差（百分点）</w:t>
            </w:r>
          </w:p>
        </w:tc>
        <w:tc>
          <w:tcPr>
            <w:tcW w:type="dxa" w:w="85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等级</w:t>
            </w:r>
          </w:p>
        </w:tc>
        <w:tc>
          <w:tcPr>
            <w:tcW w:type="dxa" w:w="340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解释约束</w:t>
            </w:r>
          </w:p>
        </w:tc>
      </w:tr>
      <w:tr>
        <w:trPr>
          <w:cantSplit/>
        </w:trPr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第三产业</w:t>
            </w:r>
          </w:p>
        </w:tc>
        <w:tc>
          <w:tcPr>
            <w:tcW w:type="dxa" w:w="11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2020Q1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-1.5%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-8.45</w:t>
            </w:r>
          </w:p>
        </w:tc>
        <w:tc>
          <w:tcPr>
            <w:tcW w:type="dxa" w:w="85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强</w:t>
            </w:r>
          </w:p>
        </w:tc>
        <w:tc>
          <w:tcPr>
            <w:tcW w:type="dxa" w:w="34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与疫情初期停工停产时段重合，外部冲击解释优先级高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第三产业</w:t>
            </w:r>
          </w:p>
        </w:tc>
        <w:tc>
          <w:tcPr>
            <w:tcW w:type="dxa" w:w="113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2021Q1</w:t>
            </w:r>
          </w:p>
        </w:tc>
        <w:tc>
          <w:tcPr>
            <w:tcW w:type="dxa" w:w="124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15.4%</w:t>
            </w:r>
          </w:p>
        </w:tc>
        <w:tc>
          <w:tcPr>
            <w:tcW w:type="dxa" w:w="141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+8.74</w:t>
            </w:r>
          </w:p>
        </w:tc>
        <w:tc>
          <w:tcPr>
            <w:tcW w:type="dxa" w:w="85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强</w:t>
            </w:r>
          </w:p>
        </w:tc>
        <w:tc>
          <w:tcPr>
            <w:tcW w:type="dxa" w:w="3401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疫情后复苏叠加2020年同期低基数，不能等同于长期趋势跃升</w:t>
            </w:r>
          </w:p>
        </w:tc>
      </w:tr>
      <w:tr>
        <w:trPr>
          <w:cantSplit/>
        </w:trPr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第三产业</w:t>
            </w:r>
          </w:p>
        </w:tc>
        <w:tc>
          <w:tcPr>
            <w:tcW w:type="dxa" w:w="11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2021Q2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11.5%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+7.52</w:t>
            </w:r>
          </w:p>
        </w:tc>
        <w:tc>
          <w:tcPr>
            <w:tcW w:type="dxa" w:w="85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强</w:t>
            </w:r>
          </w:p>
        </w:tc>
        <w:tc>
          <w:tcPr>
            <w:tcW w:type="dxa" w:w="34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疫情后复苏叠加2020年同期低基数，不能等同于长期趋势跃升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第三产业</w:t>
            </w:r>
          </w:p>
        </w:tc>
        <w:tc>
          <w:tcPr>
            <w:tcW w:type="dxa" w:w="113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2022Q1</w:t>
            </w:r>
          </w:p>
        </w:tc>
        <w:tc>
          <w:tcPr>
            <w:tcW w:type="dxa" w:w="124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3.5%</w:t>
            </w:r>
          </w:p>
        </w:tc>
        <w:tc>
          <w:tcPr>
            <w:tcW w:type="dxa" w:w="141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-4.54</w:t>
            </w:r>
          </w:p>
        </w:tc>
        <w:tc>
          <w:tcPr>
            <w:tcW w:type="dxa" w:w="85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关注</w:t>
            </w:r>
          </w:p>
        </w:tc>
        <w:tc>
          <w:tcPr>
            <w:tcW w:type="dxa" w:w="3401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需复核疫情扰动、需求走弱、房地产与服务业恢复节奏</w:t>
            </w:r>
          </w:p>
        </w:tc>
      </w:tr>
      <w:tr>
        <w:trPr>
          <w:cantSplit/>
        </w:trPr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第三产业</w:t>
            </w:r>
          </w:p>
        </w:tc>
        <w:tc>
          <w:tcPr>
            <w:tcW w:type="dxa" w:w="11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2022Q2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1.5%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-3.18</w:t>
            </w:r>
          </w:p>
        </w:tc>
        <w:tc>
          <w:tcPr>
            <w:tcW w:type="dxa" w:w="85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关注</w:t>
            </w:r>
          </w:p>
        </w:tc>
        <w:tc>
          <w:tcPr>
            <w:tcW w:type="dxa" w:w="34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需复核疫情扰动、需求走弱、房地产与服务业恢复节奏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第三产业</w:t>
            </w:r>
          </w:p>
        </w:tc>
        <w:tc>
          <w:tcPr>
            <w:tcW w:type="dxa" w:w="113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2022Q3</w:t>
            </w:r>
          </w:p>
        </w:tc>
        <w:tc>
          <w:tcPr>
            <w:tcW w:type="dxa" w:w="124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2.3%</w:t>
            </w:r>
          </w:p>
        </w:tc>
        <w:tc>
          <w:tcPr>
            <w:tcW w:type="dxa" w:w="141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-4.11</w:t>
            </w:r>
          </w:p>
        </w:tc>
        <w:tc>
          <w:tcPr>
            <w:tcW w:type="dxa" w:w="85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关注</w:t>
            </w:r>
          </w:p>
        </w:tc>
        <w:tc>
          <w:tcPr>
            <w:tcW w:type="dxa" w:w="3401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需复核疫情扰动、需求走弱、房地产与服务业恢复节奏</w:t>
            </w:r>
          </w:p>
        </w:tc>
      </w:tr>
      <w:tr>
        <w:trPr>
          <w:cantSplit/>
        </w:trPr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第三产业</w:t>
            </w:r>
          </w:p>
        </w:tc>
        <w:tc>
          <w:tcPr>
            <w:tcW w:type="dxa" w:w="11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2023Q2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8.4%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+4.12</w:t>
            </w:r>
          </w:p>
        </w:tc>
        <w:tc>
          <w:tcPr>
            <w:tcW w:type="dxa" w:w="85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关注</w:t>
            </w:r>
          </w:p>
        </w:tc>
        <w:tc>
          <w:tcPr>
            <w:tcW w:type="dxa" w:w="34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需复核低基数切换、产业恢复与政策拉动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第二产业</w:t>
            </w:r>
          </w:p>
        </w:tc>
        <w:tc>
          <w:tcPr>
            <w:tcW w:type="dxa" w:w="113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2019Q2</w:t>
            </w:r>
          </w:p>
        </w:tc>
        <w:tc>
          <w:tcPr>
            <w:tcW w:type="dxa" w:w="124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6.1%</w:t>
            </w:r>
          </w:p>
        </w:tc>
        <w:tc>
          <w:tcPr>
            <w:tcW w:type="dxa" w:w="141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+3.45</w:t>
            </w:r>
          </w:p>
        </w:tc>
        <w:tc>
          <w:tcPr>
            <w:tcW w:type="dxa" w:w="85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关注</w:t>
            </w:r>
          </w:p>
        </w:tc>
        <w:tc>
          <w:tcPr>
            <w:tcW w:type="dxa" w:w="3401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需联接行业景气、投资、出口、价格和政策事件</w:t>
            </w:r>
          </w:p>
        </w:tc>
      </w:tr>
      <w:tr>
        <w:trPr>
          <w:cantSplit/>
        </w:trPr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第二产业</w:t>
            </w:r>
          </w:p>
        </w:tc>
        <w:tc>
          <w:tcPr>
            <w:tcW w:type="dxa" w:w="11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2020Q1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-11.0%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-15.68</w:t>
            </w:r>
          </w:p>
        </w:tc>
        <w:tc>
          <w:tcPr>
            <w:tcW w:type="dxa" w:w="85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强</w:t>
            </w:r>
          </w:p>
        </w:tc>
        <w:tc>
          <w:tcPr>
            <w:tcW w:type="dxa" w:w="34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与疫情初期停工停产时段重合，外部冲击解释优先级高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第二产业</w:t>
            </w:r>
          </w:p>
        </w:tc>
        <w:tc>
          <w:tcPr>
            <w:tcW w:type="dxa" w:w="113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2021Q1</w:t>
            </w:r>
          </w:p>
        </w:tc>
        <w:tc>
          <w:tcPr>
            <w:tcW w:type="dxa" w:w="124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27.1%</w:t>
            </w:r>
          </w:p>
        </w:tc>
        <w:tc>
          <w:tcPr>
            <w:tcW w:type="dxa" w:w="141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+22.91</w:t>
            </w:r>
          </w:p>
        </w:tc>
        <w:tc>
          <w:tcPr>
            <w:tcW w:type="dxa" w:w="85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强</w:t>
            </w:r>
          </w:p>
        </w:tc>
        <w:tc>
          <w:tcPr>
            <w:tcW w:type="dxa" w:w="3401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疫情后复苏叠加2020年同期低基数，不能等同于长期趋势跃升</w:t>
            </w:r>
          </w:p>
        </w:tc>
      </w:tr>
      <w:tr>
        <w:trPr>
          <w:cantSplit/>
        </w:trPr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第二产业</w:t>
            </w:r>
          </w:p>
        </w:tc>
        <w:tc>
          <w:tcPr>
            <w:tcW w:type="dxa" w:w="11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2021Q2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16.9%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+15.90</w:t>
            </w:r>
          </w:p>
        </w:tc>
        <w:tc>
          <w:tcPr>
            <w:tcW w:type="dxa" w:w="85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强</w:t>
            </w:r>
          </w:p>
        </w:tc>
        <w:tc>
          <w:tcPr>
            <w:tcW w:type="dxa" w:w="34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疫情后复苏叠加2020年同期低基数，不能等同于长期趋势跃升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第二产业</w:t>
            </w:r>
          </w:p>
        </w:tc>
        <w:tc>
          <w:tcPr>
            <w:tcW w:type="dxa" w:w="113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2021Q3</w:t>
            </w:r>
          </w:p>
        </w:tc>
        <w:tc>
          <w:tcPr>
            <w:tcW w:type="dxa" w:w="124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13.3%</w:t>
            </w:r>
          </w:p>
        </w:tc>
        <w:tc>
          <w:tcPr>
            <w:tcW w:type="dxa" w:w="141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+8.56</w:t>
            </w:r>
          </w:p>
        </w:tc>
        <w:tc>
          <w:tcPr>
            <w:tcW w:type="dxa" w:w="85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强</w:t>
            </w:r>
          </w:p>
        </w:tc>
        <w:tc>
          <w:tcPr>
            <w:tcW w:type="dxa" w:w="3401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疫情后复苏叠加2020年同期低基数，不能等同于长期趋势跃升</w:t>
            </w:r>
          </w:p>
        </w:tc>
      </w:tr>
      <w:tr>
        <w:trPr>
          <w:cantSplit/>
        </w:trPr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第二产业</w:t>
            </w:r>
          </w:p>
        </w:tc>
        <w:tc>
          <w:tcPr>
            <w:tcW w:type="dxa" w:w="11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2022Q4</w:t>
            </w:r>
          </w:p>
        </w:tc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3.4%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-3.82</w:t>
            </w:r>
          </w:p>
        </w:tc>
        <w:tc>
          <w:tcPr>
            <w:tcW w:type="dxa" w:w="85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关注</w:t>
            </w:r>
          </w:p>
        </w:tc>
        <w:tc>
          <w:tcPr>
            <w:tcW w:type="dxa" w:w="34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需复核疫情扰动、需求走弱、房地产与服务业恢复节奏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第二产业</w:t>
            </w:r>
          </w:p>
        </w:tc>
        <w:tc>
          <w:tcPr>
            <w:tcW w:type="dxa" w:w="113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2023Q1</w:t>
            </w:r>
          </w:p>
        </w:tc>
        <w:tc>
          <w:tcPr>
            <w:tcW w:type="dxa" w:w="124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2.7%</w:t>
            </w:r>
          </w:p>
        </w:tc>
        <w:tc>
          <w:tcPr>
            <w:tcW w:type="dxa" w:w="141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-3.78</w:t>
            </w:r>
          </w:p>
        </w:tc>
        <w:tc>
          <w:tcPr>
            <w:tcW w:type="dxa" w:w="85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关注</w:t>
            </w:r>
          </w:p>
        </w:tc>
        <w:tc>
          <w:tcPr>
            <w:tcW w:type="dxa" w:w="3401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需复核低基数切换、产业恢复与政策拉动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75B5"/>
          <w:sz w:val="27"/>
        </w:rPr>
        <w:t>5.3 第二产业：冲击与低基数最明显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6828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P_第二产业_同比增速_观测值与趋势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82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图5  第二产业累计同比增速：观测值与趋势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8407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P_第二产业_同比增速_残差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4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图6  第二产业累计同比增速 STL 残差</w:t>
      </w:r>
    </w:p>
    <w:p>
      <w:pPr>
        <w:spacing w:after="80" w:line="341" w:lineRule="auto"/>
        <w:ind w:firstLine="420"/>
      </w:pPr>
      <w:r>
        <w:rPr>
          <w:rFonts w:ascii="Noto Sans CJK SC" w:hAnsi="Noto Sans CJK SC" w:eastAsia="Noto Sans CJK SC"/>
          <w:color w:val="1F2937"/>
          <w:sz w:val="21"/>
        </w:rPr>
        <w:t>第二产业 2020Q1 实际同比为 -11.0%，残差 -15.68 个百分点，反映疫情初期制造业和建筑业活动受到显著冲击。2021Q1-Q3 残差分别为 +22.91、+15.90、+8.56 个百分点，主要由复工复产与 2020 年同期低基数共同造成。模型输出时必须显式写出“同比基数效应”，不能把 2021Q1 的 27.1% 直接叙述为可持续的结构性增长速度。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75B5"/>
          <w:sz w:val="27"/>
        </w:rPr>
        <w:t>5.4 第三产业：疫情冲击与服务业恢复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6828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P_第三产业_同比增速_观测值与趋势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82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图7  第三产业累计同比增速：观测值与趋势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8407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P_第三产业_同比增速_残差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4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图8  第三产业累计同比增速 STL 残差</w:t>
      </w:r>
    </w:p>
    <w:p>
      <w:pPr>
        <w:spacing w:after="80" w:line="341" w:lineRule="auto"/>
        <w:ind w:firstLine="420"/>
      </w:pPr>
      <w:r>
        <w:rPr>
          <w:rFonts w:ascii="Noto Sans CJK SC" w:hAnsi="Noto Sans CJK SC" w:eastAsia="Noto Sans CJK SC"/>
          <w:color w:val="1F2937"/>
          <w:sz w:val="21"/>
        </w:rPr>
        <w:t>第三产业 2020Q1 残差为 -8.45 个百分点，2021Q1、Q2 分别为 +8.74、+7.52 个百分点。2022Q1-Q3 的负向关注候选说明服务业恢复并非线性过程；2023Q2 出现 +4.12 个百分点的正向候选，需要结合消费、交通、住宿餐饮、信息服务和房地产等分行业证据判断。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75B5"/>
          <w:sz w:val="27"/>
        </w:rPr>
        <w:t>5.5 第一产业：相对稳定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8407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P_第一产业_同比增速_残差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4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图9  第一产业累计同比增速 STL 残差</w:t>
      </w:r>
    </w:p>
    <w:p>
      <w:pPr>
        <w:spacing w:after="80" w:line="341" w:lineRule="auto"/>
        <w:ind w:firstLine="420"/>
      </w:pPr>
      <w:r>
        <w:rPr>
          <w:rFonts w:ascii="Noto Sans CJK SC" w:hAnsi="Noto Sans CJK SC" w:eastAsia="Noto Sans CJK SC"/>
          <w:color w:val="1F2937"/>
          <w:sz w:val="21"/>
        </w:rPr>
        <w:t>第一产业在 2010Q1-2025Q4 内没有任何残差超过 3 个百分点。最大负向扰动约出现在 2020Q1，但仍未达到 watch 阈值。这表明在本数据口径和阈值下，农业增加值同比变化比工业和服务业更稳定。</w:t>
      </w:r>
    </w:p>
    <w:p>
      <w:pPr>
        <w:pStyle w:val="Heading1"/>
        <w:keepNext/>
        <w:spacing w:before="240" w:after="160"/>
        <w:pBdr>
          <w:bottom w:val="single" w:sz="12" w:space="4" w:color="2F75B5"/>
        </w:pBdr>
      </w:pPr>
      <w:r>
        <w:rPr>
          <w:rFonts w:ascii="Noto Sans CJK SC" w:hAnsi="Noto Sans CJK SC" w:eastAsia="Noto Sans CJK SC"/>
          <w:b/>
          <w:color w:val="17365D"/>
          <w:sz w:val="34"/>
        </w:rPr>
        <w:t>6. 单季增加值对数 STL：统计核算风险识别</w:t>
      </w:r>
    </w:p>
    <w:p>
      <w:pPr>
        <w:spacing w:after="80" w:line="341" w:lineRule="auto"/>
        <w:ind w:firstLine="420"/>
      </w:pPr>
      <w:r>
        <w:rPr>
          <w:rFonts w:ascii="Noto Sans CJK SC" w:hAnsi="Noto Sans CJK SC" w:eastAsia="Noto Sans CJK SC"/>
          <w:color w:val="1F2937"/>
          <w:sz w:val="21"/>
        </w:rPr>
        <w:t>单季增加值由累计值做差得到。为减弱经济规模增长带来的方差扩大，脚本先取自然对数，再做季度 STL，并用 (exp(R)-1)×100% 把残差转换为比例。该分析的主要目的不是直接判定经济异常，而是发现累计差分、修订和年度核算可能造成的异常形态。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rPr>
          <w:tblHeader w:val="true"/>
        </w:trPr>
        <w:tc>
          <w:tcPr>
            <w:tcW w:type="dxa" w:w="124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产业</w:t>
            </w:r>
          </w:p>
        </w:tc>
        <w:tc>
          <w:tcPr>
            <w:tcW w:type="dxa" w:w="1133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季度</w:t>
            </w:r>
          </w:p>
        </w:tc>
        <w:tc>
          <w:tcPr>
            <w:tcW w:type="dxa" w:w="141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残差率</w:t>
            </w:r>
          </w:p>
        </w:tc>
        <w:tc>
          <w:tcPr>
            <w:tcW w:type="dxa" w:w="90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102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Q4风险</w:t>
            </w:r>
          </w:p>
        </w:tc>
        <w:tc>
          <w:tcPr>
            <w:tcW w:type="dxa" w:w="351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解释</w:t>
            </w:r>
          </w:p>
        </w:tc>
      </w:tr>
      <w:tr>
        <w:trPr>
          <w:cantSplit/>
        </w:trPr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第二产业</w:t>
            </w:r>
          </w:p>
        </w:tc>
        <w:tc>
          <w:tcPr>
            <w:tcW w:type="dxa" w:w="11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2019Q4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+22.76%</w:t>
            </w:r>
          </w:p>
        </w:tc>
        <w:tc>
          <w:tcPr>
            <w:tcW w:type="dxa" w:w="9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强</w:t>
            </w:r>
          </w:p>
        </w:tc>
        <w:tc>
          <w:tcPr>
            <w:tcW w:type="dxa" w:w="10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351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优先解释为年度核算/修订风险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第一产业</w:t>
            </w:r>
          </w:p>
        </w:tc>
        <w:tc>
          <w:tcPr>
            <w:tcW w:type="dxa" w:w="113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2024Q4</w:t>
            </w:r>
          </w:p>
        </w:tc>
        <w:tc>
          <w:tcPr>
            <w:tcW w:type="dxa" w:w="141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+19.04%</w:t>
            </w:r>
          </w:p>
        </w:tc>
        <w:tc>
          <w:tcPr>
            <w:tcW w:type="dxa" w:w="90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强</w:t>
            </w:r>
          </w:p>
        </w:tc>
        <w:tc>
          <w:tcPr>
            <w:tcW w:type="dxa" w:w="102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351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优先解释为年度核算/修订风险</w:t>
            </w:r>
          </w:p>
        </w:tc>
      </w:tr>
      <w:tr>
        <w:trPr>
          <w:cantSplit/>
        </w:trPr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第三产业</w:t>
            </w:r>
          </w:p>
        </w:tc>
        <w:tc>
          <w:tcPr>
            <w:tcW w:type="dxa" w:w="11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2024Q4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+16.38%</w:t>
            </w:r>
          </w:p>
        </w:tc>
        <w:tc>
          <w:tcPr>
            <w:tcW w:type="dxa" w:w="9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强</w:t>
            </w:r>
          </w:p>
        </w:tc>
        <w:tc>
          <w:tcPr>
            <w:tcW w:type="dxa" w:w="10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351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优先解释为年度核算/修订风险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第二产业</w:t>
            </w:r>
          </w:p>
        </w:tc>
        <w:tc>
          <w:tcPr>
            <w:tcW w:type="dxa" w:w="113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2017Q3</w:t>
            </w:r>
          </w:p>
        </w:tc>
        <w:tc>
          <w:tcPr>
            <w:tcW w:type="dxa" w:w="141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+16.04%</w:t>
            </w:r>
          </w:p>
        </w:tc>
        <w:tc>
          <w:tcPr>
            <w:tcW w:type="dxa" w:w="90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强</w:t>
            </w:r>
          </w:p>
        </w:tc>
        <w:tc>
          <w:tcPr>
            <w:tcW w:type="dxa" w:w="102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否</w:t>
            </w:r>
          </w:p>
        </w:tc>
        <w:tc>
          <w:tcPr>
            <w:tcW w:type="dxa" w:w="351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需核对原始统计与行业证据</w:t>
            </w:r>
          </w:p>
        </w:tc>
      </w:tr>
      <w:tr>
        <w:trPr>
          <w:cantSplit/>
        </w:trPr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第二产业</w:t>
            </w:r>
          </w:p>
        </w:tc>
        <w:tc>
          <w:tcPr>
            <w:tcW w:type="dxa" w:w="11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2020Q1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-12.73%</w:t>
            </w:r>
          </w:p>
        </w:tc>
        <w:tc>
          <w:tcPr>
            <w:tcW w:type="dxa" w:w="9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强</w:t>
            </w:r>
          </w:p>
        </w:tc>
        <w:tc>
          <w:tcPr>
            <w:tcW w:type="dxa" w:w="10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否</w:t>
            </w:r>
          </w:p>
        </w:tc>
        <w:tc>
          <w:tcPr>
            <w:tcW w:type="dxa" w:w="351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疫情冲击需外部证据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第三产业</w:t>
            </w:r>
          </w:p>
        </w:tc>
        <w:tc>
          <w:tcPr>
            <w:tcW w:type="dxa" w:w="113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2025Q4</w:t>
            </w:r>
          </w:p>
        </w:tc>
        <w:tc>
          <w:tcPr>
            <w:tcW w:type="dxa" w:w="141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-12.36%</w:t>
            </w:r>
          </w:p>
        </w:tc>
        <w:tc>
          <w:tcPr>
            <w:tcW w:type="dxa" w:w="90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强</w:t>
            </w:r>
          </w:p>
        </w:tc>
        <w:tc>
          <w:tcPr>
            <w:tcW w:type="dxa" w:w="102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351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优先解释为年度核算/修订风险</w:t>
            </w:r>
          </w:p>
        </w:tc>
      </w:tr>
      <w:tr>
        <w:trPr>
          <w:cantSplit/>
        </w:trPr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第二产业</w:t>
            </w:r>
          </w:p>
        </w:tc>
        <w:tc>
          <w:tcPr>
            <w:tcW w:type="dxa" w:w="11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2017Q4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-12.33%</w:t>
            </w:r>
          </w:p>
        </w:tc>
        <w:tc>
          <w:tcPr>
            <w:tcW w:type="dxa" w:w="9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强</w:t>
            </w:r>
          </w:p>
        </w:tc>
        <w:tc>
          <w:tcPr>
            <w:tcW w:type="dxa" w:w="10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351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优先解释为年度核算/修订风险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第三产业</w:t>
            </w:r>
          </w:p>
        </w:tc>
        <w:tc>
          <w:tcPr>
            <w:tcW w:type="dxa" w:w="113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2014Q4</w:t>
            </w:r>
          </w:p>
        </w:tc>
        <w:tc>
          <w:tcPr>
            <w:tcW w:type="dxa" w:w="141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+12.17%</w:t>
            </w:r>
          </w:p>
        </w:tc>
        <w:tc>
          <w:tcPr>
            <w:tcW w:type="dxa" w:w="90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强</w:t>
            </w:r>
          </w:p>
        </w:tc>
        <w:tc>
          <w:tcPr>
            <w:tcW w:type="dxa" w:w="102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351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优先解释为年度核算/修订风险</w:t>
            </w:r>
          </w:p>
        </w:tc>
      </w:tr>
      <w:tr>
        <w:trPr>
          <w:cantSplit/>
        </w:trPr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第一产业</w:t>
            </w:r>
          </w:p>
        </w:tc>
        <w:tc>
          <w:tcPr>
            <w:tcW w:type="dxa" w:w="11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2023Q4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-11.23%</w:t>
            </w:r>
          </w:p>
        </w:tc>
        <w:tc>
          <w:tcPr>
            <w:tcW w:type="dxa" w:w="9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强</w:t>
            </w:r>
          </w:p>
        </w:tc>
        <w:tc>
          <w:tcPr>
            <w:tcW w:type="dxa" w:w="10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351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优先解释为年度核算/修订风险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第二产业</w:t>
            </w:r>
          </w:p>
        </w:tc>
        <w:tc>
          <w:tcPr>
            <w:tcW w:type="dxa" w:w="113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2011Q2</w:t>
            </w:r>
          </w:p>
        </w:tc>
        <w:tc>
          <w:tcPr>
            <w:tcW w:type="dxa" w:w="141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+10.97%</w:t>
            </w:r>
          </w:p>
        </w:tc>
        <w:tc>
          <w:tcPr>
            <w:tcW w:type="dxa" w:w="90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强</w:t>
            </w:r>
          </w:p>
        </w:tc>
        <w:tc>
          <w:tcPr>
            <w:tcW w:type="dxa" w:w="102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否</w:t>
            </w:r>
          </w:p>
        </w:tc>
        <w:tc>
          <w:tcPr>
            <w:tcW w:type="dxa" w:w="351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需核对原始统计与行业证据</w:t>
            </w:r>
          </w:p>
        </w:tc>
      </w:tr>
      <w:tr>
        <w:trPr>
          <w:cantSplit/>
        </w:trPr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第一产业</w:t>
            </w:r>
          </w:p>
        </w:tc>
        <w:tc>
          <w:tcPr>
            <w:tcW w:type="dxa" w:w="11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2014Q4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-7.08%</w:t>
            </w:r>
          </w:p>
        </w:tc>
        <w:tc>
          <w:tcPr>
            <w:tcW w:type="dxa" w:w="9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关注</w:t>
            </w:r>
          </w:p>
        </w:tc>
        <w:tc>
          <w:tcPr>
            <w:tcW w:type="dxa" w:w="10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351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优先解释为年度核算/修订风险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第一产业</w:t>
            </w:r>
          </w:p>
        </w:tc>
        <w:tc>
          <w:tcPr>
            <w:tcW w:type="dxa" w:w="113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2024Q1</w:t>
            </w:r>
          </w:p>
        </w:tc>
        <w:tc>
          <w:tcPr>
            <w:tcW w:type="dxa" w:w="141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-6.96%</w:t>
            </w:r>
          </w:p>
        </w:tc>
        <w:tc>
          <w:tcPr>
            <w:tcW w:type="dxa" w:w="90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关注</w:t>
            </w:r>
          </w:p>
        </w:tc>
        <w:tc>
          <w:tcPr>
            <w:tcW w:type="dxa" w:w="102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否</w:t>
            </w:r>
          </w:p>
        </w:tc>
        <w:tc>
          <w:tcPr>
            <w:tcW w:type="dxa" w:w="351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需核对原始统计与行业证据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8374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P_第二产业_单季增加值_残差率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37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图10  第二产业单季增加值对数 STL 残差率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line="317" w:lineRule="auto"/>
            </w:pPr>
            <w:r>
              <w:rPr>
                <w:rFonts w:ascii="Noto Sans CJK SC" w:hAnsi="Noto Sans CJK SC" w:eastAsia="Noto Sans CJK SC"/>
                <w:b/>
                <w:color w:val="7F6000"/>
                <w:sz w:val="21"/>
              </w:rPr>
              <w:t xml:space="preserve">质量结论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残差绝对值最大的前12个单季候选中，有 8 个发生在 Q4。该集中现象支持“年度核算差额/修订风险”假设。系统应对 Q4 单季异常自动降权，并优先检索统计公报修订说明。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60"/>
        <w:pBdr>
          <w:bottom w:val="single" w:sz="12" w:space="4" w:color="2F75B5"/>
        </w:pBdr>
      </w:pPr>
      <w:r>
        <w:rPr>
          <w:rFonts w:ascii="Noto Sans CJK SC" w:hAnsi="Noto Sans CJK SC" w:eastAsia="Noto Sans CJK SC"/>
          <w:b/>
          <w:color w:val="17365D"/>
          <w:sz w:val="34"/>
        </w:rPr>
        <w:t>7. 从 STL 结果到知识图谱与大模型上下文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75B5"/>
          <w:sz w:val="27"/>
        </w:rPr>
        <w:t>7.1 模型可读记录</w:t>
      </w:r>
    </w:p>
    <w:p>
      <w:pPr>
        <w:spacing w:after="80" w:line="341" w:lineRule="auto"/>
        <w:ind w:firstLine="420"/>
      </w:pPr>
      <w:r>
        <w:rPr>
          <w:rFonts w:ascii="Noto Sans CJK SC" w:hAnsi="Noto Sans CJK SC" w:eastAsia="Noto Sans CJK SC"/>
          <w:color w:val="1F2937"/>
          <w:sz w:val="21"/>
        </w:rPr>
        <w:t>脚本把每个异常候选写成一条 JSONL。记录不只包含数值，还包含质量标记、候选原因、待补证据和 guardrails。下面是 2024-02 月度用电异常的缩略示例：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52" w:lineRule="auto"/>
            </w:pPr>
            <w:r>
              <w:rPr>
                <w:rFonts w:ascii="DejaVu Sans Mono" w:hAnsi="DejaVu Sans Mono" w:eastAsia="DejaVu Sans Mono"/>
                <w:color w:val="24292F"/>
                <w:sz w:val="14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"node_type": "AnomalyCandidate",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"region": "浙江省",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"time": "2024-02-01",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"indicator": "全社会用电量",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"observed": 354.776135,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"expected": 432.134892,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"residual": -14.091513,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"severity": "strong",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"quality_flags": {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  "edge_flag": 0,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  "annual_reconciliation_risk": 0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},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"candidate_causes": [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  {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    "entity": "春节及调休",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    "relation": "calendar_effect",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    "confidence": "high",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    "evidence": "当月春节假期天数=8；春节在1-2月跨月移动"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  },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  {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    "entity": "工业生产与行业结构",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    "relation": "economic_activity_effect",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    "confidence": "unknown",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    "evidence_required": [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      "规上工业增加值",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      "制造业分行业用电",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      "重点企业开工率"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    ]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  }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],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"guardrails": [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  "STL residual is an anomaly candidate, not causal proof",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  "Require external evidence before producing a causal conclusion",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  "Down-weight edge estimates and statistical-reconciliation periods"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 xml:space="preserve">  ]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4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75B5"/>
          <w:sz w:val="27"/>
        </w:rPr>
        <w:t>7.2 知识图谱建议模式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04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节点/关系</w:t>
            </w:r>
          </w:p>
        </w:tc>
        <w:tc>
          <w:tcPr>
            <w:tcW w:type="dxa" w:w="419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字段或语义</w:t>
            </w:r>
          </w:p>
        </w:tc>
        <w:tc>
          <w:tcPr>
            <w:tcW w:type="dxa" w:w="283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204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Region</w:t>
            </w:r>
          </w:p>
        </w:tc>
        <w:tc>
          <w:tcPr>
            <w:tcW w:type="dxa" w:w="419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地区层级、行政编码</w:t>
            </w:r>
          </w:p>
        </w:tc>
        <w:tc>
          <w:tcPr>
            <w:tcW w:type="dxa" w:w="283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浙江省</w:t>
            </w:r>
          </w:p>
        </w:tc>
      </w:tr>
      <w:tr>
        <w:trPr>
          <w:cantSplit/>
        </w:trPr>
        <w:tc>
          <w:tcPr>
            <w:tcW w:type="dxa" w:w="204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Observation</w:t>
            </w:r>
          </w:p>
        </w:tc>
        <w:tc>
          <w:tcPr>
            <w:tcW w:type="dxa" w:w="4195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时间、指标、单位、实际值</w:t>
            </w:r>
          </w:p>
        </w:tc>
        <w:tc>
          <w:tcPr>
            <w:tcW w:type="dxa" w:w="283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2024-02 用电量354.78亿千瓦时</w:t>
            </w:r>
          </w:p>
        </w:tc>
      </w:tr>
      <w:tr>
        <w:trPr>
          <w:cantSplit/>
        </w:trPr>
        <w:tc>
          <w:tcPr>
            <w:tcW w:type="dxa" w:w="204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STLComponent</w:t>
            </w:r>
          </w:p>
        </w:tc>
        <w:tc>
          <w:tcPr>
            <w:tcW w:type="dxa" w:w="419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trend/seasonal/residual/expected</w:t>
            </w:r>
          </w:p>
        </w:tc>
        <w:tc>
          <w:tcPr>
            <w:tcW w:type="dxa" w:w="283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residual_pct=-14.09%</w:t>
            </w:r>
          </w:p>
        </w:tc>
      </w:tr>
      <w:tr>
        <w:trPr>
          <w:cantSplit/>
        </w:trPr>
        <w:tc>
          <w:tcPr>
            <w:tcW w:type="dxa" w:w="204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AnomalyCandidate</w:t>
            </w:r>
          </w:p>
        </w:tc>
        <w:tc>
          <w:tcPr>
            <w:tcW w:type="dxa" w:w="4195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severity、阈值、质量标记</w:t>
            </w:r>
          </w:p>
        </w:tc>
        <w:tc>
          <w:tcPr>
            <w:tcW w:type="dxa" w:w="283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strong, edge=0</w:t>
            </w:r>
          </w:p>
        </w:tc>
      </w:tr>
      <w:tr>
        <w:trPr>
          <w:cantSplit/>
        </w:trPr>
        <w:tc>
          <w:tcPr>
            <w:tcW w:type="dxa" w:w="204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CauseCandidate</w:t>
            </w:r>
          </w:p>
        </w:tc>
        <w:tc>
          <w:tcPr>
            <w:tcW w:type="dxa" w:w="419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候选原因、置信度</w:t>
            </w:r>
          </w:p>
        </w:tc>
        <w:tc>
          <w:tcPr>
            <w:tcW w:type="dxa" w:w="283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春节及调休[high]</w:t>
            </w:r>
          </w:p>
        </w:tc>
      </w:tr>
      <w:tr>
        <w:trPr>
          <w:cantSplit/>
        </w:trPr>
        <w:tc>
          <w:tcPr>
            <w:tcW w:type="dxa" w:w="204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Evidence</w:t>
            </w:r>
          </w:p>
        </w:tc>
        <w:tc>
          <w:tcPr>
            <w:tcW w:type="dxa" w:w="4195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外部证据及来源</w:t>
            </w:r>
          </w:p>
        </w:tc>
        <w:tc>
          <w:tcPr>
            <w:tcW w:type="dxa" w:w="283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假期8天、天气、工业用电</w:t>
            </w:r>
          </w:p>
        </w:tc>
      </w:tr>
      <w:tr>
        <w:trPr>
          <w:cantSplit/>
        </w:trPr>
        <w:tc>
          <w:tcPr>
            <w:tcW w:type="dxa" w:w="204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Rule</w:t>
            </w:r>
          </w:p>
        </w:tc>
        <w:tc>
          <w:tcPr>
            <w:tcW w:type="dxa" w:w="419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防误判约束</w:t>
            </w:r>
          </w:p>
        </w:tc>
        <w:tc>
          <w:tcPr>
            <w:tcW w:type="dxa" w:w="283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移动春节、低基数、Q4核算风险</w:t>
            </w:r>
          </w:p>
        </w:tc>
      </w:tr>
      <w:tr>
        <w:trPr>
          <w:cantSplit/>
        </w:trPr>
        <w:tc>
          <w:tcPr>
            <w:tcW w:type="dxa" w:w="204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MAY_BE_EXPLAINED_BY</w:t>
            </w:r>
          </w:p>
        </w:tc>
        <w:tc>
          <w:tcPr>
            <w:tcW w:type="dxa" w:w="4195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异常候选指向候选原因</w:t>
            </w:r>
          </w:p>
        </w:tc>
        <w:tc>
          <w:tcPr>
            <w:tcW w:type="dxa" w:w="283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异常→春节</w:t>
            </w:r>
          </w:p>
        </w:tc>
      </w:tr>
      <w:tr>
        <w:trPr>
          <w:cantSplit/>
        </w:trPr>
        <w:tc>
          <w:tcPr>
            <w:tcW w:type="dxa" w:w="204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SUPPORTED_BY</w:t>
            </w:r>
          </w:p>
        </w:tc>
        <w:tc>
          <w:tcPr>
            <w:tcW w:type="dxa" w:w="419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候选原因指向证据</w:t>
            </w:r>
          </w:p>
        </w:tc>
        <w:tc>
          <w:tcPr>
            <w:tcW w:type="dxa" w:w="283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春节→政府通知</w:t>
            </w:r>
          </w:p>
        </w:tc>
      </w:tr>
      <w:tr>
        <w:trPr>
          <w:cantSplit/>
        </w:trPr>
        <w:tc>
          <w:tcPr>
            <w:tcW w:type="dxa" w:w="2040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CONSTRAINED_BY</w:t>
            </w:r>
          </w:p>
        </w:tc>
        <w:tc>
          <w:tcPr>
            <w:tcW w:type="dxa" w:w="4195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诊断受规则约束</w:t>
            </w:r>
          </w:p>
        </w:tc>
        <w:tc>
          <w:tcPr>
            <w:tcW w:type="dxa" w:w="2834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异常→不得直接因果化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75B5"/>
          <w:sz w:val="27"/>
        </w:rPr>
        <w:t>7.3 规则链设计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60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触发条件</w:t>
            </w:r>
          </w:p>
        </w:tc>
        <w:tc>
          <w:tcPr>
            <w:tcW w:type="dxa" w:w="368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规则动作</w:t>
            </w:r>
          </w:p>
        </w:tc>
        <w:tc>
          <w:tcPr>
            <w:tcW w:type="dxa" w:w="277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允许的结论</w:t>
            </w:r>
          </w:p>
        </w:tc>
      </w:tr>
      <w:tr>
        <w:trPr>
          <w:cantSplit/>
        </w:trPr>
        <w:tc>
          <w:tcPr>
            <w:tcW w:type="dxa" w:w="26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月份为1/2月且春节天数&gt;0</w:t>
            </w:r>
          </w:p>
        </w:tc>
        <w:tc>
          <w:tcPr>
            <w:tcW w:type="dxa" w:w="368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提高 calendar_effect 置信度；检索工作日</w:t>
            </w:r>
          </w:p>
        </w:tc>
        <w:tc>
          <w:tcPr>
            <w:tcW w:type="dxa" w:w="277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“高度可能受春节影响”</w:t>
            </w:r>
          </w:p>
        </w:tc>
      </w:tr>
      <w:tr>
        <w:trPr>
          <w:cantSplit/>
        </w:trPr>
        <w:tc>
          <w:tcPr>
            <w:tcW w:type="dxa" w:w="260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1/2月但春节在相邻月份</w:t>
            </w:r>
          </w:p>
        </w:tc>
        <w:tc>
          <w:tcPr>
            <w:tcW w:type="dxa" w:w="3685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检查节后恢复/前移后移效应</w:t>
            </w:r>
          </w:p>
        </w:tc>
        <w:tc>
          <w:tcPr>
            <w:tcW w:type="dxa" w:w="277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“与春节落点变化一致”</w:t>
            </w:r>
          </w:p>
        </w:tc>
      </w:tr>
      <w:tr>
        <w:trPr>
          <w:cantSplit/>
        </w:trPr>
        <w:tc>
          <w:tcPr>
            <w:tcW w:type="dxa" w:w="26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2020Q1</w:t>
            </w:r>
          </w:p>
        </w:tc>
        <w:tc>
          <w:tcPr>
            <w:tcW w:type="dxa" w:w="368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外部冲击标签；检索疫情/停工证据</w:t>
            </w:r>
          </w:p>
        </w:tc>
        <w:tc>
          <w:tcPr>
            <w:tcW w:type="dxa" w:w="277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“与疫情初期冲击重合”</w:t>
            </w:r>
          </w:p>
        </w:tc>
      </w:tr>
      <w:tr>
        <w:trPr>
          <w:cantSplit/>
        </w:trPr>
        <w:tc>
          <w:tcPr>
            <w:tcW w:type="dxa" w:w="260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2021Q1-Q3同比大幅正残差</w:t>
            </w:r>
          </w:p>
        </w:tc>
        <w:tc>
          <w:tcPr>
            <w:tcW w:type="dxa" w:w="3685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强制加入 low_base_effect</w:t>
            </w:r>
          </w:p>
        </w:tc>
        <w:tc>
          <w:tcPr>
            <w:tcW w:type="dxa" w:w="277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“复苏与低基数共同作用”</w:t>
            </w:r>
          </w:p>
        </w:tc>
      </w:tr>
      <w:tr>
        <w:trPr>
          <w:cantSplit/>
        </w:trPr>
        <w:tc>
          <w:tcPr>
            <w:tcW w:type="dxa" w:w="26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Q4单季值异常</w:t>
            </w:r>
          </w:p>
        </w:tc>
        <w:tc>
          <w:tcPr>
            <w:tcW w:type="dxa" w:w="368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annual_reconciliation_risk=1并降权</w:t>
            </w:r>
          </w:p>
        </w:tc>
        <w:tc>
          <w:tcPr>
            <w:tcW w:type="dxa" w:w="277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“先核对年度核算修订”</w:t>
            </w:r>
          </w:p>
        </w:tc>
      </w:tr>
      <w:tr>
        <w:trPr>
          <w:cantSplit/>
        </w:trPr>
        <w:tc>
          <w:tcPr>
            <w:tcW w:type="dxa" w:w="260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首尾6个月</w:t>
            </w:r>
          </w:p>
        </w:tc>
        <w:tc>
          <w:tcPr>
            <w:tcW w:type="dxa" w:w="3685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edge_flag=1并降低置信度</w:t>
            </w:r>
          </w:p>
        </w:tc>
        <w:tc>
          <w:tcPr>
            <w:tcW w:type="dxa" w:w="277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“边界估计，需更多数据”</w:t>
            </w:r>
          </w:p>
        </w:tc>
      </w:tr>
      <w:tr>
        <w:trPr>
          <w:cantSplit/>
        </w:trPr>
        <w:tc>
          <w:tcPr>
            <w:tcW w:type="dxa" w:w="26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无外部证据</w:t>
            </w:r>
          </w:p>
        </w:tc>
        <w:tc>
          <w:tcPr>
            <w:tcW w:type="dxa" w:w="368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禁止输出确定性因果</w:t>
            </w:r>
          </w:p>
        </w:tc>
        <w:tc>
          <w:tcPr>
            <w:tcW w:type="dxa" w:w="277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“候选原因，待验证”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DF4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line="317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 xml:space="preserve">与“电力经济 Claude Code”的关系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STL 相当于工具层的 deterministic tool；规则链相当于每次模型调用前后的 system constraints；JSONL/知识图谱相当于模型可查询的结构化工作区。三者组合后，模型不是自由发挥，而是在数据、算法和证据约束下逐步诊断。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60"/>
        <w:pBdr>
          <w:bottom w:val="single" w:sz="12" w:space="4" w:color="2F75B5"/>
        </w:pBdr>
      </w:pPr>
      <w:r>
        <w:rPr>
          <w:rFonts w:ascii="Noto Sans CJK SC" w:hAnsi="Noto Sans CJK SC" w:eastAsia="Noto Sans CJK SC"/>
          <w:b/>
          <w:color w:val="17365D"/>
          <w:sz w:val="34"/>
        </w:rPr>
        <w:t>8. 完整代码、运行方法与输出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75B5"/>
          <w:sz w:val="27"/>
        </w:rPr>
        <w:t>8.1 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40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53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本次实际版本</w:t>
            </w:r>
          </w:p>
        </w:tc>
      </w:tr>
      <w:tr>
        <w:trPr>
          <w:cantSplit/>
        </w:trPr>
        <w:tc>
          <w:tcPr>
            <w:tcW w:type="dxa" w:w="34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Python</w:t>
            </w:r>
          </w:p>
        </w:tc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3.13.5</w:t>
            </w:r>
          </w:p>
        </w:tc>
      </w:tr>
      <w:tr>
        <w:trPr>
          <w:cantSplit/>
        </w:trPr>
        <w:tc>
          <w:tcPr>
            <w:tcW w:type="dxa" w:w="3401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numpy</w:t>
            </w:r>
          </w:p>
        </w:tc>
        <w:tc>
          <w:tcPr>
            <w:tcW w:type="dxa" w:w="4535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2.3.5</w:t>
            </w:r>
          </w:p>
        </w:tc>
      </w:tr>
      <w:tr>
        <w:trPr>
          <w:cantSplit/>
        </w:trPr>
        <w:tc>
          <w:tcPr>
            <w:tcW w:type="dxa" w:w="34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statsmodels</w:t>
            </w:r>
          </w:p>
        </w:tc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0.14.6</w:t>
            </w:r>
          </w:p>
        </w:tc>
      </w:tr>
      <w:tr>
        <w:trPr>
          <w:cantSplit/>
        </w:trPr>
        <w:tc>
          <w:tcPr>
            <w:tcW w:type="dxa" w:w="3401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matplotlib</w:t>
            </w:r>
          </w:p>
        </w:tc>
        <w:tc>
          <w:tcPr>
            <w:tcW w:type="dxa" w:w="4535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3.10.8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75B5"/>
          <w:sz w:val="27"/>
        </w:rPr>
        <w:t>8.2 一键复现命令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52" w:lineRule="auto"/>
            </w:pPr>
            <w:r>
              <w:rPr>
                <w:rFonts w:ascii="DejaVu Sans Mono" w:hAnsi="DejaVu Sans Mono" w:eastAsia="DejaVu Sans Mono"/>
                <w:color w:val="24292F"/>
                <w:sz w:val="17"/>
              </w:rPr>
              <w:t>python -m venv .venv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7"/>
              </w:rPr>
              <w:t># Windows: .venv\Scripts\activate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7"/>
              </w:rPr>
              <w:t># macOS/Linux: source .venv/bin/activate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7"/>
              </w:rPr>
              <w:t>pip install -r requirements.txt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7"/>
              </w:rPr>
              <w:t>python run_stl_analysis.py \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7"/>
              </w:rPr>
              <w:t xml:space="preserve">  --zip "input/浙江省数据(1).zip" \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7"/>
              </w:rPr>
              <w:t xml:space="preserve">  --out "output"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75B5"/>
          <w:sz w:val="27"/>
        </w:rPr>
        <w:t>8.3 完整包目录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52" w:lineRule="auto"/>
            </w:pPr>
            <w:r>
              <w:rPr>
                <w:rFonts w:ascii="DejaVu Sans Mono" w:hAnsi="DejaVu Sans Mono" w:eastAsia="DejaVu Sans Mono"/>
                <w:color w:val="24292F"/>
                <w:sz w:val="16"/>
              </w:rPr>
              <w:t>STL电力经济分析完整包/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6"/>
              </w:rPr>
              <w:t>├── run_stl_analysis.py            # 完整可执行代码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6"/>
              </w:rPr>
              <w:t>├── requirements.txt               # 固定版本依赖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6"/>
              </w:rPr>
              <w:t>├── README.md                      # 运行说明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6"/>
              </w:rPr>
              <w:t>├── data_dictionary.md             # 输出字段定义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6"/>
              </w:rPr>
              <w:t>├── source_manifest.md             # 来源清单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6"/>
              </w:rPr>
              <w:t>├── input/浙江省数据(1).zip         # 原始输入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6"/>
              </w:rPr>
              <w:t>└── example_output/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6"/>
              </w:rPr>
              <w:t xml:space="preserve">    ├── data/                      # 清洗数据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6"/>
              </w:rPr>
              <w:t xml:space="preserve">    ├── results/                   # 完整 STL 与异常结果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6"/>
              </w:rPr>
              <w:t xml:space="preserve">    ├── figures/                   # 14 张结果图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6"/>
              </w:rPr>
              <w:t xml:space="preserve">    └── run_log.txt                # 实际运行日志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75B5"/>
          <w:sz w:val="27"/>
        </w:rPr>
        <w:t>8.4 主要结果文件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26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44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23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供谁使用</w:t>
            </w:r>
          </w:p>
        </w:tc>
      </w:tr>
      <w:tr>
        <w:trPr>
          <w:cantSplit/>
        </w:trPr>
        <w:tc>
          <w:tcPr>
            <w:tcW w:type="dxa" w:w="226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electricity_stl.csv</w:t>
            </w:r>
          </w:p>
        </w:tc>
        <w:tc>
          <w:tcPr>
            <w:tcW w:type="dxa" w:w="442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51个月完整趋势、季节、残差、残差率、春节/边界标记</w:t>
            </w:r>
          </w:p>
        </w:tc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分析人员/异常检测器</w:t>
            </w:r>
          </w:p>
        </w:tc>
      </w:tr>
      <w:tr>
        <w:trPr>
          <w:cantSplit/>
        </w:trPr>
        <w:tc>
          <w:tcPr>
            <w:tcW w:type="dxa" w:w="226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gdp_growth_stl.csv</w:t>
            </w:r>
          </w:p>
        </w:tc>
        <w:tc>
          <w:tcPr>
            <w:tcW w:type="dxa" w:w="4422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3个产业×64季度的增速分解</w:t>
            </w:r>
          </w:p>
        </w:tc>
        <w:tc>
          <w:tcPr>
            <w:tcW w:type="dxa" w:w="2381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经济诊断智能体</w:t>
            </w:r>
          </w:p>
        </w:tc>
      </w:tr>
      <w:tr>
        <w:trPr>
          <w:cantSplit/>
        </w:trPr>
        <w:tc>
          <w:tcPr>
            <w:tcW w:type="dxa" w:w="226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gdp_flow_log_stl.csv</w:t>
            </w:r>
          </w:p>
        </w:tc>
        <w:tc>
          <w:tcPr>
            <w:tcW w:type="dxa" w:w="442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单季值对数分解与Q4风险</w:t>
            </w:r>
          </w:p>
        </w:tc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数据质量智能体</w:t>
            </w:r>
          </w:p>
        </w:tc>
      </w:tr>
      <w:tr>
        <w:trPr>
          <w:cantSplit/>
        </w:trPr>
        <w:tc>
          <w:tcPr>
            <w:tcW w:type="dxa" w:w="226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anomalies.csv</w:t>
            </w:r>
          </w:p>
        </w:tc>
        <w:tc>
          <w:tcPr>
            <w:tcW w:type="dxa" w:w="4422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48条候选汇总</w:t>
            </w:r>
          </w:p>
        </w:tc>
        <w:tc>
          <w:tcPr>
            <w:tcW w:type="dxa" w:w="2381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人工复核/报告生成</w:t>
            </w:r>
          </w:p>
        </w:tc>
      </w:tr>
      <w:tr>
        <w:trPr>
          <w:cantSplit/>
        </w:trPr>
        <w:tc>
          <w:tcPr>
            <w:tcW w:type="dxa" w:w="226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anomaly_records.jsonl</w:t>
            </w:r>
          </w:p>
        </w:tc>
        <w:tc>
          <w:tcPr>
            <w:tcW w:type="dxa" w:w="442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原因、证据和规则齐全的结构化记录</w:t>
            </w:r>
          </w:p>
        </w:tc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LLM/RAG/知识图谱</w:t>
            </w:r>
          </w:p>
        </w:tc>
      </w:tr>
      <w:tr>
        <w:trPr>
          <w:cantSplit/>
        </w:trPr>
        <w:tc>
          <w:tcPr>
            <w:tcW w:type="dxa" w:w="226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analysis_summary.json</w:t>
            </w:r>
          </w:p>
        </w:tc>
        <w:tc>
          <w:tcPr>
            <w:tcW w:type="dxa" w:w="4422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关键参数和统计摘要</w:t>
            </w:r>
          </w:p>
        </w:tc>
        <w:tc>
          <w:tcPr>
            <w:tcW w:type="dxa" w:w="2381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前端/报告生成器</w:t>
            </w:r>
          </w:p>
        </w:tc>
      </w:tr>
      <w:tr>
        <w:trPr>
          <w:cantSplit/>
        </w:trPr>
        <w:tc>
          <w:tcPr>
            <w:tcW w:type="dxa" w:w="226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run_log.txt</w:t>
            </w:r>
          </w:p>
        </w:tc>
        <w:tc>
          <w:tcPr>
            <w:tcW w:type="dxa" w:w="442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实际运行环境和主要输出</w:t>
            </w:r>
          </w:p>
        </w:tc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答辩复核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60"/>
        <w:pBdr>
          <w:bottom w:val="single" w:sz="12" w:space="4" w:color="2F75B5"/>
        </w:pBdr>
      </w:pPr>
      <w:r>
        <w:rPr>
          <w:rFonts w:ascii="Noto Sans CJK SC" w:hAnsi="Noto Sans CJK SC" w:eastAsia="Noto Sans CJK SC"/>
          <w:b/>
          <w:color w:val="17365D"/>
          <w:sz w:val="34"/>
        </w:rPr>
        <w:t>9. 局限性与下一阶段数据补充</w:t>
      </w:r>
    </w:p>
    <w:p>
      <w:pPr>
        <w:spacing w:after="40" w:line="307" w:lineRule="auto"/>
        <w:ind w:left="425" w:hanging="312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1. </w:t>
      </w:r>
      <w:r>
        <w:rPr>
          <w:rFonts w:ascii="Noto Sans CJK SC" w:hAnsi="Noto Sans CJK SC" w:eastAsia="Noto Sans CJK SC"/>
          <w:color w:val="1F2937"/>
          <w:sz w:val="20"/>
        </w:rPr>
        <w:t>月度用电量只有 51 个月，刚超过 4 个年度周期。趋势端点和季节项仍可能随新增数据修正；报告已对首尾各6个月设置边界标记。</w:t>
      </w:r>
    </w:p>
    <w:p>
      <w:pPr>
        <w:spacing w:after="40" w:line="307" w:lineRule="auto"/>
        <w:ind w:left="425" w:hanging="312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2. </w:t>
      </w:r>
      <w:r>
        <w:rPr>
          <w:rFonts w:ascii="Noto Sans CJK SC" w:hAnsi="Noto Sans CJK SC" w:eastAsia="Noto Sans CJK SC"/>
          <w:color w:val="1F2937"/>
          <w:sz w:val="20"/>
        </w:rPr>
        <w:t>当前只有全社会总用电量，无法直接区分工业、服务业、居民和新能源充换电。下一步应采集分产业、分行业、分电压等级和重点企业用电。</w:t>
      </w:r>
    </w:p>
    <w:p>
      <w:pPr>
        <w:spacing w:after="40" w:line="307" w:lineRule="auto"/>
        <w:ind w:left="425" w:hanging="312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3. </w:t>
      </w:r>
      <w:r>
        <w:rPr>
          <w:rFonts w:ascii="Noto Sans CJK SC" w:hAnsi="Noto Sans CJK SC" w:eastAsia="Noto Sans CJK SC"/>
          <w:color w:val="1F2937"/>
          <w:sz w:val="20"/>
        </w:rPr>
        <w:t>缺少天气数据。建议至少补充月均温、最高温、最低温、高温日数、制冷度日 CDD、采暖度日 HDD、降水和极端天气事件。</w:t>
      </w:r>
    </w:p>
    <w:p>
      <w:pPr>
        <w:spacing w:after="40" w:line="307" w:lineRule="auto"/>
        <w:ind w:left="425" w:hanging="312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4. </w:t>
      </w:r>
      <w:r>
        <w:rPr>
          <w:rFonts w:ascii="Noto Sans CJK SC" w:hAnsi="Noto Sans CJK SC" w:eastAsia="Noto Sans CJK SC"/>
          <w:color w:val="1F2937"/>
          <w:sz w:val="20"/>
        </w:rPr>
        <w:t>GDP 数据为季度且部分为累计同比，因果定位粒度有限。应联接月度规上工业增加值、投资、消费、出口、PPI/CPI、房地产、交通物流和财政金融指标。</w:t>
      </w:r>
    </w:p>
    <w:p>
      <w:pPr>
        <w:spacing w:after="40" w:line="307" w:lineRule="auto"/>
        <w:ind w:left="425" w:hanging="312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5. </w:t>
      </w:r>
      <w:r>
        <w:rPr>
          <w:rFonts w:ascii="Noto Sans CJK SC" w:hAnsi="Noto Sans CJK SC" w:eastAsia="Noto Sans CJK SC"/>
          <w:color w:val="1F2937"/>
          <w:sz w:val="20"/>
        </w:rPr>
        <w:t>STL 是单变量分解，无法直接给出因果。后续可在残差层加入动态回归、贝叶斯结构时间序列、因果图、事件研究或合成控制，以提升原因判断的可验证性。</w:t>
      </w:r>
    </w:p>
    <w:p>
      <w:pPr>
        <w:spacing w:after="40" w:line="307" w:lineRule="auto"/>
        <w:ind w:left="425" w:hanging="312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6. </w:t>
      </w:r>
      <w:r>
        <w:rPr>
          <w:rFonts w:ascii="Noto Sans CJK SC" w:hAnsi="Noto Sans CJK SC" w:eastAsia="Noto Sans CJK SC"/>
          <w:color w:val="1F2937"/>
          <w:sz w:val="20"/>
        </w:rPr>
        <w:t>苏州、江门月度数据应继续累积，并把累计值转为单月流量；南京年度序列改用结构突变和长期趋势方法。多地区模型应采用统一字段、单位和行政区划编码。</w:t>
      </w:r>
    </w:p>
    <w:p>
      <w:pPr>
        <w:pStyle w:val="Heading2"/>
        <w:keepNext/>
        <w:spacing w:before="180" w:after="100"/>
      </w:pPr>
      <w:r>
        <w:rPr>
          <w:rFonts w:ascii="Noto Sans CJK SC" w:hAnsi="Noto Sans CJK SC" w:eastAsia="Noto Sans CJK SC"/>
          <w:b/>
          <w:color w:val="2F75B5"/>
          <w:sz w:val="27"/>
        </w:rPr>
        <w:t>9.1 推荐的数据采集优先级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24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9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</w:t>
            </w:r>
          </w:p>
        </w:tc>
        <w:tc>
          <w:tcPr>
            <w:tcW w:type="dxa" w:w="385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39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月度分行业用电 + 天气 + 节假日工作日</w:t>
            </w:r>
          </w:p>
        </w:tc>
        <w:tc>
          <w:tcPr>
            <w:tcW w:type="dxa" w:w="38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直接解释大多数短期用电异常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3968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规上工业增加值、服务业生产指数</w:t>
            </w:r>
          </w:p>
        </w:tc>
        <w:tc>
          <w:tcPr>
            <w:tcW w:type="dxa" w:w="3855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验证电力与经济活动的同步/背离</w:t>
            </w:r>
          </w:p>
        </w:tc>
      </w:tr>
      <w:tr>
        <w:trPr>
          <w:cantSplit/>
        </w:trPr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39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电价、需求响应、限电与政策事件</w:t>
            </w:r>
          </w:p>
        </w:tc>
        <w:tc>
          <w:tcPr>
            <w:tcW w:type="dxa" w:w="38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区分需求变化与供给/制度扰动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3968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企业开工率、重点行业订单/出口</w:t>
            </w:r>
          </w:p>
        </w:tc>
        <w:tc>
          <w:tcPr>
            <w:tcW w:type="dxa" w:w="3855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细化工业异常原因</w:t>
            </w:r>
          </w:p>
        </w:tc>
      </w:tr>
      <w:tr>
        <w:trPr>
          <w:cantSplit/>
        </w:trPr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P2</w:t>
            </w:r>
          </w:p>
        </w:tc>
        <w:tc>
          <w:tcPr>
            <w:tcW w:type="dxa" w:w="39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新闻与政策文本、统计公报修订说明</w:t>
            </w:r>
          </w:p>
        </w:tc>
        <w:tc>
          <w:tcPr>
            <w:tcW w:type="dxa" w:w="38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补充事件证据与统计口径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60"/>
        <w:pBdr>
          <w:bottom w:val="single" w:sz="12" w:space="4" w:color="2F75B5"/>
        </w:pBdr>
      </w:pPr>
      <w:r>
        <w:rPr>
          <w:rFonts w:ascii="Noto Sans CJK SC" w:hAnsi="Noto Sans CJK SC" w:eastAsia="Noto Sans CJK SC"/>
          <w:b/>
          <w:color w:val="17365D"/>
          <w:sz w:val="34"/>
        </w:rPr>
        <w:t>10. 结论</w:t>
      </w:r>
    </w:p>
    <w:p>
      <w:pPr>
        <w:spacing w:after="80" w:line="341" w:lineRule="auto"/>
        <w:ind w:firstLine="420"/>
      </w:pPr>
      <w:r>
        <w:rPr>
          <w:rFonts w:ascii="Noto Sans CJK SC" w:hAnsi="Noto Sans CJK SC" w:eastAsia="Noto Sans CJK SC"/>
          <w:color w:val="1F2937"/>
          <w:sz w:val="21"/>
        </w:rPr>
        <w:t>本次分析表明，STL 非常适合作为“电力经济 Claude Code”中的第一层确定性工具：它能够把复杂波动翻译成模型可理解的趋势、季节和残差，并给出稳定的异常候选。然而，真正决定系统可信度的不是“会不会分解”，而是能否在每次模型调用之间加入约束：移动春节要有日历规则，疫情恢复要有低基数规则，累计 GDP 差分要有年度核算规则，边界估计要有降权规则。</w:t>
      </w:r>
    </w:p>
    <w:p>
      <w:pPr>
        <w:spacing w:after="80" w:line="341" w:lineRule="auto"/>
        <w:ind w:firstLine="420"/>
      </w:pPr>
      <w:r>
        <w:rPr>
          <w:rFonts w:ascii="Noto Sans CJK SC" w:hAnsi="Noto Sans CJK SC" w:eastAsia="Noto Sans CJK SC"/>
          <w:color w:val="1F2937"/>
          <w:sz w:val="21"/>
        </w:rPr>
        <w:t>因此建议把系统设计成“数据获取与校核 → STL 特征解耦 → 异常候选 → 知识图谱证据检索 → 规则约束推理 → 报告/问答输出”的闭环。本报告和完整代码包已经实现其中可运行的前半段，并为后续知识图谱、RAG 和多智能体协同提供了直接接口。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line="317" w:lineRule="auto"/>
            </w:pPr>
            <w:r>
              <w:rPr>
                <w:rFonts w:ascii="Noto Sans CJK SC" w:hAnsi="Noto Sans CJK SC" w:eastAsia="Noto Sans CJK SC"/>
                <w:b/>
                <w:color w:val="7F6000"/>
                <w:sz w:val="21"/>
              </w:rPr>
              <w:t xml:space="preserve">可交付结论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本次结果可直接用于阶段汇报：数据真实可校核，算法可复现，异常结果有明确数值，误判风险有规则约束，输出可直接进入知识图谱和大模型。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60"/>
        <w:pBdr>
          <w:bottom w:val="single" w:sz="12" w:space="4" w:color="2F75B5"/>
        </w:pBdr>
      </w:pPr>
      <w:r>
        <w:rPr>
          <w:rFonts w:ascii="Noto Sans CJK SC" w:hAnsi="Noto Sans CJK SC" w:eastAsia="Noto Sans CJK SC"/>
          <w:b/>
          <w:color w:val="17365D"/>
          <w:sz w:val="34"/>
        </w:rPr>
        <w:t>参考资料</w:t>
      </w:r>
    </w:p>
    <w:p>
      <w:pPr>
        <w:spacing w:after="60"/>
        <w:ind w:left="397" w:hanging="397"/>
      </w:pPr>
      <w:r>
        <w:rPr>
          <w:rFonts w:ascii="Noto Sans CJK SC" w:hAnsi="Noto Sans CJK SC" w:eastAsia="Noto Sans CJK SC"/>
          <w:color w:val="444444"/>
          <w:sz w:val="17"/>
        </w:rPr>
        <w:t>[1] Cleveland, R. B., Cleveland, W. S., McRae, J. E., &amp; Terpenning, I. (1990). STL: A Seasonal-Trend Decomposition Procedure Based on Loess. Journal of Official Statistics, 6(1), 3-73.</w:t>
      </w:r>
    </w:p>
    <w:p>
      <w:pPr>
        <w:spacing w:after="60"/>
        <w:ind w:left="397" w:hanging="397"/>
      </w:pPr>
      <w:r>
        <w:rPr>
          <w:rFonts w:ascii="Noto Sans CJK SC" w:hAnsi="Noto Sans CJK SC" w:eastAsia="Noto Sans CJK SC"/>
          <w:color w:val="444444"/>
          <w:sz w:val="17"/>
        </w:rPr>
        <w:t>[2] statsmodels 0.14.6 documentation: statsmodels.tsa.seasonal.STL. https://www.statsmodels.org/stable/generated/statsmodels.tsa.seasonal.STL.html</w:t>
      </w:r>
    </w:p>
    <w:p>
      <w:pPr>
        <w:spacing w:after="60"/>
        <w:ind w:left="397" w:hanging="397"/>
      </w:pPr>
      <w:r>
        <w:rPr>
          <w:rFonts w:ascii="Noto Sans CJK SC" w:hAnsi="Noto Sans CJK SC" w:eastAsia="Noto Sans CJK SC"/>
          <w:color w:val="444444"/>
          <w:sz w:val="17"/>
        </w:rPr>
        <w:t>[3] Hyndman, R. J. &amp; Athanasopoulos, G. Forecasting: Principles and Practice, STL decomposition. https://otexts.com/fpp3/stl.html</w:t>
      </w:r>
    </w:p>
    <w:p>
      <w:pPr>
        <w:spacing w:after="60"/>
        <w:ind w:left="397" w:hanging="397"/>
      </w:pPr>
      <w:r>
        <w:rPr>
          <w:rFonts w:ascii="Noto Sans CJK SC" w:hAnsi="Noto Sans CJK SC" w:eastAsia="Noto Sans CJK SC"/>
          <w:color w:val="444444"/>
          <w:sz w:val="17"/>
        </w:rPr>
        <w:t>[4] 人民网浙江频道：2021年浙江全社会用电量增长14.17%，2022-01-07。https://zj.people.com.cn/n2/2022/0107/c186327-35086347.html</w:t>
      </w:r>
    </w:p>
    <w:p>
      <w:pPr>
        <w:spacing w:after="60"/>
        <w:ind w:left="397" w:hanging="397"/>
      </w:pPr>
      <w:r>
        <w:rPr>
          <w:rFonts w:ascii="Noto Sans CJK SC" w:hAnsi="Noto Sans CJK SC" w:eastAsia="Noto Sans CJK SC"/>
          <w:color w:val="444444"/>
          <w:sz w:val="17"/>
        </w:rPr>
        <w:t>[5] 新华网浙江频道（来源：国网浙江电力）：2024年浙江全社会用电量6780亿千瓦时，2025-01-20。https://www.zj.xinhuanet.com/20250120/eafe98e109de4e9f9f6d5af0ccafb248/c.html</w:t>
      </w:r>
    </w:p>
    <w:p>
      <w:pPr>
        <w:spacing w:after="60"/>
        <w:ind w:left="397" w:hanging="397"/>
      </w:pPr>
      <w:r>
        <w:rPr>
          <w:rFonts w:ascii="Noto Sans CJK SC" w:hAnsi="Noto Sans CJK SC" w:eastAsia="Noto Sans CJK SC"/>
          <w:color w:val="444444"/>
          <w:sz w:val="17"/>
        </w:rPr>
        <w:t>[6] 浙江省经济信息中心/浙江日报：全省一季度GDP同比增长6.0%，2025-04-23。https://zjic.zj.gov.cn/ywdh/jjyx/202504/t20250422_23401147.shtml</w:t>
      </w:r>
    </w:p>
    <w:p>
      <w:pPr>
        <w:spacing w:after="60"/>
        <w:ind w:left="397" w:hanging="397"/>
      </w:pPr>
      <w:r>
        <w:rPr>
          <w:rFonts w:ascii="Noto Sans CJK SC" w:hAnsi="Noto Sans CJK SC" w:eastAsia="Noto Sans CJK SC"/>
          <w:color w:val="444444"/>
          <w:sz w:val="17"/>
        </w:rPr>
        <w:t>[7] 中国政府网：国务院办公厅关于2021年部分节假日安排的通知。https://app.www.gov.cn/govdata/gov/202011/25/465322/article.html</w:t>
      </w:r>
    </w:p>
    <w:p>
      <w:pPr>
        <w:spacing w:after="60"/>
        <w:ind w:left="397" w:hanging="397"/>
      </w:pPr>
      <w:r>
        <w:rPr>
          <w:rFonts w:ascii="Noto Sans CJK SC" w:hAnsi="Noto Sans CJK SC" w:eastAsia="Noto Sans CJK SC"/>
          <w:color w:val="444444"/>
          <w:sz w:val="17"/>
        </w:rPr>
        <w:t>[8] 中国政府网：国务院办公厅关于2024年部分节假日安排的通知。https://app.www.gov.cn/govdata/gov/202310/25/508678/article.html</w:t>
      </w:r>
    </w:p>
    <w:p>
      <w:pPr>
        <w:spacing w:after="60"/>
        <w:ind w:left="397" w:hanging="397"/>
      </w:pPr>
      <w:r>
        <w:rPr>
          <w:rFonts w:ascii="Noto Sans CJK SC" w:hAnsi="Noto Sans CJK SC" w:eastAsia="Noto Sans CJK SC"/>
          <w:color w:val="444444"/>
          <w:sz w:val="17"/>
        </w:rPr>
        <w:t>[9] 用户提供：data(苏州+南京+江门).docx，包含苏州、南京、江门统计部门官方数据入口与截图。</w:t>
      </w:r>
    </w:p>
    <w:p>
      <w:pPr>
        <w:spacing w:after="60"/>
        <w:ind w:left="397" w:hanging="397"/>
      </w:pPr>
      <w:r>
        <w:rPr>
          <w:rFonts w:ascii="Noto Sans CJK SC" w:hAnsi="Noto Sans CJK SC" w:eastAsia="Noto Sans CJK SC"/>
          <w:color w:val="444444"/>
          <w:sz w:val="17"/>
        </w:rPr>
        <w:t>[10] 用户提供：浙江省数据(1).zip，包含本次实际分析的月度用电、季度产业数据和近五年节假日通知。</w:t>
      </w:r>
    </w:p>
    <w:p>
      <w:pPr>
        <w:spacing w:after="60"/>
        <w:ind w:left="397" w:hanging="397"/>
      </w:pPr>
      <w:r>
        <w:rPr>
          <w:rFonts w:ascii="Noto Sans CJK SC" w:hAnsi="Noto Sans CJK SC" w:eastAsia="Noto Sans CJK SC"/>
          <w:color w:val="444444"/>
          <w:sz w:val="17"/>
        </w:rPr>
        <w:t>[11] 用户提供：开题答辩PPT.pdf，项目方法流程与目标说明。</w:t>
      </w:r>
    </w:p>
    <w:p>
      <w:pPr>
        <w:pStyle w:val="Heading1"/>
        <w:keepNext/>
        <w:spacing w:before="240" w:after="160"/>
        <w:pBdr>
          <w:bottom w:val="single" w:sz="12" w:space="4" w:color="2F75B5"/>
        </w:pBdr>
      </w:pPr>
      <w:r>
        <w:rPr>
          <w:rFonts w:ascii="Noto Sans CJK SC" w:hAnsi="Noto Sans CJK SC" w:eastAsia="Noto Sans CJK SC"/>
          <w:b/>
          <w:color w:val="17365D"/>
          <w:sz w:val="34"/>
        </w:rPr>
        <w:t>附录A：完整结果索引</w:t>
      </w:r>
    </w:p>
    <w:p>
      <w:pPr>
        <w:spacing w:after="80" w:line="341" w:lineRule="auto"/>
        <w:ind w:firstLine="420"/>
      </w:pPr>
      <w:r>
        <w:rPr>
          <w:rFonts w:ascii="Noto Sans CJK SC" w:hAnsi="Noto Sans CJK SC" w:eastAsia="Noto Sans CJK SC"/>
          <w:color w:val="1F2937"/>
          <w:sz w:val="21"/>
        </w:rPr>
        <w:t>为避免在正文中放置数百行表格，所有逐期结果均已写入 CSV/JSONL。下表给出对应路径；这些文件与本报告一起打包。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453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1133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行数（约）</w:t>
            </w:r>
          </w:p>
        </w:tc>
        <w:tc>
          <w:tcPr>
            <w:tcW w:type="dxa" w:w="340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example_output/data/clean_electricity_monthly.csv</w:t>
            </w:r>
          </w:p>
        </w:tc>
        <w:tc>
          <w:tcPr>
            <w:tcW w:type="dxa" w:w="11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51</w:t>
            </w:r>
          </w:p>
        </w:tc>
        <w:tc>
          <w:tcPr>
            <w:tcW w:type="dxa" w:w="34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月度清洗数据</w:t>
            </w:r>
          </w:p>
        </w:tc>
      </w:tr>
      <w:tr>
        <w:trPr>
          <w:cantSplit/>
        </w:trPr>
        <w:tc>
          <w:tcPr>
            <w:tcW w:type="dxa" w:w="4535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example_output/data/clean_gdp_quarterly.csv</w:t>
            </w:r>
          </w:p>
        </w:tc>
        <w:tc>
          <w:tcPr>
            <w:tcW w:type="dxa" w:w="113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348</w:t>
            </w:r>
          </w:p>
        </w:tc>
        <w:tc>
          <w:tcPr>
            <w:tcW w:type="dxa" w:w="3401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1997-2025三次产业季度累计与单季值</w:t>
            </w:r>
          </w:p>
        </w:tc>
      </w:tr>
      <w:tr>
        <w:trPr>
          <w:cantSplit/>
        </w:trPr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example_output/results/electricity_stl.csv</w:t>
            </w:r>
          </w:p>
        </w:tc>
        <w:tc>
          <w:tcPr>
            <w:tcW w:type="dxa" w:w="11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51</w:t>
            </w:r>
          </w:p>
        </w:tc>
        <w:tc>
          <w:tcPr>
            <w:tcW w:type="dxa" w:w="34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月度分解完整结果</w:t>
            </w:r>
          </w:p>
        </w:tc>
      </w:tr>
      <w:tr>
        <w:trPr>
          <w:cantSplit/>
        </w:trPr>
        <w:tc>
          <w:tcPr>
            <w:tcW w:type="dxa" w:w="4535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example_output/results/gdp_growth_stl.csv</w:t>
            </w:r>
          </w:p>
        </w:tc>
        <w:tc>
          <w:tcPr>
            <w:tcW w:type="dxa" w:w="113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192</w:t>
            </w:r>
          </w:p>
        </w:tc>
        <w:tc>
          <w:tcPr>
            <w:tcW w:type="dxa" w:w="3401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2010Q1-2025Q4，3产业</w:t>
            </w:r>
          </w:p>
        </w:tc>
      </w:tr>
      <w:tr>
        <w:trPr>
          <w:cantSplit/>
        </w:trPr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example_output/results/gdp_flow_log_stl.csv</w:t>
            </w:r>
          </w:p>
        </w:tc>
        <w:tc>
          <w:tcPr>
            <w:tcW w:type="dxa" w:w="11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192</w:t>
            </w:r>
          </w:p>
        </w:tc>
        <w:tc>
          <w:tcPr>
            <w:tcW w:type="dxa" w:w="34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单季值对数 STL</w:t>
            </w:r>
          </w:p>
        </w:tc>
      </w:tr>
      <w:tr>
        <w:trPr>
          <w:cantSplit/>
        </w:trPr>
        <w:tc>
          <w:tcPr>
            <w:tcW w:type="dxa" w:w="4535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example_output/results/anomalies.csv</w:t>
            </w:r>
          </w:p>
        </w:tc>
        <w:tc>
          <w:tcPr>
            <w:tcW w:type="dxa" w:w="1133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48</w:t>
            </w:r>
          </w:p>
        </w:tc>
        <w:tc>
          <w:tcPr>
            <w:tcW w:type="dxa" w:w="3401"/>
            <w:shd w:fill="F8FAFC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全部候选汇总</w:t>
            </w:r>
          </w:p>
        </w:tc>
      </w:tr>
      <w:tr>
        <w:trPr>
          <w:cantSplit/>
        </w:trPr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example_output/results/anomaly_records.jsonl</w:t>
            </w:r>
          </w:p>
        </w:tc>
        <w:tc>
          <w:tcPr>
            <w:tcW w:type="dxa" w:w="11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48</w:t>
            </w:r>
          </w:p>
        </w:tc>
        <w:tc>
          <w:tcPr>
            <w:tcW w:type="dxa" w:w="340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大模型/图谱记录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60"/>
        <w:pBdr>
          <w:bottom w:val="single" w:sz="12" w:space="4" w:color="2F75B5"/>
        </w:pBdr>
      </w:pPr>
      <w:r>
        <w:rPr>
          <w:rFonts w:ascii="Noto Sans CJK SC" w:hAnsi="Noto Sans CJK SC" w:eastAsia="Noto Sans CJK SC"/>
          <w:b/>
          <w:color w:val="17365D"/>
          <w:sz w:val="34"/>
        </w:rPr>
        <w:t>附录B：运行日志节选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52" w:lineRule="auto"/>
            </w:pPr>
            <w:r>
              <w:rPr>
                <w:rFonts w:ascii="DejaVu Sans Mono" w:hAnsi="DejaVu Sans Mono" w:eastAsia="DejaVu Sans Mono"/>
                <w:color w:val="24292F"/>
                <w:sz w:val="13"/>
              </w:rPr>
              <w:t>浙江电力经济数据 STL 分解运行日志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>============================================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>输入：/mnt/data/浙江省数据(1).zip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>输出：/mnt/data/stl_work/output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>Python 3.13.5 | numpy 2.3.5 | statsmodels 0.14.6 | matplotlib 3.10.8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>[节假日文档校验]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>2021 春节区间校验：通过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>2022 春节区间校验：通过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>2023 春节区间校验：通过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>2024 春节区间校验：通过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>2025 春节区间校验：通过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>[月度用电量]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>样本：51 个月，2021-01-01 至 2025-03-01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>STL 参数：{"period": 12, "seasonal": 13, "trend": 21, "low_pass": 13, "robust": true}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>趋势起点：452.627 亿千瓦时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>趋势终点：587.432 亿千瓦时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>趋势累计增长：29.78%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>折算年化趋势增速：6.46%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>趋势强度：0.681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>季节强度：0.854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>strong 候选：5 个；watch 候选：5 个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>月度平均季节项（亿千瓦时）：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01月：-61.464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02月：-109.442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03月：-7.283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04月：-37.616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05月：-21.910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06月：-4.986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07月：+125.230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08月：+134.050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09月：+55.789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10月：-38.027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11月：-40.781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12月：+15.481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>年度汇总（亿千瓦时）：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2021: 5514.111 （完整年度）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2022: 5799.348 （完整年度）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2023: 6191.998 （完整年度）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2024: 6780.851 （完整年度）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2025: 1527.155 （不完整年度）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>[用电量异常候选]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2021-01 watch: observed=465.60, residual/trend=+8.83%, 春节假期天数=0, edge=1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2021-02 strong: observed=256.10, residual/trend=-22.83%, 春节假期天数=7, edge=1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2022-05 watch: observed=438.44, residual/trend=-6.14%, 春节假期天数=0, edge=0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2022-09 strong: observed=483.31, residual/trend=-13.00%, 春节假期天数=0, edge=0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2023-01 strong: observed=341.15, residual/trend=-20.43%, 春节假期天数=7, edge=0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2023-02 watch: observed=442.30, residual/trend=+8.48%, 春节假期天数=0, edge=0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2023-08 watch: observed=635.74, residual/trend=-7.28%, 春节假期天数=0, edge=0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2023-09 watch: observed=557.71, residual/trend=-6.17%, 春节假期天数=0, edge=0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2024-01 strong: observed=551.65, residual/trend=+15.58%, 春节假期天数=0, edge=0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2024-02 strong: observed=354.78, residual/trend=-14.09%, 春节假期天数=8, edge=0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>[GDP累计同比增速异常候选]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第三产业 2021Q1 strong: observed=15.40%, residual=+8.74个百分点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第三产业 2020Q1 strong: observed=-1.50%, residual=-8.45个百分点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第三产业 2021Q2 strong: observed=11.50%, residual=+7.52个百分点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第三产业 2022Q1 watch: observed=3.50%, residual=-4.54个百分点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第三产业 2023Q2 watch: observed=8.40%, residual=+4.12个百分点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第三产业 2022Q3 watch: observed=2.30%, residual=-4.11个百分点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第三产业 2022Q2 watch: observed=1.50%, residual=-3.18个百分点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第二产业 2021Q1 strong: observed=27.10%, residual=+22.91个百分点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第二产业 2021Q2 strong: observed=16.90%, residual=+15.90个百分点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第二产业 2020Q1 strong: observed=-11.00%, residual=-15.68个百分点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第二产业 2021Q3 strong: observed=13.30%, residual=+8.56个百分点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第二产业 2022Q4 watch: observed=3.40%, residual=-3.82个百分点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第二产业 2023Q1 watch: observed=2.70%, residual=-3.78个百分点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第二产业 2019Q2 watch: observed=6.10%, residual=+3.45个百分点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>[数据质量与解释约束]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- 第一产业 2010年前累计值差分出现非正单季值：1997Q3；主分析从2010Q1开始。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- 第三产业 2010年前累计值差分出现非正单季值：1997Q3；主分析从2010Q1开始。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- 1-2月移动春节不能由固定12月季节项自动吸收，需显式加入节假日特征。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- 2020Q1/2021Q1-Q3的同比异常需优先解释为疫情冲击与低基数复苏。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- 累计GDP做差后的Q4异常需优先检查年度核算与数据修订。</w:t>
            </w:r>
            <w:r>
              <w:br/>
            </w:r>
            <w:r>
              <w:rPr>
                <w:rFonts w:ascii="DejaVu Sans Mono" w:hAnsi="DejaVu Sans Mono" w:eastAsia="DejaVu Sans Mono"/>
                <w:color w:val="24292F"/>
                <w:sz w:val="13"/>
              </w:rPr>
              <w:t xml:space="preserve">  - STL残差不是因果结论。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92" w:right="1077" w:bottom="935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t xml:space="preserve">第 </w:t>
    </w:r>
    <w:fldSimple w:instr="PAGE">
      <w:r>
        <w:rPr>
          <w:rFonts w:eastAsia="Noto Sans CJK SC"/>
        </w:rPr>
        <w:t>1</w:t>
      </w:r>
    </w:fldSimple>
    <w:r>
      <w:rPr>
        <w:rFonts w:ascii="Noto Sans CJK SC" w:hAnsi="Noto Sans CJK SC" w:eastAsia="Noto Sans CJK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7"/>
      </w:rPr>
      <w:t>浙江电力经济数据 STL 分解与知识增强诊断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