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Noto Sans CJK SC" w:hAnsi="Noto Sans CJK SC" w:eastAsia="Noto Sans CJK SC"/>
          <w:b/>
          <w:color w:val="123B5D"/>
          <w:sz w:val="54"/>
        </w:rPr>
        <w:t>浙江省电力—经济数据</w:t>
        <w:br/>
        <w:t>STL 分解与智能体接口设计</w:t>
      </w:r>
    </w:p>
    <w:p>
      <w:pPr>
        <w:spacing w:before="280"/>
        <w:jc w:val="center"/>
      </w:pPr>
      <w:r>
        <w:rPr>
          <w:rFonts w:ascii="Noto Sans CJK SC" w:hAnsi="Noto Sans CJK SC" w:eastAsia="Noto Sans CJK SC"/>
          <w:color w:val="1F5A7A"/>
          <w:sz w:val="27"/>
        </w:rPr>
        <w:t>面向“电力经济领域 Claude Code”的数据获取、特征解耦与知识图谱前置工程</w:t>
      </w:r>
    </w:p>
    <w:p>
      <w:pPr>
        <w:spacing w:before="1000"/>
        <w:jc w:val="center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871"/>
            <w:shd w:fill="DCEAF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21"/>
              </w:rPr>
              <w:t>研究对象</w:t>
            </w:r>
          </w:p>
        </w:tc>
        <w:tc>
          <w:tcPr>
            <w:tcW w:type="dxa" w:w="70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21"/>
              </w:rPr>
              <w:t>浙江省全社会用电量与三次产业增加值</w:t>
            </w:r>
          </w:p>
        </w:tc>
      </w:tr>
      <w:tr>
        <w:tc>
          <w:tcPr>
            <w:tcW w:type="dxa" w:w="1871"/>
            <w:shd w:fill="DCEAF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21"/>
              </w:rPr>
              <w:t>时间范围</w:t>
            </w:r>
          </w:p>
        </w:tc>
        <w:tc>
          <w:tcPr>
            <w:tcW w:type="dxa" w:w="70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21"/>
              </w:rPr>
              <w:t>电力：2021-01—2025-03；GDP：2000Q1—2025Q4</w:t>
            </w:r>
          </w:p>
        </w:tc>
      </w:tr>
      <w:tr>
        <w:tc>
          <w:tcPr>
            <w:tcW w:type="dxa" w:w="1871"/>
            <w:shd w:fill="DCEAF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21"/>
              </w:rPr>
              <w:t>核心方法</w:t>
            </w:r>
          </w:p>
        </w:tc>
        <w:tc>
          <w:tcPr>
            <w:tcW w:type="dxa" w:w="70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21"/>
              </w:rPr>
              <w:t>log-STL、鲁棒异常检测、节假日特征、知识图谱与模型输入翻译</w:t>
            </w:r>
          </w:p>
        </w:tc>
      </w:tr>
      <w:tr>
        <w:tc>
          <w:tcPr>
            <w:tcW w:type="dxa" w:w="1871"/>
            <w:shd w:fill="DCEAF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21"/>
              </w:rPr>
              <w:t>交付内容</w:t>
            </w:r>
          </w:p>
        </w:tc>
        <w:tc>
          <w:tcPr>
            <w:tcW w:type="dxa" w:w="70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21"/>
              </w:rPr>
              <w:t>完整代码、运行结果、结果工作簿、模型 JSONL、知识图谱 CSV</w:t>
            </w:r>
          </w:p>
        </w:tc>
      </w:tr>
      <w:tr>
        <w:tc>
          <w:tcPr>
            <w:tcW w:type="dxa" w:w="1871"/>
            <w:shd w:fill="DCEAF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21"/>
              </w:rPr>
              <w:t>生成日期</w:t>
            </w:r>
          </w:p>
        </w:tc>
        <w:tc>
          <w:tcPr>
            <w:tcW w:type="dxa" w:w="70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21"/>
              </w:rPr>
              <w:t>2026-07-24</w:t>
            </w:r>
          </w:p>
        </w:tc>
      </w:tr>
    </w:tbl>
    <w:p>
      <w:pPr>
        <w:spacing w:before="1400"/>
        <w:jc w:val="center"/>
      </w:pPr>
      <w:r>
        <w:rPr>
          <w:rFonts w:ascii="Noto Sans CJK SC" w:hAnsi="Noto Sans CJK SC" w:eastAsia="Noto Sans CJK SC"/>
          <w:color w:val="5A5A5A"/>
          <w:sz w:val="20"/>
        </w:rPr>
        <w:t>基于用户提供的开题材料、浙江省数据文件与公开权威信息完成</w:t>
      </w:r>
    </w:p>
    <w:p>
      <w:r>
        <w:br w:type="page"/>
      </w:r>
    </w:p>
    <w:p>
      <w:pPr>
        <w:pStyle w:val="Heading1"/>
        <w:keepNext/>
        <w:spacing w:before="200" w:after="100"/>
      </w:pPr>
      <w:r>
        <w:rPr>
          <w:rFonts w:ascii="Noto Sans CJK SC" w:hAnsi="Noto Sans CJK SC" w:eastAsia="Noto Sans CJK SC"/>
          <w:b/>
          <w:color w:val="123B5D"/>
          <w:sz w:val="32"/>
        </w:rPr>
        <w:t>摘要</w:t>
      </w:r>
    </w:p>
    <w:p>
      <w:pPr>
        <w:spacing w:line="348" w:lineRule="auto" w:after="100"/>
        <w:ind w:firstLine="420"/>
      </w:pPr>
      <w:r>
        <w:rPr>
          <w:rFonts w:ascii="Noto Sans CJK SC" w:hAnsi="Noto Sans CJK SC" w:eastAsia="Noto Sans CJK SC"/>
          <w:sz w:val="21"/>
        </w:rPr>
        <w:t>本报告围绕老师强调的“数据获取—STL 分解—知识图谱构建”三个重点，完成了一个可以直接接入后续大模型智能体的前置数据工程闭环。系统先把原始 Excel 和节假日文档转为统一、可审计的时序记录，再通过鲁棒 log-STL 分离趋势、季节和不规则项，最后将异常、候选原因、证据缺口、数据来源与质量标记翻译为 JSONL 和知识图谱节点/关系。</w:t>
      </w:r>
    </w:p>
    <w:p>
      <w:pPr>
        <w:spacing w:line="348" w:lineRule="auto" w:after="100"/>
        <w:ind w:firstLine="420"/>
      </w:pPr>
      <w:r>
        <w:rPr>
          <w:rFonts w:ascii="Noto Sans CJK SC" w:hAnsi="Noto Sans CJK SC" w:eastAsia="Noto Sans CJK SC"/>
          <w:sz w:val="21"/>
        </w:rPr>
        <w:t>本次运行处理浙江省月度全社会用电量 51 条、三次产业单季度增加值 312 条，共生成 363 条模型输入记录；识别电力 high 异常 7 条、GDP high 异常 22 条；构建知识图谱 647 个节点、1235 条关系。2024 年月度用电量求和为 6780.85 亿千瓦时，与公开权威口径的 6780 亿千瓦时基本一致；2025 年三次产业累计值分别为 2657、35682、56206 亿元，也与浙江统计公报一致。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41"/>
      </w:tblGrid>
      <w:tr>
        <w:trPr>
          <w:cantSplit/>
        </w:trPr>
        <w:tc>
          <w:tcPr>
            <w:tcW w:type="dxa" w:w="10200"/>
            <w:shd w:fill="FFF4D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7A4B00"/>
                <w:sz w:val="21"/>
              </w:rPr>
              <w:t>最重要的解释边界</w:t>
            </w:r>
          </w:p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9"/>
              </w:rPr>
              <w:t>STL 负责回答“什么时候偏离了正常趋势和季节规律”，不能单独证明“为什么”。因此本成果把春节、天气、工业生产、政策/电网事件等写成候选解释与待补证据，而不是直接写成因果结论。</w:t>
            </w:r>
          </w:p>
        </w:tc>
      </w:tr>
    </w:tbl>
    <w:p>
      <w:pPr>
        <w:pStyle w:val="Heading2"/>
        <w:keepNext/>
        <w:spacing w:before="140" w:after="100"/>
      </w:pPr>
      <w:r>
        <w:rPr>
          <w:rFonts w:ascii="Noto Sans CJK SC" w:hAnsi="Noto Sans CJK SC" w:eastAsia="Noto Sans CJK SC"/>
          <w:b/>
          <w:color w:val="123B5D"/>
          <w:sz w:val="26"/>
        </w:rPr>
        <w:t>主要交付物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1"/>
        </w:rPr>
        <w:t>完整可重跑代码：stl_power_economy_pipeline.py。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1"/>
        </w:rPr>
        <w:t>结构化结果：电力/GDP STL 明细、异常清单、节假日特征、质量检查、数据源登记。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1"/>
        </w:rPr>
        <w:t>模型接口：363 条 JSONL，每条包含观测、分解、异常、上下文、证据需求与溯源。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1"/>
        </w:rPr>
        <w:t>知识图谱：Region—Metric—Time—Observation—Anomaly—Holiday—CauseHypothesis 节点与关系。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1"/>
        </w:rPr>
        <w:t>可视化与工作簿：8 张分析图、1 个可筛选 Excel 结果工作簿。</w:t>
      </w:r>
    </w:p>
    <w:p>
      <w:r>
        <w:br w:type="page"/>
      </w:r>
    </w:p>
    <w:p>
      <w:pPr>
        <w:pStyle w:val="Heading1"/>
        <w:keepNext/>
        <w:spacing w:before="200" w:after="100"/>
      </w:pPr>
      <w:r>
        <w:rPr>
          <w:rFonts w:ascii="Noto Sans CJK SC" w:hAnsi="Noto Sans CJK SC" w:eastAsia="Noto Sans CJK SC"/>
          <w:b/>
          <w:color w:val="123B5D"/>
          <w:sz w:val="32"/>
        </w:rPr>
        <w:t>目录</w:t>
      </w:r>
    </w:p>
    <w:p>
      <w:pPr>
        <w:spacing w:after="80"/>
        <w:ind w:left="397"/>
      </w:pPr>
      <w:r>
        <w:rPr>
          <w:rFonts w:ascii="Noto Sans CJK SC" w:hAnsi="Noto Sans CJK SC" w:eastAsia="Noto Sans CJK SC"/>
          <w:sz w:val="22"/>
        </w:rPr>
        <w:t>1 任务理解与项目衔接</w:t>
      </w:r>
    </w:p>
    <w:p>
      <w:pPr>
        <w:spacing w:after="80"/>
        <w:ind w:left="397"/>
      </w:pPr>
      <w:r>
        <w:rPr>
          <w:rFonts w:ascii="Noto Sans CJK SC" w:hAnsi="Noto Sans CJK SC" w:eastAsia="Noto Sans CJK SC"/>
          <w:sz w:val="22"/>
        </w:rPr>
        <w:t>2 数据获取、来源登记与适用性判断</w:t>
      </w:r>
    </w:p>
    <w:p>
      <w:pPr>
        <w:spacing w:after="80"/>
        <w:ind w:left="397"/>
      </w:pPr>
      <w:r>
        <w:rPr>
          <w:rFonts w:ascii="Noto Sans CJK SC" w:hAnsi="Noto Sans CJK SC" w:eastAsia="Noto Sans CJK SC"/>
          <w:sz w:val="22"/>
        </w:rPr>
        <w:t>3 原始数据到模型可读数据的翻译</w:t>
      </w:r>
    </w:p>
    <w:p>
      <w:pPr>
        <w:spacing w:after="80"/>
        <w:ind w:left="397"/>
      </w:pPr>
      <w:r>
        <w:rPr>
          <w:rFonts w:ascii="Noto Sans CJK SC" w:hAnsi="Noto Sans CJK SC" w:eastAsia="Noto Sans CJK SC"/>
          <w:sz w:val="22"/>
        </w:rPr>
        <w:t>4 STL 分解算法、参数与异常规则</w:t>
      </w:r>
    </w:p>
    <w:p>
      <w:pPr>
        <w:spacing w:after="80"/>
        <w:ind w:left="397"/>
      </w:pPr>
      <w:r>
        <w:rPr>
          <w:rFonts w:ascii="Noto Sans CJK SC" w:hAnsi="Noto Sans CJK SC" w:eastAsia="Noto Sans CJK SC"/>
          <w:sz w:val="22"/>
        </w:rPr>
        <w:t>5 完整代码结构与运行方式</w:t>
      </w:r>
    </w:p>
    <w:p>
      <w:pPr>
        <w:spacing w:after="80"/>
        <w:ind w:left="397"/>
      </w:pPr>
      <w:r>
        <w:rPr>
          <w:rFonts w:ascii="Noto Sans CJK SC" w:hAnsi="Noto Sans CJK SC" w:eastAsia="Noto Sans CJK SC"/>
          <w:sz w:val="22"/>
        </w:rPr>
        <w:t>6 浙江省全社会用电量 STL 结果</w:t>
      </w:r>
    </w:p>
    <w:p>
      <w:pPr>
        <w:spacing w:after="80"/>
        <w:ind w:left="397"/>
      </w:pPr>
      <w:r>
        <w:rPr>
          <w:rFonts w:ascii="Noto Sans CJK SC" w:hAnsi="Noto Sans CJK SC" w:eastAsia="Noto Sans CJK SC"/>
          <w:sz w:val="22"/>
        </w:rPr>
        <w:t>7 三次产业季度增加值 STL 结果</w:t>
      </w:r>
    </w:p>
    <w:p>
      <w:pPr>
        <w:spacing w:after="80"/>
        <w:ind w:left="397"/>
      </w:pPr>
      <w:r>
        <w:rPr>
          <w:rFonts w:ascii="Noto Sans CJK SC" w:hAnsi="Noto Sans CJK SC" w:eastAsia="Noto Sans CJK SC"/>
          <w:sz w:val="22"/>
        </w:rPr>
        <w:t>8 知识图谱与模型调用规则设计</w:t>
      </w:r>
    </w:p>
    <w:p>
      <w:pPr>
        <w:spacing w:after="80"/>
        <w:ind w:left="397"/>
      </w:pPr>
      <w:r>
        <w:rPr>
          <w:rFonts w:ascii="Noto Sans CJK SC" w:hAnsi="Noto Sans CJK SC" w:eastAsia="Noto Sans CJK SC"/>
          <w:sz w:val="22"/>
        </w:rPr>
        <w:t>9 数据质量、局限与下一步工作</w:t>
      </w:r>
    </w:p>
    <w:p>
      <w:pPr>
        <w:spacing w:after="80"/>
        <w:ind w:left="397"/>
      </w:pPr>
      <w:r>
        <w:rPr>
          <w:rFonts w:ascii="Noto Sans CJK SC" w:hAnsi="Noto Sans CJK SC" w:eastAsia="Noto Sans CJK SC"/>
          <w:sz w:val="22"/>
        </w:rPr>
        <w:t>10 结论</w:t>
      </w:r>
    </w:p>
    <w:p>
      <w:pPr>
        <w:spacing w:after="80"/>
        <w:ind w:left="397"/>
      </w:pPr>
      <w:r>
        <w:rPr>
          <w:rFonts w:ascii="Noto Sans CJK SC" w:hAnsi="Noto Sans CJK SC" w:eastAsia="Noto Sans CJK SC"/>
          <w:sz w:val="22"/>
        </w:rPr>
        <w:t>附录 A 输出文件目录</w:t>
      </w:r>
    </w:p>
    <w:p>
      <w:pPr>
        <w:spacing w:after="80"/>
        <w:ind w:left="397"/>
      </w:pPr>
      <w:r>
        <w:rPr>
          <w:rFonts w:ascii="Noto Sans CJK SC" w:hAnsi="Noto Sans CJK SC" w:eastAsia="Noto Sans CJK SC"/>
          <w:sz w:val="22"/>
        </w:rPr>
        <w:t>附录 B 标准模型输入示例</w:t>
      </w:r>
    </w:p>
    <w:p>
      <w:pPr>
        <w:spacing w:after="80"/>
        <w:ind w:left="397"/>
      </w:pPr>
      <w:r>
        <w:rPr>
          <w:rFonts w:ascii="Noto Sans CJK SC" w:hAnsi="Noto Sans CJK SC" w:eastAsia="Noto Sans CJK SC"/>
          <w:sz w:val="22"/>
        </w:rPr>
        <w:t>附录 C 参考资料与外部核验来源</w:t>
      </w:r>
    </w:p>
    <w:p>
      <w:r>
        <w:br w:type="page"/>
      </w:r>
    </w:p>
    <w:p>
      <w:pPr>
        <w:pStyle w:val="Heading1"/>
        <w:keepNext/>
        <w:spacing w:before="200" w:after="100"/>
      </w:pPr>
      <w:r>
        <w:rPr>
          <w:rFonts w:ascii="Noto Sans CJK SC" w:hAnsi="Noto Sans CJK SC" w:eastAsia="Noto Sans CJK SC"/>
          <w:b/>
          <w:color w:val="123B5D"/>
          <w:sz w:val="32"/>
        </w:rPr>
        <w:t>1 任务理解与项目衔接</w:t>
      </w:r>
    </w:p>
    <w:p>
      <w:pPr>
        <w:pStyle w:val="Heading2"/>
        <w:keepNext/>
        <w:spacing w:before="140" w:after="100"/>
      </w:pPr>
      <w:r>
        <w:rPr>
          <w:rFonts w:ascii="Noto Sans CJK SC" w:hAnsi="Noto Sans CJK SC" w:eastAsia="Noto Sans CJK SC"/>
          <w:b/>
          <w:color w:val="123B5D"/>
          <w:sz w:val="26"/>
        </w:rPr>
        <w:t>1.1 最终产品形态</w:t>
      </w:r>
    </w:p>
    <w:p>
      <w:pPr>
        <w:spacing w:line="348" w:lineRule="auto" w:after="100"/>
        <w:ind w:firstLine="420"/>
      </w:pPr>
      <w:r>
        <w:rPr>
          <w:rFonts w:ascii="Noto Sans CJK SC" w:hAnsi="Noto Sans CJK SC" w:eastAsia="Noto Sans CJK SC"/>
          <w:sz w:val="21"/>
        </w:rPr>
        <w:t>项目希望形成一个“电力经济领域的 Claude Code”：用户给出某地区、某时间段的电力与经济数据，系统自动完成数据理解、异常识别、原因诊断、报告生成和交互问答。开题材料第 2 页强调从经济活动变化到用电行为变化，再到电力数据中提取经济信号；第 5 页给出的主线是“多源数据输入—特征解耦—知识增强诊断—多智能体协同—智能输出”。本次工作正对应其中的前两段，并为后两段准备标准接口。</w:t>
      </w:r>
    </w:p>
    <w:p>
      <w:pPr>
        <w:pStyle w:val="Heading2"/>
        <w:keepNext/>
        <w:spacing w:before="140" w:after="100"/>
      </w:pPr>
      <w:r>
        <w:rPr>
          <w:rFonts w:ascii="Noto Sans CJK SC" w:hAnsi="Noto Sans CJK SC" w:eastAsia="Noto Sans CJK SC"/>
          <w:b/>
          <w:color w:val="123B5D"/>
          <w:sz w:val="26"/>
        </w:rPr>
        <w:t>1.2 老师强调的三个重点如何落实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  <w:cantSplit/>
        </w:trPr>
        <w:tc>
          <w:tcPr>
            <w:tcW w:type="dxa" w:w="1247"/>
            <w:vAlign w:val="center"/>
            <w:shd w:fill="1F5A7A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重点</w:t>
            </w:r>
          </w:p>
        </w:tc>
        <w:tc>
          <w:tcPr>
            <w:tcW w:type="dxa" w:w="2835"/>
            <w:vAlign w:val="center"/>
            <w:shd w:fill="1F5A7A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本次完成内容</w:t>
            </w:r>
          </w:p>
        </w:tc>
        <w:tc>
          <w:tcPr>
            <w:tcW w:type="dxa" w:w="2438"/>
            <w:vAlign w:val="center"/>
            <w:shd w:fill="1F5A7A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可验证产物</w:t>
            </w:r>
          </w:p>
        </w:tc>
        <w:tc>
          <w:tcPr>
            <w:tcW w:type="dxa" w:w="2608"/>
            <w:vAlign w:val="center"/>
            <w:shd w:fill="1F5A7A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后续衔接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数据获取</w:t>
            </w:r>
          </w:p>
        </w:tc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建立来源登记、哈希、外部交叉核验和质量规则；保留原始文件</w:t>
            </w:r>
          </w:p>
        </w:tc>
        <w:tc>
          <w:tcPr>
            <w:tcW w:type="dxa" w:w="243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data_source_registry.csv、data_quality_checks.csv</w:t>
            </w:r>
          </w:p>
        </w:tc>
        <w:tc>
          <w:tcPr>
            <w:tcW w:type="dxa" w:w="26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扩展到气象、价格、分行业用电、政策事件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8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STL 分解</w:t>
            </w:r>
          </w:p>
        </w:tc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8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电力月度与三次产业季度分别做鲁棒 log-STL；给出参数、异常阈值和端点警告</w:t>
            </w:r>
          </w:p>
        </w:tc>
        <w:tc>
          <w:tcPr>
            <w:tcW w:type="dxa" w:w="243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8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electricity_monthly_stl.csv、gdp_quarterly_stl.csv、8 张图</w:t>
            </w:r>
          </w:p>
        </w:tc>
        <w:tc>
          <w:tcPr>
            <w:tcW w:type="dxa" w:w="26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8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异常监测代理、跨尺度特征解耦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知识图谱</w:t>
            </w:r>
          </w:p>
        </w:tc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把地区、指标、时间、观测、异常、节假日和候选原因转成节点与关系</w:t>
            </w:r>
          </w:p>
        </w:tc>
        <w:tc>
          <w:tcPr>
            <w:tcW w:type="dxa" w:w="243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kg_nodes.csv、kg_edges.csv</w:t>
            </w:r>
          </w:p>
        </w:tc>
        <w:tc>
          <w:tcPr>
            <w:tcW w:type="dxa" w:w="26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Neo4j/RAG/规则引擎、诊断智能体</w:t>
            </w:r>
          </w:p>
        </w:tc>
      </w:tr>
    </w:tbl>
    <w:p>
      <w:pPr>
        <w:pStyle w:val="Heading2"/>
        <w:keepNext/>
        <w:spacing w:before="140" w:after="100"/>
      </w:pPr>
      <w:r>
        <w:rPr>
          <w:rFonts w:ascii="Noto Sans CJK SC" w:hAnsi="Noto Sans CJK SC" w:eastAsia="Noto Sans CJK SC"/>
          <w:b/>
          <w:color w:val="123B5D"/>
          <w:sz w:val="26"/>
        </w:rPr>
        <w:t>1.3 本次工作的系统位置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  <w:cantSplit/>
        </w:trPr>
        <w:tc>
          <w:tcPr>
            <w:tcW w:type="dxa" w:w="1304"/>
            <w:vAlign w:val="center"/>
            <w:shd w:fill="1F5A7A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1928"/>
            <w:vAlign w:val="center"/>
            <w:shd w:fill="1F5A7A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输入</w:t>
            </w:r>
          </w:p>
        </w:tc>
        <w:tc>
          <w:tcPr>
            <w:tcW w:type="dxa" w:w="2835"/>
            <w:vAlign w:val="center"/>
            <w:shd w:fill="1F5A7A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处理</w:t>
            </w:r>
          </w:p>
        </w:tc>
        <w:tc>
          <w:tcPr>
            <w:tcW w:type="dxa" w:w="3061"/>
            <w:vAlign w:val="center"/>
            <w:shd w:fill="1F5A7A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输出给下一阶段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数据层</w:t>
            </w:r>
          </w:p>
        </w:tc>
        <w:tc>
          <w:tcPr>
            <w:tcW w:type="dxa" w:w="19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Excel、Word、网页来源信息</w:t>
            </w:r>
          </w:p>
        </w:tc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解析、单位规范、时间对齐、质量检查</w:t>
            </w:r>
          </w:p>
        </w:tc>
        <w:tc>
          <w:tcPr>
            <w:tcW w:type="dxa" w:w="306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统一时序表与溯源信息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8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特征解耦层</w:t>
            </w:r>
          </w:p>
        </w:tc>
        <w:tc>
          <w:tcPr>
            <w:tcW w:type="dxa" w:w="19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8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统一时序表</w:t>
            </w:r>
          </w:p>
        </w:tc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8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log-STL、节假日特征、异常标记</w:t>
            </w:r>
          </w:p>
        </w:tc>
        <w:tc>
          <w:tcPr>
            <w:tcW w:type="dxa" w:w="306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8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期望值、趋势、季节、残差、异常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知识组织层</w:t>
            </w:r>
          </w:p>
        </w:tc>
        <w:tc>
          <w:tcPr>
            <w:tcW w:type="dxa" w:w="19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分解结果+日历+规则</w:t>
            </w:r>
          </w:p>
        </w:tc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实体化、关系化、证据缺口化</w:t>
            </w:r>
          </w:p>
        </w:tc>
        <w:tc>
          <w:tcPr>
            <w:tcW w:type="dxa" w:w="306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知识图谱 CSV、模型 JSONL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8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诊断层（后续）</w:t>
            </w:r>
          </w:p>
        </w:tc>
        <w:tc>
          <w:tcPr>
            <w:tcW w:type="dxa" w:w="19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8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图谱+外部证据+规则</w:t>
            </w:r>
          </w:p>
        </w:tc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8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RAG、LLM、多智能体审校</w:t>
            </w:r>
          </w:p>
        </w:tc>
        <w:tc>
          <w:tcPr>
            <w:tcW w:type="dxa" w:w="306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8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原因链、置信度、报告</w:t>
            </w:r>
          </w:p>
        </w:tc>
      </w:tr>
    </w:tbl>
    <w:p>
      <w:r>
        <w:br w:type="page"/>
      </w:r>
    </w:p>
    <w:p>
      <w:pPr>
        <w:pStyle w:val="Heading1"/>
        <w:keepNext/>
        <w:spacing w:before="200" w:after="100"/>
      </w:pPr>
      <w:r>
        <w:rPr>
          <w:rFonts w:ascii="Noto Sans CJK SC" w:hAnsi="Noto Sans CJK SC" w:eastAsia="Noto Sans CJK SC"/>
          <w:b/>
          <w:color w:val="123B5D"/>
          <w:sz w:val="32"/>
        </w:rPr>
        <w:t>2 数据获取、来源登记与适用性判断</w:t>
      </w:r>
    </w:p>
    <w:p>
      <w:pPr>
        <w:pStyle w:val="Heading2"/>
        <w:keepNext/>
        <w:spacing w:before="140" w:after="100"/>
      </w:pPr>
      <w:r>
        <w:rPr>
          <w:rFonts w:ascii="Noto Sans CJK SC" w:hAnsi="Noto Sans CJK SC" w:eastAsia="Noto Sans CJK SC"/>
          <w:b/>
          <w:color w:val="123B5D"/>
          <w:sz w:val="26"/>
        </w:rPr>
        <w:t>2.1 本次实际参与计算的数据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blHeader w:val="true"/>
          <w:cantSplit/>
        </w:trPr>
        <w:tc>
          <w:tcPr>
            <w:tcW w:type="dxa" w:w="1984"/>
            <w:vAlign w:val="center"/>
            <w:shd w:fill="1F5A7A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数据集</w:t>
            </w:r>
          </w:p>
        </w:tc>
        <w:tc>
          <w:tcPr>
            <w:tcW w:type="dxa" w:w="1814"/>
            <w:vAlign w:val="center"/>
            <w:shd w:fill="1F5A7A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原始形态</w:t>
            </w:r>
          </w:p>
        </w:tc>
        <w:tc>
          <w:tcPr>
            <w:tcW w:type="dxa" w:w="1757"/>
            <w:vAlign w:val="center"/>
            <w:shd w:fill="1F5A7A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有效时间范围</w:t>
            </w:r>
          </w:p>
        </w:tc>
        <w:tc>
          <w:tcPr>
            <w:tcW w:type="dxa" w:w="1304"/>
            <w:vAlign w:val="center"/>
            <w:shd w:fill="1F5A7A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处理后记录数</w:t>
            </w:r>
          </w:p>
        </w:tc>
        <w:tc>
          <w:tcPr>
            <w:tcW w:type="dxa" w:w="2494"/>
            <w:vAlign w:val="center"/>
            <w:shd w:fill="1F5A7A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用途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浙江全社会用电量（月度）</w:t>
            </w:r>
          </w:p>
        </w:tc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XLSX；原始单位万千瓦时</w:t>
            </w:r>
          </w:p>
        </w:tc>
        <w:tc>
          <w:tcPr>
            <w:tcW w:type="dxa" w:w="17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2021-01—2025-03</w:t>
            </w:r>
          </w:p>
        </w:tc>
        <w:tc>
          <w:tcPr>
            <w:tcW w:type="dxa" w:w="13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51</w:t>
            </w:r>
          </w:p>
        </w:tc>
        <w:tc>
          <w:tcPr>
            <w:tcW w:type="dxa" w:w="24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月度 STL、异常与季节性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8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浙江第一产业增加值</w:t>
            </w:r>
          </w:p>
        </w:tc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8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XLSX；季度累计值</w:t>
            </w:r>
          </w:p>
        </w:tc>
        <w:tc>
          <w:tcPr>
            <w:tcW w:type="dxa" w:w="17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8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2000Q1—2025Q4</w:t>
            </w:r>
          </w:p>
        </w:tc>
        <w:tc>
          <w:tcPr>
            <w:tcW w:type="dxa" w:w="13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8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104</w:t>
            </w:r>
          </w:p>
        </w:tc>
        <w:tc>
          <w:tcPr>
            <w:tcW w:type="dxa" w:w="24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8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差分为单季度后做 STL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浙江第二产业增加值</w:t>
            </w:r>
          </w:p>
        </w:tc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XLSX；季度累计值</w:t>
            </w:r>
          </w:p>
        </w:tc>
        <w:tc>
          <w:tcPr>
            <w:tcW w:type="dxa" w:w="17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2000Q1—2025Q4</w:t>
            </w:r>
          </w:p>
        </w:tc>
        <w:tc>
          <w:tcPr>
            <w:tcW w:type="dxa" w:w="13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104</w:t>
            </w:r>
          </w:p>
        </w:tc>
        <w:tc>
          <w:tcPr>
            <w:tcW w:type="dxa" w:w="24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差分为单季度后做 STL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8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浙江第三产业增加值</w:t>
            </w:r>
          </w:p>
        </w:tc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8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XLSX；季度累计值</w:t>
            </w:r>
          </w:p>
        </w:tc>
        <w:tc>
          <w:tcPr>
            <w:tcW w:type="dxa" w:w="17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8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2000Q1—2025Q4</w:t>
            </w:r>
          </w:p>
        </w:tc>
        <w:tc>
          <w:tcPr>
            <w:tcW w:type="dxa" w:w="13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8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104</w:t>
            </w:r>
          </w:p>
        </w:tc>
        <w:tc>
          <w:tcPr>
            <w:tcW w:type="dxa" w:w="24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8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差分为单季度后做 STL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国务院办公厅 2021—2025 节假日安排</w:t>
            </w:r>
          </w:p>
        </w:tc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DOCX 文本</w:t>
            </w:r>
          </w:p>
        </w:tc>
        <w:tc>
          <w:tcPr>
            <w:tcW w:type="dxa" w:w="17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2021—2025</w:t>
            </w:r>
          </w:p>
        </w:tc>
        <w:tc>
          <w:tcPr>
            <w:tcW w:type="dxa" w:w="13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按日历展开后聚合</w:t>
            </w:r>
          </w:p>
        </w:tc>
        <w:tc>
          <w:tcPr>
            <w:tcW w:type="dxa" w:w="24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春节/节假日/调休特征</w:t>
            </w:r>
          </w:p>
        </w:tc>
      </w:tr>
    </w:tbl>
    <w:p>
      <w:pPr>
        <w:spacing w:line="348" w:lineRule="auto" w:after="100"/>
        <w:ind w:firstLine="420"/>
      </w:pPr>
      <w:r>
        <w:rPr>
          <w:rFonts w:ascii="Noto Sans CJK SC" w:hAnsi="Noto Sans CJK SC" w:eastAsia="Noto Sans CJK SC"/>
          <w:sz w:val="21"/>
        </w:rPr>
        <w:t>代码没有用截图 OCR 读取上述浙江数据，而是直接解析 XLSX 内部 XML 与 DOCX 段落，从源头降低识别误差。每个输入文件均计算 SHA-256；任何替换、重采或修订都会导致哈希变化，从而触发重新运行和审计。</w:t>
      </w:r>
    </w:p>
    <w:p>
      <w:pPr>
        <w:pStyle w:val="Heading2"/>
        <w:keepNext/>
        <w:spacing w:before="140" w:after="100"/>
      </w:pPr>
      <w:r>
        <w:rPr>
          <w:rFonts w:ascii="Noto Sans CJK SC" w:hAnsi="Noto Sans CJK SC" w:eastAsia="Noto Sans CJK SC"/>
          <w:b/>
          <w:color w:val="123B5D"/>
          <w:sz w:val="26"/>
        </w:rPr>
        <w:t>2.2 外部权威信息交叉核验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  <w:cantSplit/>
        </w:trPr>
        <w:tc>
          <w:tcPr>
            <w:tcW w:type="dxa" w:w="2381"/>
            <w:vAlign w:val="center"/>
            <w:shd w:fill="1F5A7A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核验对象</w:t>
            </w:r>
          </w:p>
        </w:tc>
        <w:tc>
          <w:tcPr>
            <w:tcW w:type="dxa" w:w="2268"/>
            <w:vAlign w:val="center"/>
            <w:shd w:fill="1F5A7A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本地计算结果</w:t>
            </w:r>
          </w:p>
        </w:tc>
        <w:tc>
          <w:tcPr>
            <w:tcW w:type="dxa" w:w="2494"/>
            <w:vAlign w:val="center"/>
            <w:shd w:fill="1F5A7A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公开口径</w:t>
            </w:r>
          </w:p>
        </w:tc>
        <w:tc>
          <w:tcPr>
            <w:tcW w:type="dxa" w:w="1928"/>
            <w:vAlign w:val="center"/>
            <w:shd w:fill="1F5A7A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判断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2024 年浙江全社会用电量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6780.85 亿千瓦时</w:t>
            </w:r>
          </w:p>
        </w:tc>
        <w:tc>
          <w:tcPr>
            <w:tcW w:type="dxa" w:w="24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公开报道 6780 亿千瓦时</w:t>
            </w:r>
          </w:p>
        </w:tc>
        <w:tc>
          <w:tcPr>
            <w:tcW w:type="dxa" w:w="19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量级与四舍五入口径一致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8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2025 年第一产业累计值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8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2657 亿元</w:t>
            </w:r>
          </w:p>
        </w:tc>
        <w:tc>
          <w:tcPr>
            <w:tcW w:type="dxa" w:w="24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8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浙江统计公报 2657 亿元</w:t>
            </w:r>
          </w:p>
        </w:tc>
        <w:tc>
          <w:tcPr>
            <w:tcW w:type="dxa" w:w="19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8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一致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2025 年第二产业累计值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35682 亿元</w:t>
            </w:r>
          </w:p>
        </w:tc>
        <w:tc>
          <w:tcPr>
            <w:tcW w:type="dxa" w:w="24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浙江统计公报 35682 亿元</w:t>
            </w:r>
          </w:p>
        </w:tc>
        <w:tc>
          <w:tcPr>
            <w:tcW w:type="dxa" w:w="19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一致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8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2025 年第三产业累计值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8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56206 亿元</w:t>
            </w:r>
          </w:p>
        </w:tc>
        <w:tc>
          <w:tcPr>
            <w:tcW w:type="dxa" w:w="24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8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浙江统计公报 56206 亿元</w:t>
            </w:r>
          </w:p>
        </w:tc>
        <w:tc>
          <w:tcPr>
            <w:tcW w:type="dxa" w:w="19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8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一致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2021—2025 节假日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脚本解析放假与调休日</w:t>
            </w:r>
          </w:p>
        </w:tc>
        <w:tc>
          <w:tcPr>
            <w:tcW w:type="dxa" w:w="24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逐年国务院办公厅通知</w:t>
            </w:r>
          </w:p>
        </w:tc>
        <w:tc>
          <w:tcPr>
            <w:tcW w:type="dxa" w:w="19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来源完整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41"/>
      </w:tblGrid>
      <w:tr>
        <w:trPr>
          <w:cantSplit/>
        </w:trPr>
        <w:tc>
          <w:tcPr>
            <w:tcW w:type="dxa" w:w="10200"/>
            <w:shd w:fill="EAF2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123B5D"/>
                <w:sz w:val="21"/>
              </w:rPr>
              <w:t>溯源现状</w:t>
            </w:r>
          </w:p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9"/>
              </w:rPr>
              <w:t>浙江 4 个 Excel 原始文件本身没有内嵌抓取页 URL，因此当前标记为“部分完整”：数据值通过权威年度口径交叉核验，但后续数据获取代理仍应补录网页 URL、发布日期、抓取时间和版本号。节假日通知来源完整。</w:t>
            </w:r>
          </w:p>
        </w:tc>
      </w:tr>
    </w:tbl>
    <w:p>
      <w:pPr>
        <w:pStyle w:val="Heading2"/>
        <w:keepNext/>
        <w:spacing w:before="140" w:after="100"/>
      </w:pPr>
      <w:r>
        <w:rPr>
          <w:rFonts w:ascii="Noto Sans CJK SC" w:hAnsi="Noto Sans CJK SC" w:eastAsia="Noto Sans CJK SC"/>
          <w:b/>
          <w:color w:val="123B5D"/>
          <w:sz w:val="26"/>
        </w:rPr>
        <w:t>2.3 苏州、南京、江门数据为什么暂不混入本轮 STL</w:t>
      </w:r>
    </w:p>
    <w:p>
      <w:pPr>
        <w:spacing w:line="348" w:lineRule="auto" w:after="100"/>
        <w:ind w:firstLine="420"/>
      </w:pPr>
      <w:r>
        <w:rPr>
          <w:rFonts w:ascii="Noto Sans CJK SC" w:hAnsi="Noto Sans CJK SC" w:eastAsia="Noto Sans CJK SC"/>
          <w:sz w:val="21"/>
        </w:rPr>
        <w:t>用户提供的《data(苏州+南京+江门).docx》记录了三地官方入口：苏州统计局月度数据、南京统计年鉴/经济社会主要指标、江门统计月报。文档中的表格主要以截图存在，且时间结构不统一：南京有 2000—2023 年年度用电量，但年度频率没有季节项；苏州、江门主要是 2025—2026 年累计月度快照，只有约一个季节周期；南京 2025 年月度主要指标也不足以稳定估计 period=12 的 STL。</w:t>
      </w:r>
    </w:p>
    <w:p>
      <w:pPr>
        <w:spacing w:line="348" w:lineRule="auto" w:after="100"/>
        <w:ind w:firstLine="420"/>
      </w:pPr>
      <w:r>
        <w:rPr>
          <w:rFonts w:ascii="Noto Sans CJK SC" w:hAnsi="Noto Sans CJK SC" w:eastAsia="Noto Sans CJK SC"/>
          <w:sz w:val="21"/>
        </w:rPr>
        <w:t>因此本轮选择机器可读、时间跨度足够的浙江省数据作为可复现基线，三城市数据保留在 data/reference 中。后续应编写站点适配器，直接从官方 HTML/Excel/API 获取原始表，再将累计值还原为当期值，至少积累 3—5 个完整周期后进行城市间 STL 对比。</w:t>
      </w:r>
    </w:p>
    <w:p>
      <w:pPr>
        <w:pStyle w:val="Heading2"/>
        <w:keepNext/>
        <w:spacing w:before="140" w:after="100"/>
      </w:pPr>
      <w:r>
        <w:rPr>
          <w:rFonts w:ascii="Noto Sans CJK SC" w:hAnsi="Noto Sans CJK SC" w:eastAsia="Noto Sans CJK SC"/>
          <w:b/>
          <w:color w:val="123B5D"/>
          <w:sz w:val="26"/>
        </w:rPr>
        <w:t>2.4 数据获取代理应固化的规则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1"/>
        </w:rPr>
        <w:t>只接受官方统计局、政府、电网企业或有明确转载来源的权威数据；抓取页、发布日期和抓取时间必须记录。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1"/>
        </w:rPr>
        <w:t>原始文件只读保存；清洗结果另存；每个文件计算哈希并建立版本号。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1"/>
        </w:rPr>
        <w:t>对累计值、当期值、同比、单位、可比价/现价等口径分别建字段，不通过列名猜测。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1"/>
        </w:rPr>
        <w:t>至少做一个独立总量交叉核验；差异超过预设阈值时停止模型调用，进入人工核验。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1"/>
        </w:rPr>
        <w:t>截图/OCR 数据必须保存页面图像、识别置信度和人工复核状态，不与原始机器可读数据等价处理。</w:t>
      </w:r>
    </w:p>
    <w:p>
      <w:r>
        <w:br w:type="page"/>
      </w:r>
    </w:p>
    <w:p>
      <w:pPr>
        <w:pStyle w:val="Heading1"/>
        <w:keepNext/>
        <w:spacing w:before="200" w:after="100"/>
      </w:pPr>
      <w:r>
        <w:rPr>
          <w:rFonts w:ascii="Noto Sans CJK SC" w:hAnsi="Noto Sans CJK SC" w:eastAsia="Noto Sans CJK SC"/>
          <w:b/>
          <w:color w:val="123B5D"/>
          <w:sz w:val="32"/>
        </w:rPr>
        <w:t>3 原始数据到模型可读数据的翻译</w:t>
      </w:r>
    </w:p>
    <w:p>
      <w:pPr>
        <w:pStyle w:val="Heading2"/>
        <w:keepNext/>
        <w:spacing w:before="140" w:after="100"/>
      </w:pPr>
      <w:r>
        <w:rPr>
          <w:rFonts w:ascii="Noto Sans CJK SC" w:hAnsi="Noto Sans CJK SC" w:eastAsia="Noto Sans CJK SC"/>
          <w:b/>
          <w:color w:val="123B5D"/>
          <w:sz w:val="26"/>
        </w:rPr>
        <w:t>3.1 月度用电量规范化</w:t>
      </w:r>
    </w:p>
    <w:p>
      <w:pPr>
        <w:spacing w:line="348" w:lineRule="auto" w:after="100"/>
        <w:ind w:firstLine="420"/>
      </w:pPr>
      <w:r>
        <w:rPr>
          <w:rFonts w:ascii="Noto Sans CJK SC" w:hAnsi="Noto Sans CJK SC" w:eastAsia="Noto Sans CJK SC"/>
          <w:sz w:val="21"/>
        </w:rPr>
        <w:t>原始用电量单位为“万千瓦时”。为便于与宏观统计报告一致，统一转换为“亿千瓦时”：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3F5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>value_亿千瓦时 = raw_value_万千瓦时 / 10,000</w:t>
            </w:r>
          </w:p>
        </w:tc>
      </w:tr>
    </w:tbl>
    <w:p>
      <w:pPr>
        <w:spacing w:line="348" w:lineRule="auto" w:after="100"/>
        <w:ind w:firstLine="420"/>
      </w:pPr>
      <w:r>
        <w:rPr>
          <w:rFonts w:ascii="Noto Sans CJK SC" w:hAnsi="Noto Sans CJK SC" w:eastAsia="Noto Sans CJK SC"/>
          <w:sz w:val="21"/>
        </w:rPr>
        <w:t>原始表内月份顺序并非时间升序，程序先解析“年、月”字段，构造月初日期，按时间排序，再检查是否从 2021-01 到 2025-03 连续。51 个月无缺口。</w:t>
      </w:r>
    </w:p>
    <w:p>
      <w:pPr>
        <w:pStyle w:val="Heading2"/>
        <w:keepNext/>
        <w:spacing w:before="140" w:after="100"/>
      </w:pPr>
      <w:r>
        <w:rPr>
          <w:rFonts w:ascii="Noto Sans CJK SC" w:hAnsi="Noto Sans CJK SC" w:eastAsia="Noto Sans CJK SC"/>
          <w:b/>
          <w:color w:val="123B5D"/>
          <w:sz w:val="26"/>
        </w:rPr>
        <w:t>3.2 季度累计 GDP 还原为单季度值</w:t>
      </w:r>
    </w:p>
    <w:p>
      <w:pPr>
        <w:spacing w:line="348" w:lineRule="auto" w:after="100"/>
        <w:ind w:firstLine="420"/>
      </w:pPr>
      <w:r>
        <w:rPr>
          <w:rFonts w:ascii="Noto Sans CJK SC" w:hAnsi="Noto Sans CJK SC" w:eastAsia="Noto Sans CJK SC"/>
          <w:sz w:val="21"/>
        </w:rPr>
        <w:t>三个产业文件记录的是年内累计增加值。直接对累计值做 STL 会把“Q2、Q3、Q4 必然更大”的会计结构误当成季节性，因此先还原单季度值：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3F5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>Q1 = Cum(Q1)</w:t>
              <w:br/>
              <w:t>Q2 = Cum(Q2) - Cum(Q1)</w:t>
              <w:br/>
              <w:t>Q3 = Cum(Q3) - Cum(Q2)</w:t>
              <w:br/>
              <w:t>Q4 = Cum(Q4) - Cum(Q3)</w:t>
            </w:r>
          </w:p>
        </w:tc>
      </w:tr>
    </w:tbl>
    <w:p>
      <w:pPr>
        <w:spacing w:line="348" w:lineRule="auto" w:after="100"/>
        <w:ind w:firstLine="420"/>
      </w:pPr>
      <w:r>
        <w:rPr>
          <w:rFonts w:ascii="Noto Sans CJK SC" w:hAnsi="Noto Sans CJK SC" w:eastAsia="Noto Sans CJK SC"/>
          <w:sz w:val="21"/>
        </w:rPr>
        <w:t>程序检查 2000Q1 以后所有差分值均为正。Q4 由全年累计值减前三季度累计值，可能集中反映年度核算修订，所以单独设置 revision_risk=True，避免诊断智能体把口径修订误判为真实冲击。</w:t>
      </w:r>
    </w:p>
    <w:p>
      <w:pPr>
        <w:pStyle w:val="Heading2"/>
        <w:keepNext/>
        <w:spacing w:before="140" w:after="100"/>
      </w:pPr>
      <w:r>
        <w:rPr>
          <w:rFonts w:ascii="Noto Sans CJK SC" w:hAnsi="Noto Sans CJK SC" w:eastAsia="Noto Sans CJK SC"/>
          <w:b/>
          <w:color w:val="123B5D"/>
          <w:sz w:val="26"/>
        </w:rPr>
        <w:t>3.3 节假日与调休日历特征</w:t>
      </w:r>
    </w:p>
    <w:p>
      <w:pPr>
        <w:spacing w:line="348" w:lineRule="auto" w:after="100"/>
        <w:ind w:firstLine="420"/>
      </w:pPr>
      <w:r>
        <w:rPr>
          <w:rFonts w:ascii="Noto Sans CJK SC" w:hAnsi="Noto Sans CJK SC" w:eastAsia="Noto Sans CJK SC"/>
          <w:sz w:val="21"/>
        </w:rPr>
        <w:t>程序从国务院办公厅通知中提取放假区间和调休上班日，按月生成 holiday_days、spring_festival_days、makeup_workdays、holiday_names、holiday_event_ids。春节月份还设置 spring_festival_window，用于提示模型检查月份错位和复工节奏。</w:t>
      </w:r>
    </w:p>
    <w:p>
      <w:pPr>
        <w:pStyle w:val="Heading2"/>
        <w:keepNext/>
        <w:spacing w:before="140" w:after="100"/>
      </w:pPr>
      <w:r>
        <w:rPr>
          <w:rFonts w:ascii="Noto Sans CJK SC" w:hAnsi="Noto Sans CJK SC" w:eastAsia="Noto Sans CJK SC"/>
          <w:b/>
          <w:color w:val="123B5D"/>
          <w:sz w:val="26"/>
        </w:rPr>
        <w:t>3.4 统一模型输入结构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1531"/>
            <w:vAlign w:val="center"/>
            <w:shd w:fill="1F5A7A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一级字段</w:t>
            </w:r>
          </w:p>
        </w:tc>
        <w:tc>
          <w:tcPr>
            <w:tcW w:type="dxa" w:w="4082"/>
            <w:vAlign w:val="center"/>
            <w:shd w:fill="1F5A7A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核心内容</w:t>
            </w:r>
          </w:p>
        </w:tc>
        <w:tc>
          <w:tcPr>
            <w:tcW w:type="dxa" w:w="3628"/>
            <w:vAlign w:val="center"/>
            <w:shd w:fill="1F5A7A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模型规则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region</w:t>
            </w:r>
          </w:p>
        </w:tc>
        <w:tc>
          <w:tcPr>
            <w:tcW w:type="dxa" w:w="40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地区编码、地区名</w:t>
            </w:r>
          </w:p>
        </w:tc>
        <w:tc>
          <w:tcPr>
            <w:tcW w:type="dxa" w:w="36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禁止仅用自然语言地区名；采用稳定编码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8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period</w:t>
            </w:r>
          </w:p>
        </w:tc>
        <w:tc>
          <w:tcPr>
            <w:tcW w:type="dxa" w:w="40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8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标签、频率、起始日期</w:t>
            </w:r>
          </w:p>
        </w:tc>
        <w:tc>
          <w:tcPr>
            <w:tcW w:type="dxa" w:w="36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8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频率必须与 STL period 对应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metric</w:t>
            </w:r>
          </w:p>
        </w:tc>
        <w:tc>
          <w:tcPr>
            <w:tcW w:type="dxa" w:w="40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指标 ID、名称、单位</w:t>
            </w:r>
          </w:p>
        </w:tc>
        <w:tc>
          <w:tcPr>
            <w:tcW w:type="dxa" w:w="36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原始单位与规范单位同时保留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8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observation</w:t>
            </w:r>
          </w:p>
        </w:tc>
        <w:tc>
          <w:tcPr>
            <w:tcW w:type="dxa" w:w="40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8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观测值、累计值、同比等</w:t>
            </w:r>
          </w:p>
        </w:tc>
        <w:tc>
          <w:tcPr>
            <w:tcW w:type="dxa" w:w="36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8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禁止把累计值与当期值混用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decomposition</w:t>
            </w:r>
          </w:p>
        </w:tc>
        <w:tc>
          <w:tcPr>
            <w:tcW w:type="dxa" w:w="40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趋势、季节因子、期望值、残差、权重</w:t>
            </w:r>
          </w:p>
        </w:tc>
        <w:tc>
          <w:tcPr>
            <w:tcW w:type="dxa" w:w="36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统一 log-STL 语义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8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anomaly</w:t>
            </w:r>
          </w:p>
        </w:tc>
        <w:tc>
          <w:tcPr>
            <w:tcW w:type="dxa" w:w="40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8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等级、方向、端点/修订风险</w:t>
            </w:r>
          </w:p>
        </w:tc>
        <w:tc>
          <w:tcPr>
            <w:tcW w:type="dxa" w:w="36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8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质量风险优先于原因推理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context</w:t>
            </w:r>
          </w:p>
        </w:tc>
        <w:tc>
          <w:tcPr>
            <w:tcW w:type="dxa" w:w="40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日历、候选原因、所需证据</w:t>
            </w:r>
          </w:p>
        </w:tc>
        <w:tc>
          <w:tcPr>
            <w:tcW w:type="dxa" w:w="36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候选解释不得写成已证实因果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8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provenance</w:t>
            </w:r>
          </w:p>
        </w:tc>
        <w:tc>
          <w:tcPr>
            <w:tcW w:type="dxa" w:w="40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8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文件、哈希、变换、来源状态</w:t>
            </w:r>
          </w:p>
        </w:tc>
        <w:tc>
          <w:tcPr>
            <w:tcW w:type="dxa" w:w="36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8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每条结论可追溯到原始文件</w:t>
            </w:r>
          </w:p>
        </w:tc>
      </w:tr>
    </w:tbl>
    <w:p>
      <w:pPr>
        <w:pStyle w:val="Heading1"/>
        <w:keepNext/>
        <w:spacing w:before="200" w:after="100"/>
      </w:pPr>
      <w:r>
        <w:rPr>
          <w:rFonts w:ascii="Noto Sans CJK SC" w:hAnsi="Noto Sans CJK SC" w:eastAsia="Noto Sans CJK SC"/>
          <w:b/>
          <w:color w:val="123B5D"/>
          <w:sz w:val="32"/>
        </w:rPr>
        <w:t>4 STL 分解算法、参数与异常规则</w:t>
      </w:r>
    </w:p>
    <w:p>
      <w:pPr>
        <w:pStyle w:val="Heading2"/>
        <w:keepNext/>
        <w:spacing w:before="140" w:after="100"/>
      </w:pPr>
      <w:r>
        <w:rPr>
          <w:rFonts w:ascii="Noto Sans CJK SC" w:hAnsi="Noto Sans CJK SC" w:eastAsia="Noto Sans CJK SC"/>
          <w:b/>
          <w:color w:val="123B5D"/>
          <w:sz w:val="26"/>
        </w:rPr>
        <w:t>4.1 为什么选择 STL</w:t>
      </w:r>
    </w:p>
    <w:p>
      <w:pPr>
        <w:spacing w:line="348" w:lineRule="auto" w:after="100"/>
        <w:ind w:firstLine="420"/>
      </w:pPr>
      <w:r>
        <w:rPr>
          <w:rFonts w:ascii="Noto Sans CJK SC" w:hAnsi="Noto Sans CJK SC" w:eastAsia="Noto Sans CJK SC"/>
          <w:sz w:val="21"/>
        </w:rPr>
        <w:t>STL（Seasonal-Trend decomposition using LOESS）将时间序列拆分为趋势 T、季节 S 和不规则项 R。它允许季节形态随时间缓慢变化，并可通过 robust=True 降低异常点对趋势和季节估计的污染，适合节假日错位、极端天气和一次性冲击较多的电力数据。</w:t>
      </w:r>
    </w:p>
    <w:p>
      <w:pPr>
        <w:pStyle w:val="Heading2"/>
        <w:keepNext/>
        <w:spacing w:before="140" w:after="100"/>
      </w:pPr>
      <w:r>
        <w:rPr>
          <w:rFonts w:ascii="Noto Sans CJK SC" w:hAnsi="Noto Sans CJK SC" w:eastAsia="Noto Sans CJK SC"/>
          <w:b/>
          <w:color w:val="123B5D"/>
          <w:sz w:val="26"/>
        </w:rPr>
        <w:t>4.2 乘法结构的 log-STL</w:t>
      </w:r>
    </w:p>
    <w:p>
      <w:pPr>
        <w:spacing w:line="348" w:lineRule="auto" w:after="100"/>
        <w:ind w:firstLine="420"/>
      </w:pPr>
      <w:r>
        <w:rPr>
          <w:rFonts w:ascii="Noto Sans CJK SC" w:hAnsi="Noto Sans CJK SC" w:eastAsia="Noto Sans CJK SC"/>
          <w:sz w:val="21"/>
        </w:rPr>
        <w:t>电力和经济规模随趋势上升时，季节波动往往表现为比例而非固定绝对量，因此采用对数变换：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3F5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>log(y_t) = T_t + S_t + R_t</w:t>
              <w:br/>
              <w:t>expected_t = exp(T_t + S_t)</w:t>
              <w:br/>
              <w:t>seasonal_factor_t = exp(S_t)</w:t>
              <w:br/>
              <w:t>residual_pct_t = exp(R_t) - 1 = y_t / expected_t - 1</w:t>
            </w:r>
          </w:p>
        </w:tc>
      </w:tr>
    </w:tbl>
    <w:p>
      <w:pPr>
        <w:spacing w:line="348" w:lineRule="auto" w:after="100"/>
        <w:ind w:firstLine="420"/>
      </w:pPr>
      <w:r>
        <w:rPr>
          <w:rFonts w:ascii="Noto Sans CJK SC" w:hAnsi="Noto Sans CJK SC" w:eastAsia="Noto Sans CJK SC"/>
          <w:sz w:val="21"/>
        </w:rPr>
        <w:t>其中 expected_t 是“在当前趋势与常规季节模式下的期望值”；residual_pct_t 是偏离期望的比例，最适合直接输入异常诊断规则。</w:t>
      </w:r>
    </w:p>
    <w:p>
      <w:pPr>
        <w:pStyle w:val="Heading2"/>
        <w:keepNext/>
        <w:spacing w:before="140" w:after="100"/>
      </w:pPr>
      <w:r>
        <w:rPr>
          <w:rFonts w:ascii="Noto Sans CJK SC" w:hAnsi="Noto Sans CJK SC" w:eastAsia="Noto Sans CJK SC"/>
          <w:b/>
          <w:color w:val="123B5D"/>
          <w:sz w:val="26"/>
        </w:rPr>
        <w:t>4.3 参数选择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blHeader w:val="true"/>
          <w:cantSplit/>
        </w:trPr>
        <w:tc>
          <w:tcPr>
            <w:tcW w:type="dxa" w:w="2268"/>
            <w:vAlign w:val="center"/>
            <w:shd w:fill="1F5A7A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序列</w:t>
            </w:r>
          </w:p>
        </w:tc>
        <w:tc>
          <w:tcPr>
            <w:tcW w:type="dxa" w:w="1134"/>
            <w:vAlign w:val="center"/>
            <w:shd w:fill="1F5A7A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period</w:t>
            </w:r>
          </w:p>
        </w:tc>
        <w:tc>
          <w:tcPr>
            <w:tcW w:type="dxa" w:w="1247"/>
            <w:vAlign w:val="center"/>
            <w:shd w:fill="1F5A7A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seasonal</w:t>
            </w:r>
          </w:p>
        </w:tc>
        <w:tc>
          <w:tcPr>
            <w:tcW w:type="dxa" w:w="1304"/>
            <w:vAlign w:val="center"/>
            <w:shd w:fill="1F5A7A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robust</w:t>
            </w:r>
          </w:p>
        </w:tc>
        <w:tc>
          <w:tcPr>
            <w:tcW w:type="dxa" w:w="3175"/>
            <w:vAlign w:val="center"/>
            <w:shd w:fill="1F5A7A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理由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月度全社会用电量</w:t>
            </w:r>
          </w:p>
        </w:tc>
        <w:tc>
          <w:tcPr>
            <w:tcW w:type="dxa" w:w="11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12</w:t>
            </w:r>
          </w:p>
        </w:tc>
        <w:tc>
          <w:tcPr>
            <w:tcW w:type="dxa" w:w="124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13</w:t>
            </w:r>
          </w:p>
        </w:tc>
        <w:tc>
          <w:tcPr>
            <w:tcW w:type="dxa" w:w="13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True</w:t>
            </w:r>
          </w:p>
        </w:tc>
        <w:tc>
          <w:tcPr>
            <w:tcW w:type="dxa" w:w="317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一年 12 个月；季节窗口取大于 period 的奇数；降低异常污染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8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季度单产业增加值</w:t>
            </w:r>
          </w:p>
        </w:tc>
        <w:tc>
          <w:tcPr>
            <w:tcW w:type="dxa" w:w="11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8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4</w:t>
            </w:r>
          </w:p>
        </w:tc>
        <w:tc>
          <w:tcPr>
            <w:tcW w:type="dxa" w:w="124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8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7</w:t>
            </w:r>
          </w:p>
        </w:tc>
        <w:tc>
          <w:tcPr>
            <w:tcW w:type="dxa" w:w="13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8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True</w:t>
            </w:r>
          </w:p>
        </w:tc>
        <w:tc>
          <w:tcPr>
            <w:tcW w:type="dxa" w:w="317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8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一年 4 季度；窗口取奇数并允许季节模式平滑变化</w:t>
            </w:r>
          </w:p>
        </w:tc>
      </w:tr>
    </w:tbl>
    <w:p>
      <w:pPr>
        <w:spacing w:line="348" w:lineRule="auto" w:after="100"/>
        <w:ind w:firstLine="420"/>
      </w:pPr>
      <w:r>
        <w:rPr>
          <w:rFonts w:ascii="Noto Sans CJK SC" w:hAnsi="Noto Sans CJK SC" w:eastAsia="Noto Sans CJK SC"/>
          <w:sz w:val="21"/>
        </w:rPr>
        <w:t>本次参数是工程基线，不是唯一最优值。后续可通过滚动预测误差、残差自相关和稳定性分析在候选窗口中选择参数，而不是只凭可视化。</w:t>
      </w:r>
    </w:p>
    <w:p>
      <w:pPr>
        <w:pStyle w:val="Heading2"/>
        <w:keepNext/>
        <w:spacing w:before="140" w:after="100"/>
      </w:pPr>
      <w:r>
        <w:rPr>
          <w:rFonts w:ascii="Noto Sans CJK SC" w:hAnsi="Noto Sans CJK SC" w:eastAsia="Noto Sans CJK SC"/>
          <w:b/>
          <w:color w:val="123B5D"/>
          <w:sz w:val="26"/>
        </w:rPr>
        <w:t>4.4 异常、端点和统计权重规则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1814"/>
            <w:vAlign w:val="center"/>
            <w:shd w:fill="1F5A7A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规则</w:t>
            </w:r>
          </w:p>
        </w:tc>
        <w:tc>
          <w:tcPr>
            <w:tcW w:type="dxa" w:w="2835"/>
            <w:vAlign w:val="center"/>
            <w:shd w:fill="1F5A7A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定义</w:t>
            </w:r>
          </w:p>
        </w:tc>
        <w:tc>
          <w:tcPr>
            <w:tcW w:type="dxa" w:w="4479"/>
            <w:vAlign w:val="center"/>
            <w:shd w:fill="1F5A7A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用途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high</w:t>
            </w:r>
          </w:p>
        </w:tc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|residual_pct| ≥ 8%</w:t>
            </w:r>
          </w:p>
        </w:tc>
        <w:tc>
          <w:tcPr>
            <w:tcW w:type="dxa" w:w="44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进入优先诊断队列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8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medium</w:t>
            </w:r>
          </w:p>
        </w:tc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8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5% ≤ |residual_pct| &lt; 8%</w:t>
            </w:r>
          </w:p>
        </w:tc>
        <w:tc>
          <w:tcPr>
            <w:tcW w:type="dxa" w:w="44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8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进入观察队列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normal</w:t>
            </w:r>
          </w:p>
        </w:tc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|residual_pct| &lt; 5%</w:t>
            </w:r>
          </w:p>
        </w:tc>
        <w:tc>
          <w:tcPr>
            <w:tcW w:type="dxa" w:w="44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作为正常背景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8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statistical_outlier</w:t>
            </w:r>
          </w:p>
        </w:tc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8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robust_z 或 STL 权重显示强异常</w:t>
            </w:r>
          </w:p>
        </w:tc>
        <w:tc>
          <w:tcPr>
            <w:tcW w:type="dxa" w:w="44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8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补充证据，不替代业务阈值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endpoint_warning</w:t>
            </w:r>
          </w:p>
        </w:tc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首尾一个完整季节周期</w:t>
            </w:r>
          </w:p>
        </w:tc>
        <w:tc>
          <w:tcPr>
            <w:tcW w:type="dxa" w:w="44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提醒端点分解不稳定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8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revision_risk</w:t>
            </w:r>
          </w:p>
        </w:tc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8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GDP Q4</w:t>
            </w:r>
          </w:p>
        </w:tc>
        <w:tc>
          <w:tcPr>
            <w:tcW w:type="dxa" w:w="44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8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提醒累计值差分可能吸收年度修订</w:t>
            </w:r>
          </w:p>
        </w:tc>
      </w:tr>
    </w:tbl>
    <w:p>
      <w:pPr>
        <w:pStyle w:val="Heading2"/>
        <w:keepNext/>
        <w:spacing w:before="140" w:after="100"/>
      </w:pPr>
      <w:r>
        <w:rPr>
          <w:rFonts w:ascii="Noto Sans CJK SC" w:hAnsi="Noto Sans CJK SC" w:eastAsia="Noto Sans CJK SC"/>
          <w:b/>
          <w:color w:val="123B5D"/>
          <w:sz w:val="26"/>
        </w:rPr>
        <w:t>4.5 趋势强度与季节强度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3F5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>SeasonalStrength = max(0, 1 - Var(R) / Var(S + R))</w:t>
              <w:br/>
              <w:t>TrendStrength    = max(0, 1 - Var(R) / Var(T + R))</w:t>
            </w:r>
          </w:p>
        </w:tc>
      </w:tr>
    </w:tbl>
    <w:p>
      <w:pPr>
        <w:spacing w:line="348" w:lineRule="auto" w:after="100"/>
        <w:ind w:firstLine="420"/>
      </w:pPr>
      <w:r>
        <w:rPr>
          <w:rFonts w:ascii="Noto Sans CJK SC" w:hAnsi="Noto Sans CJK SC" w:eastAsia="Noto Sans CJK SC"/>
          <w:sz w:val="21"/>
        </w:rPr>
        <w:t>强度越接近 1，表示相应成分相对于残差越稳定、越可解释。它们用于描述结构，不用于证明因果。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41"/>
      </w:tblGrid>
      <w:tr>
        <w:trPr>
          <w:cantSplit/>
        </w:trPr>
        <w:tc>
          <w:tcPr>
            <w:tcW w:type="dxa" w:w="10200"/>
            <w:shd w:fill="FFF4D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7A4B00"/>
                <w:sz w:val="21"/>
              </w:rPr>
              <w:t>方法边界</w:t>
            </w:r>
          </w:p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9"/>
              </w:rPr>
              <w:t>STL 只能识别“与自身历史趋势和季节规律相比的异常”。跨地区比较、政策评估和因果归因还需要同期对照、外部变量、事件时间线和必要的统计检验。</w:t>
            </w:r>
          </w:p>
        </w:tc>
      </w:tr>
    </w:tbl>
    <w:p>
      <w:r>
        <w:br w:type="page"/>
      </w:r>
    </w:p>
    <w:p>
      <w:pPr>
        <w:pStyle w:val="Heading1"/>
        <w:keepNext/>
        <w:spacing w:before="200" w:after="100"/>
      </w:pPr>
      <w:r>
        <w:rPr>
          <w:rFonts w:ascii="Noto Sans CJK SC" w:hAnsi="Noto Sans CJK SC" w:eastAsia="Noto Sans CJK SC"/>
          <w:b/>
          <w:color w:val="123B5D"/>
          <w:sz w:val="32"/>
        </w:rPr>
        <w:t>5 完整代码结构与运行方式</w:t>
      </w:r>
    </w:p>
    <w:p>
      <w:pPr>
        <w:pStyle w:val="Heading2"/>
        <w:keepNext/>
        <w:spacing w:before="140" w:after="100"/>
      </w:pPr>
      <w:r>
        <w:rPr>
          <w:rFonts w:ascii="Noto Sans CJK SC" w:hAnsi="Noto Sans CJK SC" w:eastAsia="Noto Sans CJK SC"/>
          <w:b/>
          <w:color w:val="123B5D"/>
          <w:sz w:val="26"/>
        </w:rPr>
        <w:t>5.1 目录结构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3F5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>STL电力经济分析成果包/</w:t>
              <w:br/>
              <w:t>├─ stl_power_economy_pipeline.py</w:t>
              <w:br/>
              <w:t>├─ requirements.txt</w:t>
              <w:br/>
              <w:t>├─ data/</w:t>
              <w:br/>
              <w:t>│  ├─ raw/        # 浙江原始 XLSX、节假日 DOCX</w:t>
              <w:br/>
              <w:t>│  └─ reference/  # 苏州+南京+江门参考资料</w:t>
              <w:br/>
              <w:t>└─ outputs/</w:t>
              <w:br/>
              <w:t xml:space="preserve">   ├─ tables/      # STL 明细、异常、质量、来源</w:t>
              <w:br/>
              <w:t xml:space="preserve">   ├─ figures/     # 8 张分析图</w:t>
              <w:br/>
              <w:t xml:space="preserve">   ├─ model_input/ # model_input_records.jsonl</w:t>
              <w:br/>
              <w:t xml:space="preserve">   ├─ kg/          # kg_nodes.csv, kg_edges.csv</w:t>
              <w:br/>
              <w:t xml:space="preserve">   └─ run_summary.json</w:t>
            </w:r>
          </w:p>
        </w:tc>
      </w:tr>
    </w:tbl>
    <w:p>
      <w:pPr>
        <w:pStyle w:val="Heading2"/>
        <w:keepNext/>
        <w:spacing w:before="140" w:after="100"/>
      </w:pPr>
      <w:r>
        <w:rPr>
          <w:rFonts w:ascii="Noto Sans CJK SC" w:hAnsi="Noto Sans CJK SC" w:eastAsia="Noto Sans CJK SC"/>
          <w:b/>
          <w:color w:val="123B5D"/>
          <w:sz w:val="26"/>
        </w:rPr>
        <w:t>5.2 环境与命令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3F5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>python -m pip install -r requirements.txt</w:t>
              <w:br/>
              <w:t>python stl_power_economy_pipeline.py --input-dir data/raw --output-dir outputs</w:t>
            </w:r>
          </w:p>
        </w:tc>
      </w:tr>
    </w:tbl>
    <w:p>
      <w:pPr>
        <w:spacing w:line="348" w:lineRule="auto" w:after="100"/>
        <w:ind w:firstLine="420"/>
      </w:pPr>
      <w:r>
        <w:rPr>
          <w:rFonts w:ascii="Noto Sans CJK SC" w:hAnsi="Noto Sans CJK SC" w:eastAsia="Noto Sans CJK SC"/>
          <w:sz w:val="21"/>
        </w:rPr>
        <w:t>依赖文件仅包含 numpy、statsmodels、matplotlib、python-docx、Pillow。脚本没有依赖 Excel 桌面程序，也没有使用 OCR；XLSX 通过 ZIP/XML 直接读取。</w:t>
      </w:r>
    </w:p>
    <w:p>
      <w:pPr>
        <w:pStyle w:val="Heading2"/>
        <w:keepNext/>
        <w:spacing w:before="140" w:after="100"/>
      </w:pPr>
      <w:r>
        <w:rPr>
          <w:rFonts w:ascii="Noto Sans CJK SC" w:hAnsi="Noto Sans CJK SC" w:eastAsia="Noto Sans CJK SC"/>
          <w:b/>
          <w:color w:val="123B5D"/>
          <w:sz w:val="26"/>
        </w:rPr>
        <w:t>5.3 主程序的处理顺序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sz w:val="21"/>
        </w:rPr>
        <w:t>定位并读取 5 个原始文件，计算 SHA-256。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sz w:val="21"/>
        </w:rPr>
        <w:t>解析月度用电量并转换单位，解析三产业季度累计值并差分。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sz w:val="21"/>
        </w:rPr>
        <w:t>解析节假日通知，构建日历事件和月度特征。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sz w:val="21"/>
        </w:rPr>
        <w:t>执行鲁棒 log-STL，计算期望值、趋势、季节因子、残差比例、权重和强度。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sz w:val="21"/>
        </w:rPr>
        <w:t>根据业务阈值、端点和修订风险生成异常事件。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sz w:val="21"/>
        </w:rPr>
        <w:t>生成模型 JSONL、知识图谱节点/关系、质量报告、数据源登记和图表。</w:t>
      </w:r>
    </w:p>
    <w:p>
      <w:pPr>
        <w:pStyle w:val="Heading2"/>
        <w:keepNext/>
        <w:spacing w:before="140" w:after="100"/>
      </w:pPr>
      <w:r>
        <w:rPr>
          <w:rFonts w:ascii="Noto Sans CJK SC" w:hAnsi="Noto Sans CJK SC" w:eastAsia="Noto Sans CJK SC"/>
          <w:b/>
          <w:color w:val="123B5D"/>
          <w:sz w:val="26"/>
        </w:rPr>
        <w:t>5.4 关键实现片段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3F5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>stl = STL(</w:t>
              <w:br/>
              <w:t xml:space="preserve">    np.log(values),</w:t>
              <w:br/>
              <w:t xml:space="preserve">    period=period,</w:t>
              <w:br/>
              <w:t xml:space="preserve">    seasonal=seasonal_window,</w:t>
              <w:br/>
              <w:t xml:space="preserve">    robust=True,</w:t>
              <w:br/>
              <w:t>)</w:t>
              <w:br/>
              <w:t>fit = stl.fit()</w:t>
              <w:br/>
              <w:t>expected = np.exp(fit.trend + fit.seasonal)</w:t>
              <w:br/>
              <w:t>residual_pct = values / expected - 1.0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3F5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>a = abs(residual_pct)</w:t>
              <w:br/>
              <w:t>level = "high" if a &gt;= 0.08 else ("medium" if a &gt;= 0.05 else "normal")</w:t>
            </w:r>
          </w:p>
        </w:tc>
      </w:tr>
    </w:tbl>
    <w:p>
      <w:pPr>
        <w:spacing w:line="348" w:lineRule="auto" w:after="100"/>
        <w:ind w:firstLine="420"/>
      </w:pPr>
      <w:r>
        <w:rPr>
          <w:rFonts w:ascii="Noto Sans CJK SC" w:hAnsi="Noto Sans CJK SC" w:eastAsia="Noto Sans CJK SC"/>
          <w:sz w:val="21"/>
        </w:rPr>
        <w:t>完整实现已单独交付为 stl_power_economy_pipeline.py，包含 XLSX/XML 解析、节假日文本解析、所有质量检查、知识图谱与 JSONL 生成逻辑，报告中不省略任何运行步骤。</w:t>
      </w:r>
    </w:p>
    <w:p>
      <w:pPr>
        <w:pStyle w:val="Heading2"/>
        <w:keepNext/>
        <w:spacing w:before="140" w:after="100"/>
      </w:pPr>
      <w:r>
        <w:rPr>
          <w:rFonts w:ascii="Noto Sans CJK SC" w:hAnsi="Noto Sans CJK SC" w:eastAsia="Noto Sans CJK SC"/>
          <w:b/>
          <w:color w:val="123B5D"/>
          <w:sz w:val="26"/>
        </w:rPr>
        <w:t>5.5 本次实际运行日志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3F5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>{</w:t>
              <w:br/>
              <w:t xml:space="preserve">  "status": "success",</w:t>
              <w:br/>
              <w:t xml:space="preserve">  "output_dir": "/mnt/data/STL电力经济分析成果包/outputs",</w:t>
              <w:br/>
              <w:t xml:space="preserve">  "electricity_records": 51,</w:t>
              <w:br/>
              <w:t xml:space="preserve">  "gdp_records": 312,</w:t>
              <w:br/>
              <w:t xml:space="preserve">  "electricity_high_anomalies": 7,</w:t>
              <w:br/>
              <w:t xml:space="preserve">  "gdp_high_anomalies": 22,</w:t>
              <w:br/>
              <w:t xml:space="preserve">  "kg_nodes": 647,</w:t>
              <w:br/>
              <w:t xml:space="preserve">  "kg_edges": 1235</w:t>
              <w:br/>
              <w:t>}</w:t>
            </w:r>
          </w:p>
        </w:tc>
      </w:tr>
    </w:tbl>
    <w:p>
      <w:r>
        <w:br w:type="page"/>
      </w:r>
    </w:p>
    <w:p>
      <w:pPr>
        <w:pStyle w:val="Heading1"/>
        <w:keepNext/>
        <w:spacing w:before="200" w:after="100"/>
      </w:pPr>
      <w:r>
        <w:rPr>
          <w:rFonts w:ascii="Noto Sans CJK SC" w:hAnsi="Noto Sans CJK SC" w:eastAsia="Noto Sans CJK SC"/>
          <w:b/>
          <w:color w:val="123B5D"/>
          <w:sz w:val="32"/>
        </w:rPr>
        <w:t>6 浙江省全社会用电量 STL 结果</w:t>
      </w:r>
    </w:p>
    <w:p>
      <w:pPr>
        <w:pStyle w:val="Heading2"/>
        <w:keepNext/>
        <w:spacing w:before="140" w:after="100"/>
      </w:pPr>
      <w:r>
        <w:rPr>
          <w:rFonts w:ascii="Noto Sans CJK SC" w:hAnsi="Noto Sans CJK SC" w:eastAsia="Noto Sans CJK SC"/>
          <w:b/>
          <w:color w:val="123B5D"/>
          <w:sz w:val="26"/>
        </w:rPr>
        <w:t>6.1 总体结果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2324"/>
            <w:vAlign w:val="center"/>
            <w:shd w:fill="1F5A7A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2721"/>
            <w:vAlign w:val="center"/>
            <w:shd w:fill="1F5A7A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结果</w:t>
            </w:r>
          </w:p>
        </w:tc>
        <w:tc>
          <w:tcPr>
            <w:tcW w:type="dxa" w:w="4082"/>
            <w:vAlign w:val="center"/>
            <w:shd w:fill="1F5A7A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解释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有效记录</w:t>
            </w:r>
          </w:p>
        </w:tc>
        <w:tc>
          <w:tcPr>
            <w:tcW w:type="dxa" w:w="272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51 个月（2021-01—2025-03）</w:t>
            </w:r>
          </w:p>
        </w:tc>
        <w:tc>
          <w:tcPr>
            <w:tcW w:type="dxa" w:w="40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时间连续，无缺月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8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2024 年总量</w:t>
            </w:r>
          </w:p>
        </w:tc>
        <w:tc>
          <w:tcPr>
            <w:tcW w:type="dxa" w:w="272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8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6780.85 亿千瓦时</w:t>
            </w:r>
          </w:p>
        </w:tc>
        <w:tc>
          <w:tcPr>
            <w:tcW w:type="dxa" w:w="40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8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与外部权威年度口径基本一致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趋势起点/终点</w:t>
            </w:r>
          </w:p>
        </w:tc>
        <w:tc>
          <w:tcPr>
            <w:tcW w:type="dxa" w:w="272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450.33 / 580.36 亿千瓦时</w:t>
            </w:r>
          </w:p>
        </w:tc>
        <w:tc>
          <w:tcPr>
            <w:tcW w:type="dxa" w:w="40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STL 趋势水平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8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趋势年化增速</w:t>
            </w:r>
          </w:p>
        </w:tc>
        <w:tc>
          <w:tcPr>
            <w:tcW w:type="dxa" w:w="272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8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6.29%</w:t>
            </w:r>
          </w:p>
        </w:tc>
        <w:tc>
          <w:tcPr>
            <w:tcW w:type="dxa" w:w="40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8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按趋势首尾复合年化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季节强度</w:t>
            </w:r>
          </w:p>
        </w:tc>
        <w:tc>
          <w:tcPr>
            <w:tcW w:type="dxa" w:w="272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0.784</w:t>
            </w:r>
          </w:p>
        </w:tc>
        <w:tc>
          <w:tcPr>
            <w:tcW w:type="dxa" w:w="40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季节结构较明显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8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趋势强度</w:t>
            </w:r>
          </w:p>
        </w:tc>
        <w:tc>
          <w:tcPr>
            <w:tcW w:type="dxa" w:w="272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8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0.565</w:t>
            </w:r>
          </w:p>
        </w:tc>
        <w:tc>
          <w:tcPr>
            <w:tcW w:type="dxa" w:w="40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8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趋势存在但残差影响不小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high / medium</w:t>
            </w:r>
          </w:p>
        </w:tc>
        <w:tc>
          <w:tcPr>
            <w:tcW w:type="dxa" w:w="272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7 / 3</w:t>
            </w:r>
          </w:p>
        </w:tc>
        <w:tc>
          <w:tcPr>
            <w:tcW w:type="dxa" w:w="40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按 8% 与 5% 阈值</w:t>
            </w:r>
          </w:p>
        </w:tc>
      </w:tr>
    </w:tbl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52000" cy="27295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electricity_actual_vs_expect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27295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60" w:after="140"/>
        <w:jc w:val="center"/>
      </w:pPr>
      <w:r>
        <w:rPr>
          <w:rFonts w:ascii="Noto Sans CJK SC" w:hAnsi="Noto Sans CJK SC" w:eastAsia="Noto Sans CJK SC"/>
          <w:color w:val="5A5A5A"/>
          <w:sz w:val="18"/>
        </w:rPr>
        <w:t>图 6-1  浙江全社会用电量实际值与 STL 期望值</w:t>
      </w:r>
    </w:p>
    <w:p>
      <w:pPr>
        <w:spacing w:line="348" w:lineRule="auto" w:after="100"/>
        <w:ind w:firstLine="420"/>
      </w:pPr>
      <w:r>
        <w:rPr>
          <w:rFonts w:ascii="Noto Sans CJK SC" w:hAnsi="Noto Sans CJK SC" w:eastAsia="Noto Sans CJK SC"/>
          <w:sz w:val="21"/>
        </w:rPr>
        <w:t>实际值与期望值整体同步，说明 trend+seasonal 已解释大部分常规波动；明显偏离集中在春节错位月份和少数非春节月份。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52000" cy="272959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electricity_tren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27295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60" w:after="140"/>
        <w:jc w:val="center"/>
      </w:pPr>
      <w:r>
        <w:rPr>
          <w:rFonts w:ascii="Noto Sans CJK SC" w:hAnsi="Noto Sans CJK SC" w:eastAsia="Noto Sans CJK SC"/>
          <w:color w:val="5A5A5A"/>
          <w:sz w:val="18"/>
        </w:rPr>
        <w:t>图 6-2  月度用电量趋势水平</w:t>
      </w:r>
    </w:p>
    <w:p>
      <w:pPr>
        <w:spacing w:line="348" w:lineRule="auto" w:after="100"/>
        <w:ind w:firstLine="420"/>
      </w:pPr>
      <w:r>
        <w:rPr>
          <w:rFonts w:ascii="Noto Sans CJK SC" w:hAnsi="Noto Sans CJK SC" w:eastAsia="Noto Sans CJK SC"/>
          <w:sz w:val="21"/>
        </w:rPr>
        <w:t>趋势从约 450.33 亿千瓦时上升到 580.36 亿千瓦时，按样本首尾趋势计算的年化增速约 6.29%。末端趋势仍属于端点估计，应在新数据到来后滚动更新。</w:t>
      </w:r>
    </w:p>
    <w:p>
      <w:r>
        <w:br w:type="page"/>
      </w:r>
    </w:p>
    <w:p>
      <w:pPr>
        <w:pStyle w:val="Heading2"/>
        <w:keepNext/>
        <w:spacing w:before="140" w:after="100"/>
      </w:pPr>
      <w:r>
        <w:rPr>
          <w:rFonts w:ascii="Noto Sans CJK SC" w:hAnsi="Noto Sans CJK SC" w:eastAsia="Noto Sans CJK SC"/>
          <w:b/>
          <w:color w:val="123B5D"/>
          <w:sz w:val="26"/>
        </w:rPr>
        <w:t>6.2 月份季节性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  <w:cantSplit/>
        </w:trPr>
        <w:tc>
          <w:tcPr>
            <w:tcW w:type="dxa" w:w="1417"/>
            <w:vAlign w:val="center"/>
            <w:shd w:fill="1F5A7A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月份</w:t>
            </w:r>
          </w:p>
        </w:tc>
        <w:tc>
          <w:tcPr>
            <w:tcW w:type="dxa" w:w="2268"/>
            <w:vAlign w:val="center"/>
            <w:shd w:fill="1F5A7A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平均季节因子</w:t>
            </w:r>
          </w:p>
        </w:tc>
        <w:tc>
          <w:tcPr>
            <w:tcW w:type="dxa" w:w="2268"/>
            <w:vAlign w:val="center"/>
            <w:shd w:fill="1F5A7A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相对趋势效应</w:t>
            </w:r>
          </w:p>
        </w:tc>
        <w:tc>
          <w:tcPr>
            <w:tcW w:type="dxa" w:w="1417"/>
            <w:vAlign w:val="center"/>
            <w:shd w:fill="1F5A7A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样本数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1月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0.891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-10.88%</w:t>
            </w:r>
          </w:p>
        </w:tc>
        <w:tc>
          <w:tcPr>
            <w:tcW w:type="dxa" w:w="141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5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8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2月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8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0.794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8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-20.58%</w:t>
            </w:r>
          </w:p>
        </w:tc>
        <w:tc>
          <w:tcPr>
            <w:tcW w:type="dxa" w:w="141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8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5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3月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0.994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-0.56%</w:t>
            </w:r>
          </w:p>
        </w:tc>
        <w:tc>
          <w:tcPr>
            <w:tcW w:type="dxa" w:w="141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5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8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4月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8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0.935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8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-6.54%</w:t>
            </w:r>
          </w:p>
        </w:tc>
        <w:tc>
          <w:tcPr>
            <w:tcW w:type="dxa" w:w="141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8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4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5月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0.966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-3.37%</w:t>
            </w:r>
          </w:p>
        </w:tc>
        <w:tc>
          <w:tcPr>
            <w:tcW w:type="dxa" w:w="141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4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8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6月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8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1.002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8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+0.15%</w:t>
            </w:r>
          </w:p>
        </w:tc>
        <w:tc>
          <w:tcPr>
            <w:tcW w:type="dxa" w:w="141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8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4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7月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1.253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+25.31%</w:t>
            </w:r>
          </w:p>
        </w:tc>
        <w:tc>
          <w:tcPr>
            <w:tcW w:type="dxa" w:w="141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4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8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8月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8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1.266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8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+26.58%</w:t>
            </w:r>
          </w:p>
        </w:tc>
        <w:tc>
          <w:tcPr>
            <w:tcW w:type="dxa" w:w="141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8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4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9月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1.117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+11.67%</w:t>
            </w:r>
          </w:p>
        </w:tc>
        <w:tc>
          <w:tcPr>
            <w:tcW w:type="dxa" w:w="141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4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8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10月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8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0.935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8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-6.51%</w:t>
            </w:r>
          </w:p>
        </w:tc>
        <w:tc>
          <w:tcPr>
            <w:tcW w:type="dxa" w:w="141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8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4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11月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0.931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-6.90%</w:t>
            </w:r>
          </w:p>
        </w:tc>
        <w:tc>
          <w:tcPr>
            <w:tcW w:type="dxa" w:w="141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4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8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12月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8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1.040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8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+3.95%</w:t>
            </w:r>
          </w:p>
        </w:tc>
        <w:tc>
          <w:tcPr>
            <w:tcW w:type="dxa" w:w="141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8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4</w:t>
            </w:r>
          </w:p>
        </w:tc>
      </w:tr>
    </w:tbl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52000" cy="277769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electricity_month_seasonal_factor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2777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60" w:after="140"/>
        <w:jc w:val="center"/>
      </w:pPr>
      <w:r>
        <w:rPr>
          <w:rFonts w:ascii="Noto Sans CJK SC" w:hAnsi="Noto Sans CJK SC" w:eastAsia="Noto Sans CJK SC"/>
          <w:color w:val="5A5A5A"/>
          <w:sz w:val="18"/>
        </w:rPr>
        <w:t>图 6-3  月度平均季节因子</w:t>
      </w:r>
    </w:p>
    <w:p>
      <w:pPr>
        <w:spacing w:line="348" w:lineRule="auto" w:after="100"/>
        <w:ind w:firstLine="420"/>
      </w:pPr>
      <w:r>
        <w:rPr>
          <w:rFonts w:ascii="Noto Sans CJK SC" w:hAnsi="Noto Sans CJK SC" w:eastAsia="Noto Sans CJK SC"/>
          <w:sz w:val="21"/>
        </w:rPr>
        <w:t>7—8 月平均季节因子分别约为 1.253、1.266，是全年高位；2 月约为 0.794，是最低月份。这一结构符合夏季负荷抬升与春节停复工的常见时间模式，但具体原因仍需气象、分行业用电和生产数据验证。</w:t>
      </w:r>
    </w:p>
    <w:p>
      <w:pPr>
        <w:pStyle w:val="Heading2"/>
        <w:keepNext/>
        <w:spacing w:before="140" w:after="100"/>
      </w:pPr>
      <w:r>
        <w:rPr>
          <w:rFonts w:ascii="Noto Sans CJK SC" w:hAnsi="Noto Sans CJK SC" w:eastAsia="Noto Sans CJK SC"/>
          <w:b/>
          <w:color w:val="123B5D"/>
          <w:sz w:val="26"/>
        </w:rPr>
        <w:t>6.3 电力 high 异常清单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rPr>
          <w:tblHeader w:val="true"/>
          <w:cantSplit/>
        </w:trPr>
        <w:tc>
          <w:tcPr>
            <w:tcW w:type="dxa" w:w="1247"/>
            <w:vAlign w:val="center"/>
            <w:shd w:fill="1F5A7A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期间</w:t>
            </w:r>
          </w:p>
        </w:tc>
        <w:tc>
          <w:tcPr>
            <w:tcW w:type="dxa" w:w="1587"/>
            <w:vAlign w:val="center"/>
            <w:shd w:fill="1F5A7A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实际值</w:t>
            </w:r>
          </w:p>
        </w:tc>
        <w:tc>
          <w:tcPr>
            <w:tcW w:type="dxa" w:w="1587"/>
            <w:vAlign w:val="center"/>
            <w:shd w:fill="1F5A7A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期望值</w:t>
            </w:r>
          </w:p>
        </w:tc>
        <w:tc>
          <w:tcPr>
            <w:tcW w:type="dxa" w:w="1361"/>
            <w:vAlign w:val="center"/>
            <w:shd w:fill="1F5A7A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偏离</w:t>
            </w:r>
          </w:p>
        </w:tc>
        <w:tc>
          <w:tcPr>
            <w:tcW w:type="dxa" w:w="1361"/>
            <w:vAlign w:val="center"/>
            <w:shd w:fill="1F5A7A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春节窗口</w:t>
            </w:r>
          </w:p>
        </w:tc>
        <w:tc>
          <w:tcPr>
            <w:tcW w:type="dxa" w:w="1361"/>
            <w:vAlign w:val="center"/>
            <w:shd w:fill="1F5A7A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端点警告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2021-01</w:t>
            </w:r>
          </w:p>
        </w:tc>
        <w:tc>
          <w:tcPr>
            <w:tcW w:type="dxa" w:w="158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465.60</w:t>
            </w:r>
          </w:p>
        </w:tc>
        <w:tc>
          <w:tcPr>
            <w:tcW w:type="dxa" w:w="158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422.75</w:t>
            </w:r>
          </w:p>
        </w:tc>
        <w:tc>
          <w:tcPr>
            <w:tcW w:type="dxa" w:w="136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+10.14%</w:t>
            </w:r>
          </w:p>
        </w:tc>
        <w:tc>
          <w:tcPr>
            <w:tcW w:type="dxa" w:w="136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是</w:t>
            </w:r>
          </w:p>
        </w:tc>
        <w:tc>
          <w:tcPr>
            <w:tcW w:type="dxa" w:w="136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是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8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2021-02</w:t>
            </w:r>
          </w:p>
        </w:tc>
        <w:tc>
          <w:tcPr>
            <w:tcW w:type="dxa" w:w="158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8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256.10</w:t>
            </w:r>
          </w:p>
        </w:tc>
        <w:tc>
          <w:tcPr>
            <w:tcW w:type="dxa" w:w="158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8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357.89</w:t>
            </w:r>
          </w:p>
        </w:tc>
        <w:tc>
          <w:tcPr>
            <w:tcW w:type="dxa" w:w="136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8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-28.44%</w:t>
            </w:r>
          </w:p>
        </w:tc>
        <w:tc>
          <w:tcPr>
            <w:tcW w:type="dxa" w:w="136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8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是</w:t>
            </w:r>
          </w:p>
        </w:tc>
        <w:tc>
          <w:tcPr>
            <w:tcW w:type="dxa" w:w="136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8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是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2022-09</w:t>
            </w:r>
          </w:p>
        </w:tc>
        <w:tc>
          <w:tcPr>
            <w:tcW w:type="dxa" w:w="158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483.31</w:t>
            </w:r>
          </w:p>
        </w:tc>
        <w:tc>
          <w:tcPr>
            <w:tcW w:type="dxa" w:w="158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546.39</w:t>
            </w:r>
          </w:p>
        </w:tc>
        <w:tc>
          <w:tcPr>
            <w:tcW w:type="dxa" w:w="136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-11.54%</w:t>
            </w:r>
          </w:p>
        </w:tc>
        <w:tc>
          <w:tcPr>
            <w:tcW w:type="dxa" w:w="136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否</w:t>
            </w:r>
          </w:p>
        </w:tc>
        <w:tc>
          <w:tcPr>
            <w:tcW w:type="dxa" w:w="136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否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8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2023-01</w:t>
            </w:r>
          </w:p>
        </w:tc>
        <w:tc>
          <w:tcPr>
            <w:tcW w:type="dxa" w:w="158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8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341.15</w:t>
            </w:r>
          </w:p>
        </w:tc>
        <w:tc>
          <w:tcPr>
            <w:tcW w:type="dxa" w:w="158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8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446.60</w:t>
            </w:r>
          </w:p>
        </w:tc>
        <w:tc>
          <w:tcPr>
            <w:tcW w:type="dxa" w:w="136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8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-23.61%</w:t>
            </w:r>
          </w:p>
        </w:tc>
        <w:tc>
          <w:tcPr>
            <w:tcW w:type="dxa" w:w="136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8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是</w:t>
            </w:r>
          </w:p>
        </w:tc>
        <w:tc>
          <w:tcPr>
            <w:tcW w:type="dxa" w:w="136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8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否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2023-02</w:t>
            </w:r>
          </w:p>
        </w:tc>
        <w:tc>
          <w:tcPr>
            <w:tcW w:type="dxa" w:w="158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442.30</w:t>
            </w:r>
          </w:p>
        </w:tc>
        <w:tc>
          <w:tcPr>
            <w:tcW w:type="dxa" w:w="158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400.39</w:t>
            </w:r>
          </w:p>
        </w:tc>
        <w:tc>
          <w:tcPr>
            <w:tcW w:type="dxa" w:w="136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+10.47%</w:t>
            </w:r>
          </w:p>
        </w:tc>
        <w:tc>
          <w:tcPr>
            <w:tcW w:type="dxa" w:w="136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是</w:t>
            </w:r>
          </w:p>
        </w:tc>
        <w:tc>
          <w:tcPr>
            <w:tcW w:type="dxa" w:w="136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否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8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2024-01</w:t>
            </w:r>
          </w:p>
        </w:tc>
        <w:tc>
          <w:tcPr>
            <w:tcW w:type="dxa" w:w="158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8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551.65</w:t>
            </w:r>
          </w:p>
        </w:tc>
        <w:tc>
          <w:tcPr>
            <w:tcW w:type="dxa" w:w="158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8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468.72</w:t>
            </w:r>
          </w:p>
        </w:tc>
        <w:tc>
          <w:tcPr>
            <w:tcW w:type="dxa" w:w="136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8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+17.69%</w:t>
            </w:r>
          </w:p>
        </w:tc>
        <w:tc>
          <w:tcPr>
            <w:tcW w:type="dxa" w:w="136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8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是</w:t>
            </w:r>
          </w:p>
        </w:tc>
        <w:tc>
          <w:tcPr>
            <w:tcW w:type="dxa" w:w="136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8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否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2024-02</w:t>
            </w:r>
          </w:p>
        </w:tc>
        <w:tc>
          <w:tcPr>
            <w:tcW w:type="dxa" w:w="158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354.78</w:t>
            </w:r>
          </w:p>
        </w:tc>
        <w:tc>
          <w:tcPr>
            <w:tcW w:type="dxa" w:w="158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432.56</w:t>
            </w:r>
          </w:p>
        </w:tc>
        <w:tc>
          <w:tcPr>
            <w:tcW w:type="dxa" w:w="136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-17.98%</w:t>
            </w:r>
          </w:p>
        </w:tc>
        <w:tc>
          <w:tcPr>
            <w:tcW w:type="dxa" w:w="136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是</w:t>
            </w:r>
          </w:p>
        </w:tc>
        <w:tc>
          <w:tcPr>
            <w:tcW w:type="dxa" w:w="136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否</w:t>
            </w:r>
          </w:p>
        </w:tc>
      </w:tr>
    </w:tbl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52000" cy="272959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electricity_residual_anomali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27295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60" w:after="140"/>
        <w:jc w:val="center"/>
      </w:pPr>
      <w:r>
        <w:rPr>
          <w:rFonts w:ascii="Noto Sans CJK SC" w:hAnsi="Noto Sans CJK SC" w:eastAsia="Noto Sans CJK SC"/>
          <w:color w:val="5A5A5A"/>
          <w:sz w:val="18"/>
        </w:rPr>
        <w:t>图 6-4  电力残差比例与异常阈值</w:t>
      </w:r>
    </w:p>
    <w:p>
      <w:pPr>
        <w:pStyle w:val="Heading2"/>
        <w:keepNext/>
        <w:spacing w:before="140" w:after="100"/>
      </w:pPr>
      <w:r>
        <w:rPr>
          <w:rFonts w:ascii="Noto Sans CJK SC" w:hAnsi="Noto Sans CJK SC" w:eastAsia="Noto Sans CJK SC"/>
          <w:b/>
          <w:color w:val="123B5D"/>
          <w:sz w:val="26"/>
        </w:rPr>
        <w:t>6.4 异常解释示例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  <w:cantSplit/>
        </w:trPr>
        <w:tc>
          <w:tcPr>
            <w:tcW w:type="dxa" w:w="1814"/>
            <w:vAlign w:val="center"/>
            <w:shd w:fill="1F5A7A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异常</w:t>
            </w:r>
          </w:p>
        </w:tc>
        <w:tc>
          <w:tcPr>
            <w:tcW w:type="dxa" w:w="2381"/>
            <w:vAlign w:val="center"/>
            <w:shd w:fill="1F5A7A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可观察事实</w:t>
            </w:r>
          </w:p>
        </w:tc>
        <w:tc>
          <w:tcPr>
            <w:tcW w:type="dxa" w:w="2381"/>
            <w:vAlign w:val="center"/>
            <w:shd w:fill="1F5A7A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当前候选解释</w:t>
            </w:r>
          </w:p>
        </w:tc>
        <w:tc>
          <w:tcPr>
            <w:tcW w:type="dxa" w:w="2835"/>
            <w:vAlign w:val="center"/>
            <w:shd w:fill="1F5A7A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下一步必须补证据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2023-01 -23.61% / 2023-02 +10.47%</w:t>
            </w:r>
          </w:p>
        </w:tc>
        <w:tc>
          <w:tcPr>
            <w:tcW w:type="dxa" w:w="23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春节在 1 月，低谷与反弹跨月</w:t>
            </w:r>
          </w:p>
        </w:tc>
        <w:tc>
          <w:tcPr>
            <w:tcW w:type="dxa" w:w="23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春节日期错位与复工节奏</w:t>
            </w:r>
          </w:p>
        </w:tc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分行业用电、规上工业增加值、开工率、春节日期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8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2024-01 +17.69% / 2024-02 -17.98%</w:t>
            </w:r>
          </w:p>
        </w:tc>
        <w:tc>
          <w:tcPr>
            <w:tcW w:type="dxa" w:w="23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8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春节在 2 月，1 月偏高、2 月偏低</w:t>
            </w:r>
          </w:p>
        </w:tc>
        <w:tc>
          <w:tcPr>
            <w:tcW w:type="dxa" w:w="23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8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春节前置生产与 2 月停工</w:t>
            </w:r>
          </w:p>
        </w:tc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8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日度负荷、制造业用电、春节前后生产日历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2022-09 -11.54%</w:t>
            </w:r>
          </w:p>
        </w:tc>
        <w:tc>
          <w:tcPr>
            <w:tcW w:type="dxa" w:w="23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不在春节窗口</w:t>
            </w:r>
          </w:p>
        </w:tc>
        <w:tc>
          <w:tcPr>
            <w:tcW w:type="dxa" w:w="23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天气、工业活动、政策/电网事件之一或组合</w:t>
            </w:r>
          </w:p>
        </w:tc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温度、工业增加值、分行业用电、电价/限电/需求响应记录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8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2021-01/02</w:t>
            </w:r>
          </w:p>
        </w:tc>
        <w:tc>
          <w:tcPr>
            <w:tcW w:type="dxa" w:w="23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8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样本起点且偏离较大</w:t>
            </w:r>
          </w:p>
        </w:tc>
        <w:tc>
          <w:tcPr>
            <w:tcW w:type="dxa" w:w="23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8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可能含春节因素，但端点不稳定</w:t>
            </w:r>
          </w:p>
        </w:tc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8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更早历史数据；不应作为强因果证据</w:t>
            </w:r>
          </w:p>
        </w:tc>
      </w:tr>
    </w:tbl>
    <w:p>
      <w:r>
        <w:br w:type="page"/>
      </w:r>
    </w:p>
    <w:p>
      <w:pPr>
        <w:pStyle w:val="Heading1"/>
        <w:keepNext/>
        <w:spacing w:before="200" w:after="100"/>
      </w:pPr>
      <w:r>
        <w:rPr>
          <w:rFonts w:ascii="Noto Sans CJK SC" w:hAnsi="Noto Sans CJK SC" w:eastAsia="Noto Sans CJK SC"/>
          <w:b/>
          <w:color w:val="123B5D"/>
          <w:sz w:val="32"/>
        </w:rPr>
        <w:t>7 三次产业季度增加值 STL 结果</w:t>
      </w:r>
    </w:p>
    <w:p>
      <w:pPr>
        <w:pStyle w:val="Heading2"/>
        <w:keepNext/>
        <w:spacing w:before="140" w:after="100"/>
      </w:pPr>
      <w:r>
        <w:rPr>
          <w:rFonts w:ascii="Noto Sans CJK SC" w:hAnsi="Noto Sans CJK SC" w:eastAsia="Noto Sans CJK SC"/>
          <w:b/>
          <w:color w:val="123B5D"/>
          <w:sz w:val="26"/>
        </w:rPr>
        <w:t>7.1 总体结构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rPr>
          <w:tblHeader w:val="true"/>
          <w:cantSplit/>
        </w:trPr>
        <w:tc>
          <w:tcPr>
            <w:tcW w:type="dxa" w:w="1361"/>
            <w:vAlign w:val="center"/>
            <w:shd w:fill="1F5A7A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产业</w:t>
            </w:r>
          </w:p>
        </w:tc>
        <w:tc>
          <w:tcPr>
            <w:tcW w:type="dxa" w:w="1134"/>
            <w:vAlign w:val="center"/>
            <w:shd w:fill="1F5A7A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记录数</w:t>
            </w:r>
          </w:p>
        </w:tc>
        <w:tc>
          <w:tcPr>
            <w:tcW w:type="dxa" w:w="1474"/>
            <w:vAlign w:val="center"/>
            <w:shd w:fill="1F5A7A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季节强度</w:t>
            </w:r>
          </w:p>
        </w:tc>
        <w:tc>
          <w:tcPr>
            <w:tcW w:type="dxa" w:w="1474"/>
            <w:vAlign w:val="center"/>
            <w:shd w:fill="1F5A7A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趋势强度</w:t>
            </w:r>
          </w:p>
        </w:tc>
        <w:tc>
          <w:tcPr>
            <w:tcW w:type="dxa" w:w="1814"/>
            <w:vAlign w:val="center"/>
            <w:shd w:fill="1F5A7A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残差MAD(log)</w:t>
            </w:r>
          </w:p>
        </w:tc>
        <w:tc>
          <w:tcPr>
            <w:tcW w:type="dxa" w:w="1814"/>
            <w:vAlign w:val="center"/>
            <w:shd w:fill="1F5A7A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残差STD(log)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第一产业</w:t>
            </w:r>
          </w:p>
        </w:tc>
        <w:tc>
          <w:tcPr>
            <w:tcW w:type="dxa" w:w="11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104</w:t>
            </w:r>
          </w:p>
        </w:tc>
        <w:tc>
          <w:tcPr>
            <w:tcW w:type="dxa" w:w="147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0.988</w:t>
            </w:r>
          </w:p>
        </w:tc>
        <w:tc>
          <w:tcPr>
            <w:tcW w:type="dxa" w:w="147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0.994</w:t>
            </w:r>
          </w:p>
        </w:tc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0.0084</w:t>
            </w:r>
          </w:p>
        </w:tc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0.0350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8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第二产业</w:t>
            </w:r>
          </w:p>
        </w:tc>
        <w:tc>
          <w:tcPr>
            <w:tcW w:type="dxa" w:w="11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8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104</w:t>
            </w:r>
          </w:p>
        </w:tc>
        <w:tc>
          <w:tcPr>
            <w:tcW w:type="dxa" w:w="147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8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0.806</w:t>
            </w:r>
          </w:p>
        </w:tc>
        <w:tc>
          <w:tcPr>
            <w:tcW w:type="dxa" w:w="147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8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0.995</w:t>
            </w:r>
          </w:p>
        </w:tc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8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0.0058</w:t>
            </w:r>
          </w:p>
        </w:tc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8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0.0502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第三产业</w:t>
            </w:r>
          </w:p>
        </w:tc>
        <w:tc>
          <w:tcPr>
            <w:tcW w:type="dxa" w:w="11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104</w:t>
            </w:r>
          </w:p>
        </w:tc>
        <w:tc>
          <w:tcPr>
            <w:tcW w:type="dxa" w:w="147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0.822</w:t>
            </w:r>
          </w:p>
        </w:tc>
        <w:tc>
          <w:tcPr>
            <w:tcW w:type="dxa" w:w="147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0.998</w:t>
            </w:r>
          </w:p>
        </w:tc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0.0079</w:t>
            </w:r>
          </w:p>
        </w:tc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0.0394</w:t>
            </w:r>
          </w:p>
        </w:tc>
      </w:tr>
    </w:tbl>
    <w:p>
      <w:pPr>
        <w:spacing w:line="348" w:lineRule="auto" w:after="100"/>
        <w:ind w:firstLine="420"/>
      </w:pPr>
      <w:r>
        <w:rPr>
          <w:rFonts w:ascii="Noto Sans CJK SC" w:hAnsi="Noto Sans CJK SC" w:eastAsia="Noto Sans CJK SC"/>
          <w:sz w:val="21"/>
        </w:rPr>
        <w:t>三个产业的趋势强度均高于 0.99，说明 2000—2025 年长期增长轨迹非常突出；季节强度中第一产业最高，第二、第三产业也具有明显季度结构。高趋势强度并不意味着没有周期冲击，异常仍由相对期望值的残差识别。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00000" cy="260789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gdp_第一产业_actual_vs_expecte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078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60" w:after="140"/>
        <w:jc w:val="center"/>
      </w:pPr>
      <w:r>
        <w:rPr>
          <w:rFonts w:ascii="Noto Sans CJK SC" w:hAnsi="Noto Sans CJK SC" w:eastAsia="Noto Sans CJK SC"/>
          <w:color w:val="5A5A5A"/>
          <w:sz w:val="18"/>
        </w:rPr>
        <w:t>图 7-1  第一产业单季度增加值与 STL 期望值</w:t>
      </w:r>
    </w:p>
    <w:p>
      <w:r>
        <w:br w:type="page"/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112000" cy="246880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gdp_第二产业_actual_vs_expecte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4688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60" w:after="140"/>
        <w:jc w:val="center"/>
      </w:pPr>
      <w:r>
        <w:rPr>
          <w:rFonts w:ascii="Noto Sans CJK SC" w:hAnsi="Noto Sans CJK SC" w:eastAsia="Noto Sans CJK SC"/>
          <w:color w:val="5A5A5A"/>
          <w:sz w:val="18"/>
        </w:rPr>
        <w:t>图 7-2  第二产业单季度增加值与 STL 期望值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112000" cy="247725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gdp_第三产业_actual_vs_expecte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4772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60" w:after="140"/>
        <w:jc w:val="center"/>
      </w:pPr>
      <w:r>
        <w:rPr>
          <w:rFonts w:ascii="Noto Sans CJK SC" w:hAnsi="Noto Sans CJK SC" w:eastAsia="Noto Sans CJK SC"/>
          <w:color w:val="5A5A5A"/>
          <w:sz w:val="18"/>
        </w:rPr>
        <w:t>图 7-3  第三产业单季度增加值与 STL 期望值</w:t>
      </w:r>
    </w:p>
    <w:p>
      <w:r>
        <w:br w:type="page"/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328000" cy="264410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gdp_residual_anomali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26441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60" w:after="140"/>
        <w:jc w:val="center"/>
      </w:pPr>
      <w:r>
        <w:rPr>
          <w:rFonts w:ascii="Noto Sans CJK SC" w:hAnsi="Noto Sans CJK SC" w:eastAsia="Noto Sans CJK SC"/>
          <w:color w:val="5A5A5A"/>
          <w:sz w:val="18"/>
        </w:rPr>
        <w:t>图 7-4  三次产业残差比例与异常点</w:t>
      </w:r>
    </w:p>
    <w:p>
      <w:pPr>
        <w:pStyle w:val="Heading2"/>
        <w:keepNext/>
        <w:spacing w:before="140" w:after="100"/>
      </w:pPr>
      <w:r>
        <w:rPr>
          <w:rFonts w:ascii="Noto Sans CJK SC" w:hAnsi="Noto Sans CJK SC" w:eastAsia="Noto Sans CJK SC"/>
          <w:b/>
          <w:color w:val="123B5D"/>
          <w:sz w:val="26"/>
        </w:rPr>
        <w:t>7.2 high 异常概览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rPr>
          <w:tblHeader w:val="true"/>
          <w:cantSplit/>
        </w:trPr>
        <w:tc>
          <w:tcPr>
            <w:tcW w:type="dxa" w:w="1134"/>
            <w:vAlign w:val="center"/>
            <w:shd w:fill="1F5A7A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期间</w:t>
            </w:r>
          </w:p>
        </w:tc>
        <w:tc>
          <w:tcPr>
            <w:tcW w:type="dxa" w:w="1304"/>
            <w:vAlign w:val="center"/>
            <w:shd w:fill="1F5A7A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产业</w:t>
            </w:r>
          </w:p>
        </w:tc>
        <w:tc>
          <w:tcPr>
            <w:tcW w:type="dxa" w:w="1531"/>
            <w:vAlign w:val="center"/>
            <w:shd w:fill="1F5A7A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实际值</w:t>
            </w:r>
          </w:p>
        </w:tc>
        <w:tc>
          <w:tcPr>
            <w:tcW w:type="dxa" w:w="1531"/>
            <w:vAlign w:val="center"/>
            <w:shd w:fill="1F5A7A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期望值</w:t>
            </w:r>
          </w:p>
        </w:tc>
        <w:tc>
          <w:tcPr>
            <w:tcW w:type="dxa" w:w="1247"/>
            <w:vAlign w:val="center"/>
            <w:shd w:fill="1F5A7A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偏离</w:t>
            </w:r>
          </w:p>
        </w:tc>
        <w:tc>
          <w:tcPr>
            <w:tcW w:type="dxa" w:w="1191"/>
            <w:vAlign w:val="center"/>
            <w:shd w:fill="1F5A7A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Q4风险</w:t>
            </w:r>
          </w:p>
        </w:tc>
        <w:tc>
          <w:tcPr>
            <w:tcW w:type="dxa" w:w="1020"/>
            <w:vAlign w:val="center"/>
            <w:shd w:fill="1F5A7A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端点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2014Q4</w:t>
            </w:r>
          </w:p>
        </w:tc>
        <w:tc>
          <w:tcPr>
            <w:tcW w:type="dxa" w:w="13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第三产业</w:t>
            </w:r>
          </w:p>
        </w:tc>
        <w:tc>
          <w:tcPr>
            <w:tcW w:type="dxa" w:w="153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6402.35</w:t>
            </w:r>
          </w:p>
        </w:tc>
        <w:tc>
          <w:tcPr>
            <w:tcW w:type="dxa" w:w="153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5700.79</w:t>
            </w:r>
          </w:p>
        </w:tc>
        <w:tc>
          <w:tcPr>
            <w:tcW w:type="dxa" w:w="124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+12.31%</w:t>
            </w:r>
          </w:p>
        </w:tc>
        <w:tc>
          <w:tcPr>
            <w:tcW w:type="dxa" w:w="119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是</w:t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否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8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2017Q3</w:t>
            </w:r>
          </w:p>
        </w:tc>
        <w:tc>
          <w:tcPr>
            <w:tcW w:type="dxa" w:w="13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8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第二产业</w:t>
            </w:r>
          </w:p>
        </w:tc>
        <w:tc>
          <w:tcPr>
            <w:tcW w:type="dxa" w:w="153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8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6488.68</w:t>
            </w:r>
          </w:p>
        </w:tc>
        <w:tc>
          <w:tcPr>
            <w:tcW w:type="dxa" w:w="153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8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5593.47</w:t>
            </w:r>
          </w:p>
        </w:tc>
        <w:tc>
          <w:tcPr>
            <w:tcW w:type="dxa" w:w="124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8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+16.00%</w:t>
            </w:r>
          </w:p>
        </w:tc>
        <w:tc>
          <w:tcPr>
            <w:tcW w:type="dxa" w:w="119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8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否</w:t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8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否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2017Q4</w:t>
            </w:r>
          </w:p>
        </w:tc>
        <w:tc>
          <w:tcPr>
            <w:tcW w:type="dxa" w:w="13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第二产业</w:t>
            </w:r>
          </w:p>
        </w:tc>
        <w:tc>
          <w:tcPr>
            <w:tcW w:type="dxa" w:w="153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5807.93</w:t>
            </w:r>
          </w:p>
        </w:tc>
        <w:tc>
          <w:tcPr>
            <w:tcW w:type="dxa" w:w="153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6401.99</w:t>
            </w:r>
          </w:p>
        </w:tc>
        <w:tc>
          <w:tcPr>
            <w:tcW w:type="dxa" w:w="124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-9.28%</w:t>
            </w:r>
          </w:p>
        </w:tc>
        <w:tc>
          <w:tcPr>
            <w:tcW w:type="dxa" w:w="119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是</w:t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否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8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2019Q4</w:t>
            </w:r>
          </w:p>
        </w:tc>
        <w:tc>
          <w:tcPr>
            <w:tcW w:type="dxa" w:w="13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8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第二产业</w:t>
            </w:r>
          </w:p>
        </w:tc>
        <w:tc>
          <w:tcPr>
            <w:tcW w:type="dxa" w:w="153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8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8728.88</w:t>
            </w:r>
          </w:p>
        </w:tc>
        <w:tc>
          <w:tcPr>
            <w:tcW w:type="dxa" w:w="153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8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7033.66</w:t>
            </w:r>
          </w:p>
        </w:tc>
        <w:tc>
          <w:tcPr>
            <w:tcW w:type="dxa" w:w="124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8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+24.10%</w:t>
            </w:r>
          </w:p>
        </w:tc>
        <w:tc>
          <w:tcPr>
            <w:tcW w:type="dxa" w:w="119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8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是</w:t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8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否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2020Q1</w:t>
            </w:r>
          </w:p>
        </w:tc>
        <w:tc>
          <w:tcPr>
            <w:tcW w:type="dxa" w:w="13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第二产业</w:t>
            </w:r>
          </w:p>
        </w:tc>
        <w:tc>
          <w:tcPr>
            <w:tcW w:type="dxa" w:w="153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4930.22</w:t>
            </w:r>
          </w:p>
        </w:tc>
        <w:tc>
          <w:tcPr>
            <w:tcW w:type="dxa" w:w="153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5647.69</w:t>
            </w:r>
          </w:p>
        </w:tc>
        <w:tc>
          <w:tcPr>
            <w:tcW w:type="dxa" w:w="124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-12.70%</w:t>
            </w:r>
          </w:p>
        </w:tc>
        <w:tc>
          <w:tcPr>
            <w:tcW w:type="dxa" w:w="119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否</w:t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否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8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2023Q4</w:t>
            </w:r>
          </w:p>
        </w:tc>
        <w:tc>
          <w:tcPr>
            <w:tcW w:type="dxa" w:w="13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8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第一产业</w:t>
            </w:r>
          </w:p>
        </w:tc>
        <w:tc>
          <w:tcPr>
            <w:tcW w:type="dxa" w:w="153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8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751.85</w:t>
            </w:r>
          </w:p>
        </w:tc>
        <w:tc>
          <w:tcPr>
            <w:tcW w:type="dxa" w:w="153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8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850.04</w:t>
            </w:r>
          </w:p>
        </w:tc>
        <w:tc>
          <w:tcPr>
            <w:tcW w:type="dxa" w:w="124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8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-11.55%</w:t>
            </w:r>
          </w:p>
        </w:tc>
        <w:tc>
          <w:tcPr>
            <w:tcW w:type="dxa" w:w="119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8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是</w:t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8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否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2024Q4</w:t>
            </w:r>
          </w:p>
        </w:tc>
        <w:tc>
          <w:tcPr>
            <w:tcW w:type="dxa" w:w="13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第一产业</w:t>
            </w:r>
          </w:p>
        </w:tc>
        <w:tc>
          <w:tcPr>
            <w:tcW w:type="dxa" w:w="153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1032.00</w:t>
            </w:r>
          </w:p>
        </w:tc>
        <w:tc>
          <w:tcPr>
            <w:tcW w:type="dxa" w:w="153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865.90</w:t>
            </w:r>
          </w:p>
        </w:tc>
        <w:tc>
          <w:tcPr>
            <w:tcW w:type="dxa" w:w="124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+19.18%</w:t>
            </w:r>
          </w:p>
        </w:tc>
        <w:tc>
          <w:tcPr>
            <w:tcW w:type="dxa" w:w="119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是</w:t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否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8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2024Q4</w:t>
            </w:r>
          </w:p>
        </w:tc>
        <w:tc>
          <w:tcPr>
            <w:tcW w:type="dxa" w:w="13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8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第三产业</w:t>
            </w:r>
          </w:p>
        </w:tc>
        <w:tc>
          <w:tcPr>
            <w:tcW w:type="dxa" w:w="153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8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17367.00</w:t>
            </w:r>
          </w:p>
        </w:tc>
        <w:tc>
          <w:tcPr>
            <w:tcW w:type="dxa" w:w="153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8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14880.79</w:t>
            </w:r>
          </w:p>
        </w:tc>
        <w:tc>
          <w:tcPr>
            <w:tcW w:type="dxa" w:w="124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8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+16.71%</w:t>
            </w:r>
          </w:p>
        </w:tc>
        <w:tc>
          <w:tcPr>
            <w:tcW w:type="dxa" w:w="119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8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是</w:t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8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否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2025Q4</w:t>
            </w:r>
          </w:p>
        </w:tc>
        <w:tc>
          <w:tcPr>
            <w:tcW w:type="dxa" w:w="13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第三产业</w:t>
            </w:r>
          </w:p>
        </w:tc>
        <w:tc>
          <w:tcPr>
            <w:tcW w:type="dxa" w:w="153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15532.00</w:t>
            </w:r>
          </w:p>
        </w:tc>
        <w:tc>
          <w:tcPr>
            <w:tcW w:type="dxa" w:w="153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17627.31</w:t>
            </w:r>
          </w:p>
        </w:tc>
        <w:tc>
          <w:tcPr>
            <w:tcW w:type="dxa" w:w="124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-11.89%</w:t>
            </w:r>
          </w:p>
        </w:tc>
        <w:tc>
          <w:tcPr>
            <w:tcW w:type="dxa" w:w="119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是</w:t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是</w:t>
            </w:r>
          </w:p>
        </w:tc>
      </w:tr>
    </w:tbl>
    <w:p>
      <w:pPr>
        <w:spacing w:line="348" w:lineRule="auto" w:after="100"/>
        <w:ind w:firstLine="420"/>
      </w:pPr>
      <w:r>
        <w:rPr>
          <w:rFonts w:ascii="Noto Sans CJK SC" w:hAnsi="Noto Sans CJK SC" w:eastAsia="Noto Sans CJK SC"/>
          <w:sz w:val="21"/>
        </w:rPr>
        <w:t>较新的明显偏离包括：第二产业 2019Q4 高于期望约 24.10%、2020Q1 低于期望约 12.70%；第一产业 2024Q4 高于期望约 19.18%；第三产业 2024Q4 高于期望约 16.71%、2025Q4 低于期望约 11.89%。其中 Q4 结果均带 revision_risk，必须先检查年度核算和累计值修订，再讨论经济含义。</w:t>
      </w:r>
    </w:p>
    <w:p>
      <w:pPr>
        <w:pStyle w:val="Heading2"/>
        <w:keepNext/>
        <w:spacing w:before="140" w:after="100"/>
      </w:pPr>
      <w:r>
        <w:rPr>
          <w:rFonts w:ascii="Noto Sans CJK SC" w:hAnsi="Noto Sans CJK SC" w:eastAsia="Noto Sans CJK SC"/>
          <w:b/>
          <w:color w:val="123B5D"/>
          <w:sz w:val="26"/>
        </w:rPr>
        <w:t>7.3 为什么不能直接把历史异常解释为某个事件</w:t>
      </w:r>
    </w:p>
    <w:p>
      <w:pPr>
        <w:spacing w:line="348" w:lineRule="auto" w:after="100"/>
        <w:ind w:firstLine="420"/>
      </w:pPr>
      <w:r>
        <w:rPr>
          <w:rFonts w:ascii="Noto Sans CJK SC" w:hAnsi="Noto Sans CJK SC" w:eastAsia="Noto Sans CJK SC"/>
          <w:sz w:val="21"/>
        </w:rPr>
        <w:t>本轮只使用三产业增加值和节假日，没有加载价格指数、固定资产投资、出口、工业生产、疫情管控、重大政策和自然灾害时间线。对于 2005、2009、2017、2019—2020 等异常，程序只保留“宏观冲击/产业活动/数据修订”等候选类别与证据需求，不自动写入具体事件名称。这样可以防止大模型用常识补全历史叙事，形成看似合理但不可验证的解释。</w:t>
      </w:r>
    </w:p>
    <w:p>
      <w:pPr>
        <w:pStyle w:val="Heading1"/>
        <w:keepNext/>
        <w:spacing w:before="200" w:after="100"/>
      </w:pPr>
      <w:r>
        <w:rPr>
          <w:rFonts w:ascii="Noto Sans CJK SC" w:hAnsi="Noto Sans CJK SC" w:eastAsia="Noto Sans CJK SC"/>
          <w:b/>
          <w:color w:val="123B5D"/>
          <w:sz w:val="32"/>
        </w:rPr>
        <w:t>8 知识图谱与模型调用规则设计</w:t>
      </w:r>
    </w:p>
    <w:p>
      <w:pPr>
        <w:pStyle w:val="Heading2"/>
        <w:keepNext/>
        <w:spacing w:before="140" w:after="100"/>
      </w:pPr>
      <w:r>
        <w:rPr>
          <w:rFonts w:ascii="Noto Sans CJK SC" w:hAnsi="Noto Sans CJK SC" w:eastAsia="Noto Sans CJK SC"/>
          <w:b/>
          <w:color w:val="123B5D"/>
          <w:sz w:val="26"/>
        </w:rPr>
        <w:t>8.1 图谱规模与核心实体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2268"/>
            <w:vAlign w:val="center"/>
            <w:shd w:fill="1F5A7A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对象</w:t>
            </w:r>
          </w:p>
        </w:tc>
        <w:tc>
          <w:tcPr>
            <w:tcW w:type="dxa" w:w="1701"/>
            <w:vAlign w:val="center"/>
            <w:shd w:fill="1F5A7A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数量/状态</w:t>
            </w:r>
          </w:p>
        </w:tc>
        <w:tc>
          <w:tcPr>
            <w:tcW w:type="dxa" w:w="5102"/>
            <w:vAlign w:val="center"/>
            <w:shd w:fill="1F5A7A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知识图谱节点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647</w:t>
            </w:r>
          </w:p>
        </w:tc>
        <w:tc>
          <w:tcPr>
            <w:tcW w:type="dxa" w:w="510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地区、指标、时间、观测、异常、节假日、候选原因、来源等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8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知识图谱关系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8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1235</w:t>
            </w:r>
          </w:p>
        </w:tc>
        <w:tc>
          <w:tcPr>
            <w:tcW w:type="dxa" w:w="510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8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OBSERVED_AT、HAS_ANOMALY、TEMPORALLY_OVERLAPS、CANDIDATE_EXPLANATION 等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模型输入记录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363</w:t>
            </w:r>
          </w:p>
        </w:tc>
        <w:tc>
          <w:tcPr>
            <w:tcW w:type="dxa" w:w="510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每条观测一个 JSON 对象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8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异常事件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8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51</w:t>
            </w:r>
          </w:p>
        </w:tc>
        <w:tc>
          <w:tcPr>
            <w:tcW w:type="dxa" w:w="510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8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high 与 medium 均进入异常事件表</w:t>
            </w:r>
          </w:p>
        </w:tc>
      </w:tr>
    </w:tbl>
    <w:p>
      <w:pPr>
        <w:pStyle w:val="Heading2"/>
        <w:keepNext/>
        <w:spacing w:before="140" w:after="100"/>
      </w:pPr>
      <w:r>
        <w:rPr>
          <w:rFonts w:ascii="Noto Sans CJK SC" w:hAnsi="Noto Sans CJK SC" w:eastAsia="Noto Sans CJK SC"/>
          <w:b/>
          <w:color w:val="123B5D"/>
          <w:sz w:val="26"/>
        </w:rPr>
        <w:t>8.2 推荐的图谱模式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3F5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>(:Region)-[:HAS_METRIC]-&gt;(:Metric)</w:t>
              <w:br/>
              <w:t>(:Observation)-[:FOR_REGION]-&gt;(:Region)</w:t>
              <w:br/>
              <w:t>(:Observation)-[:OF_METRIC]-&gt;(:Metric)</w:t>
              <w:br/>
              <w:t>(:Observation)-[:OBSERVED_AT]-&gt;(:TimePeriod)</w:t>
              <w:br/>
              <w:t>(:Observation)-[:HAS_ANOMALY]-&gt;(:Anomaly)</w:t>
              <w:br/>
              <w:t>(:Anomaly)-[:TEMPORALLY_OVERLAPS]-&gt;(:HolidayEvent)</w:t>
              <w:br/>
              <w:t>(:Anomaly)-[:CANDIDATE_EXPLANATION]-&gt;(:CauseHypothesis)</w:t>
              <w:br/>
              <w:t>(:CauseHypothesis)-[:REQUIRES_EVIDENCE]-&gt;(:EvidenceType)</w:t>
              <w:br/>
              <w:t>(:Observation)-[:DERIVED_FROM]-&gt;(:DataSource)</w:t>
            </w:r>
          </w:p>
        </w:tc>
      </w:tr>
    </w:tbl>
    <w:p>
      <w:pPr>
        <w:spacing w:line="348" w:lineRule="auto" w:after="100"/>
        <w:ind w:firstLine="420"/>
      </w:pPr>
      <w:r>
        <w:rPr>
          <w:rFonts w:ascii="Noto Sans CJK SC" w:hAnsi="Noto Sans CJK SC" w:eastAsia="Noto Sans CJK SC"/>
          <w:sz w:val="21"/>
        </w:rPr>
        <w:t>关系命名刻意区分“时间重合”“候选解释”和“已验证因果”。在未引入因果检验与外部证据前，不创建 CAUSED_BY 关系。</w:t>
      </w:r>
    </w:p>
    <w:p>
      <w:pPr>
        <w:pStyle w:val="Heading2"/>
        <w:keepNext/>
        <w:spacing w:before="140" w:after="100"/>
      </w:pPr>
      <w:r>
        <w:rPr>
          <w:rFonts w:ascii="Noto Sans CJK SC" w:hAnsi="Noto Sans CJK SC" w:eastAsia="Noto Sans CJK SC"/>
          <w:b/>
          <w:color w:val="123B5D"/>
          <w:sz w:val="26"/>
        </w:rPr>
        <w:t>8.3 每次模型调用之间的规则和约束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  <w:cantSplit/>
        </w:trPr>
        <w:tc>
          <w:tcPr>
            <w:tcW w:type="dxa" w:w="1361"/>
            <w:vAlign w:val="center"/>
            <w:shd w:fill="1F5A7A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环节</w:t>
            </w:r>
          </w:p>
        </w:tc>
        <w:tc>
          <w:tcPr>
            <w:tcW w:type="dxa" w:w="2268"/>
            <w:vAlign w:val="center"/>
            <w:shd w:fill="1F5A7A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强制输入</w:t>
            </w:r>
          </w:p>
        </w:tc>
        <w:tc>
          <w:tcPr>
            <w:tcW w:type="dxa" w:w="2835"/>
            <w:vAlign w:val="center"/>
            <w:shd w:fill="1F5A7A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强制检查</w:t>
            </w:r>
          </w:p>
        </w:tc>
        <w:tc>
          <w:tcPr>
            <w:tcW w:type="dxa" w:w="2665"/>
            <w:vAlign w:val="center"/>
            <w:shd w:fill="1F5A7A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允许输出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数据理解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region/period/metric/unit/provenance</w:t>
            </w:r>
          </w:p>
        </w:tc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缺失、频率、单位、累计/当期</w:t>
            </w:r>
          </w:p>
        </w:tc>
        <w:tc>
          <w:tcPr>
            <w:tcW w:type="dxa" w:w="266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标准化记录或停止原因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8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异常检测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8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expected/residual/threshold/quality flags</w:t>
            </w:r>
          </w:p>
        </w:tc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8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端点、修订、样本长度</w:t>
            </w:r>
          </w:p>
        </w:tc>
        <w:tc>
          <w:tcPr>
            <w:tcW w:type="dxa" w:w="266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8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异常等级与偏离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原因检索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异常+候选原因+证据需求</w:t>
            </w:r>
          </w:p>
        </w:tc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是否有外部证据、时间先后、口径一致</w:t>
            </w:r>
          </w:p>
        </w:tc>
        <w:tc>
          <w:tcPr>
            <w:tcW w:type="dxa" w:w="266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候选原因及置信度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8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结论生成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8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证据链+图谱路径+规则结果</w:t>
            </w:r>
          </w:p>
        </w:tc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8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因果措辞、证据覆盖、矛盾</w:t>
            </w:r>
          </w:p>
        </w:tc>
        <w:tc>
          <w:tcPr>
            <w:tcW w:type="dxa" w:w="266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8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分层结论、局限、下一步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报告审校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所有中间产物</w:t>
            </w:r>
          </w:p>
        </w:tc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数字一致性、来源、单位、禁止过度归因</w:t>
            </w:r>
          </w:p>
        </w:tc>
        <w:tc>
          <w:tcPr>
            <w:tcW w:type="dxa" w:w="266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可发布报告或退回重查</w:t>
            </w:r>
          </w:p>
        </w:tc>
      </w:tr>
    </w:tbl>
    <w:p>
      <w:pPr>
        <w:pStyle w:val="Heading2"/>
        <w:keepNext/>
        <w:spacing w:before="140" w:after="100"/>
      </w:pPr>
      <w:r>
        <w:rPr>
          <w:rFonts w:ascii="Noto Sans CJK SC" w:hAnsi="Noto Sans CJK SC" w:eastAsia="Noto Sans CJK SC"/>
          <w:b/>
          <w:color w:val="123B5D"/>
          <w:sz w:val="26"/>
        </w:rPr>
        <w:t>8.4 推荐的多智能体拆分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1"/>
        </w:rPr>
        <w:t>数据获取代理：抓取、版本化、哈希、字段映射、交叉核验。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1"/>
        </w:rPr>
        <w:t>时序分析代理：STL 参数选择、分解、阈值、端点/修订风险。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1"/>
        </w:rPr>
        <w:t>证据检索代理：天气、产业、政策、电网事件、价格等外部证据。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1"/>
        </w:rPr>
        <w:t>知识图谱代理：实体对齐、关系约束、冲突检测和图谱写入。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1"/>
        </w:rPr>
        <w:t>诊断与报告代理：基于证据链生成结论；无证据时明确保留不确定性。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1"/>
        </w:rPr>
        <w:t>审计代理：核对数据、代码版本、图表、结论和引用是否一致。</w:t>
      </w:r>
    </w:p>
    <w:p>
      <w:pPr>
        <w:pStyle w:val="Heading2"/>
        <w:keepNext/>
        <w:spacing w:before="140" w:after="100"/>
      </w:pPr>
      <w:r>
        <w:rPr>
          <w:rFonts w:ascii="Noto Sans CJK SC" w:hAnsi="Noto Sans CJK SC" w:eastAsia="Noto Sans CJK SC"/>
          <w:b/>
          <w:color w:val="123B5D"/>
          <w:sz w:val="26"/>
        </w:rPr>
        <w:t>8.5 2024-02 电力异常的模型输入示例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3F5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>{</w:t>
              <w:br/>
              <w:t xml:space="preserve">  "region": {</w:t>
              <w:br/>
              <w:t xml:space="preserve">    "code": "CN-ZJ",</w:t>
              <w:br/>
              <w:t xml:space="preserve">    "name": "浙江省"</w:t>
              <w:br/>
              <w:t xml:space="preserve">  },</w:t>
              <w:br/>
              <w:t xml:space="preserve">  "period": {</w:t>
              <w:br/>
              <w:t xml:space="preserve">    "label": "2024-02",</w:t>
              <w:br/>
              <w:t xml:space="preserve">    "frequency": "monthly",</w:t>
              <w:br/>
              <w:t xml:space="preserve">    "start": "2024-02-01"</w:t>
              <w:br/>
              <w:t xml:space="preserve">  },</w:t>
              <w:br/>
              <w:t xml:space="preserve">  "metric": {</w:t>
              <w:br/>
              <w:t xml:space="preserve">    "id": "electricity_total_monthly",</w:t>
              <w:br/>
              <w:t xml:space="preserve">    "name": "全社会用电量",</w:t>
              <w:br/>
              <w:t xml:space="preserve">    "unit": "亿千瓦时"</w:t>
              <w:br/>
              <w:t xml:space="preserve">  },</w:t>
              <w:br/>
              <w:t xml:space="preserve">  "observation": {</w:t>
              <w:br/>
              <w:t xml:space="preserve">    "value": 354.77613499,</w:t>
              <w:br/>
              <w:t xml:space="preserve">    "raw_value": 3547761.3499,</w:t>
              <w:br/>
              <w:t xml:space="preserve">    "raw_unit": "万千瓦时"</w:t>
              <w:br/>
              <w:t xml:space="preserve">  },</w:t>
              <w:br/>
              <w:t xml:space="preserve">  "decomposition": {</w:t>
              <w:br/>
              <w:t xml:space="preserve">    "expected_value": 432.56,</w:t>
              <w:br/>
              <w:t xml:space="preserve">    "residual_pct": -0.1798,</w:t>
              <w:br/>
              <w:t xml:space="preserve">    "trend_level": 543.75,</w:t>
              <w:br/>
              <w:t xml:space="preserve">    "seasonal_factor": 0.7955,</w:t>
              <w:br/>
              <w:t xml:space="preserve">    "stl_weight": 0.0</w:t>
              <w:br/>
              <w:t xml:space="preserve">  },</w:t>
              <w:br/>
              <w:t xml:space="preserve">  "anomaly": {</w:t>
              <w:br/>
              <w:t xml:space="preserve">    "level": "high",</w:t>
              <w:br/>
              <w:t xml:space="preserve">    "direction": "below_expected",</w:t>
              <w:br/>
              <w:t xml:space="preserve">    "endpoint_warning": false,</w:t>
              <w:br/>
              <w:t xml:space="preserve">    "statistical_outlier": true</w:t>
              <w:br/>
              <w:t xml:space="preserve">  },</w:t>
              <w:br/>
              <w:t xml:space="preserve">  "context": {</w:t>
              <w:br/>
              <w:t xml:space="preserve">    "holiday_days": 8,</w:t>
              <w:br/>
              <w:t xml:space="preserve">    "spring_festival_days": 8,</w:t>
              <w:br/>
              <w:t xml:space="preserve">    "makeup_workdays": 2,</w:t>
              <w:br/>
              <w:t xml:space="preserve">    "holiday_names": [</w:t>
              <w:br/>
              <w:t xml:space="preserve">      "春节"</w:t>
              <w:br/>
              <w:t xml:space="preserve">    ],</w:t>
              <w:br/>
              <w:t xml:space="preserve">    "candidate_causes": [</w:t>
              <w:br/>
              <w:t xml:space="preserve">      {</w:t>
              <w:br/>
              <w:t xml:space="preserve">        "cause_id": "spring_festival_shift",</w:t>
              <w:br/>
              <w:t xml:space="preserve">        "confidence": "medium",</w:t>
              <w:br/>
              <w:t xml:space="preserve">        "relation": "CANDIDATE_EXPLANATION",</w:t>
              <w:br/>
              <w:t xml:space="preserve">        "evidence": "异常发生在春节窗口；本月春节放假天数=8",</w:t>
              <w:br/>
              <w:t xml:space="preserve">        "causal_status": "未验证"</w:t>
              <w:br/>
              <w:t xml:space="preserve">      },</w:t>
              <w:br/>
              <w:t xml:space="preserve">      {</w:t>
              <w:br/>
              <w:t xml:space="preserve">        "cause_id": "industrial_activity",</w:t>
              <w:br/>
              <w:t xml:space="preserve">        "confidence": "low",</w:t>
              <w:br/>
              <w:t xml:space="preserve">        "relation": "CANDIDATE_EXPLANATION",</w:t>
              <w:br/>
              <w:t xml:space="preserve">        "evidence": "全社会用电量受工业生产影响，需要分行业用电和工业增加值交叉验证",</w:t>
              <w:br/>
              <w:t xml:space="preserve">        "causal_status": "待补证据"</w:t>
              <w:br/>
              <w:t xml:space="preserve">      },</w:t>
              <w:br/>
              <w:t xml:space="preserve">      {</w:t>
              <w:br/>
              <w:t xml:space="preserve">        "cause_id": "policy_or_power_event",</w:t>
              <w:br/>
              <w:t xml:space="preserve">        "confidence": "low",</w:t>
              <w:br/>
              <w:t xml:space="preserve">        "relation": "CANDIDATE_EXPLANATION",</w:t>
              <w:br/>
              <w:t xml:space="preserve">        "evidence": "需检索同期电价、需求响应、限电及重大事件记录",</w:t>
              <w:br/>
              <w:t xml:space="preserve">        "causal_status": "待检索"</w:t>
              <w:br/>
              <w:t xml:space="preserve">      }</w:t>
              <w:br/>
              <w:t xml:space="preserve">    ],</w:t>
              <w:br/>
              <w:t xml:space="preserve">    "required_next_evidence": [</w:t>
              <w:br/>
              <w:t xml:space="preserve">      "PMI/订单",</w:t>
              <w:br/>
              <w:t xml:space="preserve">      "分行业用电量",</w:t>
              <w:br/>
              <w:t xml:space="preserve">      "制造业开工率",</w:t>
              <w:br/>
              <w:t xml:space="preserve">      "政策发布时间",</w:t>
              <w:br/>
              <w:t xml:space="preserve">      "春节日期",</w:t>
              <w:br/>
              <w:t xml:space="preserve">      "电网运行事件",</w:t>
              <w:br/>
              <w:t xml:space="preserve">      "第二产业分行业用电量",</w:t>
              <w:br/>
              <w:t xml:space="preserve">      "规上工业增加值",</w:t>
              <w:br/>
              <w:t xml:space="preserve">      "需求响应记录"</w:t>
              <w:br/>
              <w:t xml:space="preserve">    ]</w:t>
              <w:br/>
              <w:t xml:space="preserve">  },</w:t>
              <w:br/>
              <w:t xml:space="preserve">  "provenance": {</w:t>
              <w:br/>
              <w:t xml:space="preserve">    "source_file": "浙江全社会用电量信息（月度）.xlsx",</w:t>
              <w:br/>
              <w:t xml:space="preserve">    "source_sha256": "e3a338bf342130018a8811011349b06b87c78a1c91029fc7fb67845cd81bba67",</w:t>
              <w:br/>
              <w:t xml:space="preserve">    "source_url_status": "原始文件未内嵌网址；已用官方年度总量交叉核验"</w:t>
              <w:br/>
              <w:t xml:space="preserve">  }</w:t>
              <w:br/>
              <w:t>}</w:t>
            </w:r>
          </w:p>
        </w:tc>
      </w:tr>
    </w:tbl>
    <w:p>
      <w:r>
        <w:br w:type="page"/>
      </w:r>
    </w:p>
    <w:p>
      <w:pPr>
        <w:pStyle w:val="Heading1"/>
        <w:keepNext/>
        <w:spacing w:before="200" w:after="100"/>
      </w:pPr>
      <w:r>
        <w:rPr>
          <w:rFonts w:ascii="Noto Sans CJK SC" w:hAnsi="Noto Sans CJK SC" w:eastAsia="Noto Sans CJK SC"/>
          <w:b/>
          <w:color w:val="123B5D"/>
          <w:sz w:val="32"/>
        </w:rPr>
        <w:t>9 数据质量、局限与下一步工作</w:t>
      </w:r>
    </w:p>
    <w:p>
      <w:pPr>
        <w:pStyle w:val="Heading2"/>
        <w:keepNext/>
        <w:spacing w:before="140" w:after="100"/>
      </w:pPr>
      <w:r>
        <w:rPr>
          <w:rFonts w:ascii="Noto Sans CJK SC" w:hAnsi="Noto Sans CJK SC" w:eastAsia="Noto Sans CJK SC"/>
          <w:b/>
          <w:color w:val="123B5D"/>
          <w:sz w:val="26"/>
        </w:rPr>
        <w:t>9.1 本次质量检查</w:t>
      </w:r>
    </w:p>
    <w:p>
      <w:pPr>
        <w:spacing w:line="348" w:lineRule="auto" w:after="100"/>
        <w:ind w:firstLine="420"/>
      </w:pPr>
      <w:r>
        <w:rPr>
          <w:rFonts w:ascii="Noto Sans CJK SC" w:hAnsi="Noto Sans CJK SC" w:eastAsia="Noto Sans CJK SC"/>
          <w:sz w:val="21"/>
        </w:rPr>
        <w:t>程序共执行 23 项质量检查，全部通过；其中 7 项为 warning 级提示，主要涉及来源 URL 未完全补录、Q4 修订风险和外部交叉核验的口径差异。这些 warning 不阻止运行，但会随记录进入模型上下文。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blHeader w:val="true"/>
          <w:cantSplit/>
        </w:trPr>
        <w:tc>
          <w:tcPr>
            <w:tcW w:type="dxa" w:w="1814"/>
            <w:vAlign w:val="center"/>
            <w:shd w:fill="1F5A7A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数据集</w:t>
            </w:r>
          </w:p>
        </w:tc>
        <w:tc>
          <w:tcPr>
            <w:tcW w:type="dxa" w:w="1871"/>
            <w:vAlign w:val="center"/>
            <w:shd w:fill="1F5A7A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检查项</w:t>
            </w:r>
          </w:p>
        </w:tc>
        <w:tc>
          <w:tcPr>
            <w:tcW w:type="dxa" w:w="1020"/>
            <w:vAlign w:val="center"/>
            <w:shd w:fill="1F5A7A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结果</w:t>
            </w:r>
          </w:p>
        </w:tc>
        <w:tc>
          <w:tcPr>
            <w:tcW w:type="dxa" w:w="1134"/>
            <w:vAlign w:val="center"/>
            <w:shd w:fill="1F5A7A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级别</w:t>
            </w:r>
          </w:p>
        </w:tc>
        <w:tc>
          <w:tcPr>
            <w:tcW w:type="dxa" w:w="3402"/>
            <w:vAlign w:val="center"/>
            <w:shd w:fill="1F5A7A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详情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gdp_第一产业</w:t>
            </w:r>
          </w:p>
        </w:tc>
        <w:tc>
          <w:tcPr>
            <w:tcW w:type="dxa" w:w="187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Q4 修订风险标记</w:t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通过</w:t>
            </w:r>
          </w:p>
        </w:tc>
        <w:tc>
          <w:tcPr>
            <w:tcW w:type="dxa" w:w="11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warning</w:t>
            </w:r>
          </w:p>
        </w:tc>
        <w:tc>
          <w:tcPr>
            <w:tcW w:type="dxa" w:w="340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Q4 由全年累计值减前三季度累计值得到，可能集中吸收年度核算修订；已设置 revision_risk=True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8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gdp_第二产业</w:t>
            </w:r>
          </w:p>
        </w:tc>
        <w:tc>
          <w:tcPr>
            <w:tcW w:type="dxa" w:w="187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8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Q4 修订风险标记</w:t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8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通过</w:t>
            </w:r>
          </w:p>
        </w:tc>
        <w:tc>
          <w:tcPr>
            <w:tcW w:type="dxa" w:w="11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8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warning</w:t>
            </w:r>
          </w:p>
        </w:tc>
        <w:tc>
          <w:tcPr>
            <w:tcW w:type="dxa" w:w="340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8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Q4 由全年累计值减前三季度累计值得到，可能集中吸收年度核算修订；已设置 revision_risk=True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gdp_第三产业</w:t>
            </w:r>
          </w:p>
        </w:tc>
        <w:tc>
          <w:tcPr>
            <w:tcW w:type="dxa" w:w="187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Q4 修订风险标记</w:t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通过</w:t>
            </w:r>
          </w:p>
        </w:tc>
        <w:tc>
          <w:tcPr>
            <w:tcW w:type="dxa" w:w="11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warning</w:t>
            </w:r>
          </w:p>
        </w:tc>
        <w:tc>
          <w:tcPr>
            <w:tcW w:type="dxa" w:w="340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Q4 由全年累计值减前三季度累计值得到，可能集中吸收年度核算修订；已设置 revision_risk=True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8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electricity_monthly</w:t>
            </w:r>
          </w:p>
        </w:tc>
        <w:tc>
          <w:tcPr>
            <w:tcW w:type="dxa" w:w="187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8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2024 年度总量外部核验</w:t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8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通过</w:t>
            </w:r>
          </w:p>
        </w:tc>
        <w:tc>
          <w:tcPr>
            <w:tcW w:type="dxa" w:w="11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8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warning</w:t>
            </w:r>
          </w:p>
        </w:tc>
        <w:tc>
          <w:tcPr>
            <w:tcW w:type="dxa" w:w="340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8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月度求和=6780.8515 亿千瓦时；公开报道=6780 亿千瓦时；相对差=0.013%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gdp_第一产业</w:t>
            </w:r>
          </w:p>
        </w:tc>
        <w:tc>
          <w:tcPr>
            <w:tcW w:type="dxa" w:w="187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2025 全年累计值外部核验</w:t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通过</w:t>
            </w:r>
          </w:p>
        </w:tc>
        <w:tc>
          <w:tcPr>
            <w:tcW w:type="dxa" w:w="11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warning</w:t>
            </w:r>
          </w:p>
        </w:tc>
        <w:tc>
          <w:tcPr>
            <w:tcW w:type="dxa" w:w="340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原始累计值=2657 亿元；统计公报=2657 亿元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8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gdp_第二产业</w:t>
            </w:r>
          </w:p>
        </w:tc>
        <w:tc>
          <w:tcPr>
            <w:tcW w:type="dxa" w:w="187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8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2025 全年累计值外部核验</w:t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8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通过</w:t>
            </w:r>
          </w:p>
        </w:tc>
        <w:tc>
          <w:tcPr>
            <w:tcW w:type="dxa" w:w="11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8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warning</w:t>
            </w:r>
          </w:p>
        </w:tc>
        <w:tc>
          <w:tcPr>
            <w:tcW w:type="dxa" w:w="340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8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原始累计值=35682 亿元；统计公报=35682 亿元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gdp_第三产业</w:t>
            </w:r>
          </w:p>
        </w:tc>
        <w:tc>
          <w:tcPr>
            <w:tcW w:type="dxa" w:w="187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2025 全年累计值外部核验</w:t>
            </w:r>
          </w:p>
        </w:tc>
        <w:tc>
          <w:tcPr>
            <w:tcW w:type="dxa" w:w="10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通过</w:t>
            </w:r>
          </w:p>
        </w:tc>
        <w:tc>
          <w:tcPr>
            <w:tcW w:type="dxa" w:w="11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warning</w:t>
            </w:r>
          </w:p>
        </w:tc>
        <w:tc>
          <w:tcPr>
            <w:tcW w:type="dxa" w:w="340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原始累计值=56206 亿元；统计公报=56206 亿元</w:t>
            </w:r>
          </w:p>
        </w:tc>
      </w:tr>
    </w:tbl>
    <w:p>
      <w:pPr>
        <w:pStyle w:val="Heading2"/>
        <w:keepNext/>
        <w:spacing w:before="140" w:after="100"/>
      </w:pPr>
      <w:r>
        <w:rPr>
          <w:rFonts w:ascii="Noto Sans CJK SC" w:hAnsi="Noto Sans CJK SC" w:eastAsia="Noto Sans CJK SC"/>
          <w:b/>
          <w:color w:val="123B5D"/>
          <w:sz w:val="26"/>
        </w:rPr>
        <w:t>9.2 当前局限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1"/>
        </w:rPr>
        <w:t>月度电力只有 51 个样本，春节月份的季节形态估计仍会受到年份差异影响；最好补齐 2015 年以来数据。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1"/>
        </w:rPr>
        <w:t>目前只分析全社会用电量，无法区分工业、商业、居民、新能源消纳等来源。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1"/>
        </w:rPr>
        <w:t>GDP 是现价累计值差分；季度核算修订和价格因素可能影响残差。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1"/>
        </w:rPr>
        <w:t>尚未接入气象、产业生产、价格、电网运行与政策事件，原因诊断只能生成候选解释。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1"/>
        </w:rPr>
        <w:t>苏州、南京、江门资料尚未完成机器可读采集与统一口径，不能直接做跨城市结论。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1"/>
        </w:rPr>
        <w:t>固定 5%/8% 阈值是工程基线，应结合指标波动率、滚动分位数和业务损失进一步校准。</w:t>
      </w:r>
    </w:p>
    <w:p>
      <w:pPr>
        <w:pStyle w:val="Heading2"/>
        <w:keepNext/>
        <w:spacing w:before="140" w:after="100"/>
      </w:pPr>
      <w:r>
        <w:rPr>
          <w:rFonts w:ascii="Noto Sans CJK SC" w:hAnsi="Noto Sans CJK SC" w:eastAsia="Noto Sans CJK SC"/>
          <w:b/>
          <w:color w:val="123B5D"/>
          <w:sz w:val="26"/>
        </w:rPr>
        <w:t>9.3 与后续任务的衔接路线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  <w:cantSplit/>
        </w:trPr>
        <w:tc>
          <w:tcPr>
            <w:tcW w:type="dxa" w:w="794"/>
            <w:vAlign w:val="center"/>
            <w:shd w:fill="1F5A7A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优先级</w:t>
            </w:r>
          </w:p>
        </w:tc>
        <w:tc>
          <w:tcPr>
            <w:tcW w:type="dxa" w:w="2381"/>
            <w:vAlign w:val="center"/>
            <w:shd w:fill="1F5A7A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任务</w:t>
            </w:r>
          </w:p>
        </w:tc>
        <w:tc>
          <w:tcPr>
            <w:tcW w:type="dxa" w:w="2665"/>
            <w:vAlign w:val="center"/>
            <w:shd w:fill="1F5A7A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输入/产物</w:t>
            </w:r>
          </w:p>
        </w:tc>
        <w:tc>
          <w:tcPr>
            <w:tcW w:type="dxa" w:w="3288"/>
            <w:vAlign w:val="center"/>
            <w:shd w:fill="1F5A7A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验收标准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P0</w:t>
            </w:r>
          </w:p>
        </w:tc>
        <w:tc>
          <w:tcPr>
            <w:tcW w:type="dxa" w:w="23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补齐浙江数据来源 URL 与抓取元数据</w:t>
            </w:r>
          </w:p>
        </w:tc>
        <w:tc>
          <w:tcPr>
            <w:tcW w:type="dxa" w:w="266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来源登记表</w:t>
            </w:r>
          </w:p>
        </w:tc>
        <w:tc>
          <w:tcPr>
            <w:tcW w:type="dxa" w:w="32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每个原始文件有 URL、发布日期、抓取时间、版本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8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P0</w:t>
            </w:r>
          </w:p>
        </w:tc>
        <w:tc>
          <w:tcPr>
            <w:tcW w:type="dxa" w:w="23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8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扩展 10 年以上月度电力与分行业用电</w:t>
            </w:r>
          </w:p>
        </w:tc>
        <w:tc>
          <w:tcPr>
            <w:tcW w:type="dxa" w:w="266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8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统一时序表</w:t>
            </w:r>
          </w:p>
        </w:tc>
        <w:tc>
          <w:tcPr>
            <w:tcW w:type="dxa" w:w="32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8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无缺口、口径一致、年度总量可核验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P1</w:t>
            </w:r>
          </w:p>
        </w:tc>
        <w:tc>
          <w:tcPr>
            <w:tcW w:type="dxa" w:w="23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接入逐日气温/湿度与极端天气</w:t>
            </w:r>
          </w:p>
        </w:tc>
        <w:tc>
          <w:tcPr>
            <w:tcW w:type="dxa" w:w="266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天气特征表</w:t>
            </w:r>
          </w:p>
        </w:tc>
        <w:tc>
          <w:tcPr>
            <w:tcW w:type="dxa" w:w="32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与地区、日期可对齐；来源权威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8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P1</w:t>
            </w:r>
          </w:p>
        </w:tc>
        <w:tc>
          <w:tcPr>
            <w:tcW w:type="dxa" w:w="23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8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接入工业增加值、PMI、出口、开工率等</w:t>
            </w:r>
          </w:p>
        </w:tc>
        <w:tc>
          <w:tcPr>
            <w:tcW w:type="dxa" w:w="266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8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经济证据表</w:t>
            </w:r>
          </w:p>
        </w:tc>
        <w:tc>
          <w:tcPr>
            <w:tcW w:type="dxa" w:w="32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8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与异常月/季度形成证据链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P1</w:t>
            </w:r>
          </w:p>
        </w:tc>
        <w:tc>
          <w:tcPr>
            <w:tcW w:type="dxa" w:w="23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建设政策/电网事件库</w:t>
            </w:r>
          </w:p>
        </w:tc>
        <w:tc>
          <w:tcPr>
            <w:tcW w:type="dxa" w:w="266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事件节点与时间区间</w:t>
            </w:r>
          </w:p>
        </w:tc>
        <w:tc>
          <w:tcPr>
            <w:tcW w:type="dxa" w:w="32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事件有发布日期、实施期、地区和来源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8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P2</w:t>
            </w:r>
          </w:p>
        </w:tc>
        <w:tc>
          <w:tcPr>
            <w:tcW w:type="dxa" w:w="23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8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Neo4j 导入与 RAG 检索</w:t>
            </w:r>
          </w:p>
        </w:tc>
        <w:tc>
          <w:tcPr>
            <w:tcW w:type="dxa" w:w="266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8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图谱数据库</w:t>
            </w:r>
          </w:p>
        </w:tc>
        <w:tc>
          <w:tcPr>
            <w:tcW w:type="dxa" w:w="32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8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能从异常追溯观测、来源、候选原因和证据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P2</w:t>
            </w:r>
          </w:p>
        </w:tc>
        <w:tc>
          <w:tcPr>
            <w:tcW w:type="dxa" w:w="23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参数与阈值回测</w:t>
            </w:r>
          </w:p>
        </w:tc>
        <w:tc>
          <w:tcPr>
            <w:tcW w:type="dxa" w:w="266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滚动验证报告</w:t>
            </w:r>
          </w:p>
        </w:tc>
        <w:tc>
          <w:tcPr>
            <w:tcW w:type="dxa" w:w="32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比较窗口、阈值、误报/漏报与稳定性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8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P3</w:t>
            </w:r>
          </w:p>
        </w:tc>
        <w:tc>
          <w:tcPr>
            <w:tcW w:type="dxa" w:w="23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8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多地区适配器</w:t>
            </w:r>
          </w:p>
        </w:tc>
        <w:tc>
          <w:tcPr>
            <w:tcW w:type="dxa" w:w="266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8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苏州/南京/江门等</w:t>
            </w:r>
          </w:p>
        </w:tc>
        <w:tc>
          <w:tcPr>
            <w:tcW w:type="dxa" w:w="32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8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同一 schema 下可执行跨地区分析</w:t>
            </w:r>
          </w:p>
        </w:tc>
      </w:tr>
    </w:tbl>
    <w:p>
      <w:pPr>
        <w:pStyle w:val="Heading2"/>
        <w:keepNext/>
        <w:spacing w:before="140" w:after="100"/>
      </w:pPr>
      <w:r>
        <w:rPr>
          <w:rFonts w:ascii="Noto Sans CJK SC" w:hAnsi="Noto Sans CJK SC" w:eastAsia="Noto Sans CJK SC"/>
          <w:b/>
          <w:color w:val="123B5D"/>
          <w:sz w:val="26"/>
        </w:rPr>
        <w:t>9.4 建议的最小可用诊断闭环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3F5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>用户问题</w:t>
              <w:br/>
              <w:t xml:space="preserve">  → 数据获取代理校验地区/时间/口径</w:t>
              <w:br/>
              <w:t xml:space="preserve">  → STL 工具返回 expected、residual、quality flags</w:t>
              <w:br/>
              <w:t xml:space="preserve">  → 异常代理决定是否进入诊断</w:t>
              <w:br/>
              <w:t xml:space="preserve">  → 图谱/RAG 检索节假日、天气、产业、政策、电网证据</w:t>
              <w:br/>
              <w:t xml:space="preserve">  → 规则引擎检查时间先后、证据覆盖和矛盾</w:t>
              <w:br/>
              <w:t xml:space="preserve">  → LLM 生成“事实—候选原因—证据—不确定性—下一步”</w:t>
              <w:br/>
              <w:t xml:space="preserve">  → 审计代理复核数字、引用和因果措辞</w:t>
            </w:r>
          </w:p>
        </w:tc>
      </w:tr>
    </w:tbl>
    <w:p>
      <w:r>
        <w:br w:type="page"/>
      </w:r>
    </w:p>
    <w:p>
      <w:pPr>
        <w:pStyle w:val="Heading1"/>
        <w:keepNext/>
        <w:spacing w:before="200" w:after="100"/>
      </w:pPr>
      <w:r>
        <w:rPr>
          <w:rFonts w:ascii="Noto Sans CJK SC" w:hAnsi="Noto Sans CJK SC" w:eastAsia="Noto Sans CJK SC"/>
          <w:b/>
          <w:color w:val="123B5D"/>
          <w:sz w:val="32"/>
        </w:rPr>
        <w:t>10 结论</w:t>
      </w:r>
    </w:p>
    <w:p>
      <w:pPr>
        <w:spacing w:line="348" w:lineRule="auto" w:after="100"/>
        <w:ind w:firstLine="420"/>
      </w:pPr>
      <w:r>
        <w:rPr>
          <w:rFonts w:ascii="Noto Sans CJK SC" w:hAnsi="Noto Sans CJK SC" w:eastAsia="Noto Sans CJK SC"/>
          <w:sz w:val="21"/>
        </w:rPr>
        <w:t>本次工作已经把老师要求的三个重点落实为可运行、可复现、可审计的工程成果，而不是只停留在算法说明：数据获取层有原始文件、哈希、来源登记与外部核验；STL 层有明确的变换、参数、阈值、端点和修订规则；知识图谱层有可直接导入数据库的节点/关系和面向模型调用的 JSONL。</w:t>
      </w:r>
    </w:p>
    <w:p>
      <w:pPr>
        <w:spacing w:line="348" w:lineRule="auto" w:after="100"/>
        <w:ind w:firstLine="420"/>
      </w:pPr>
      <w:r>
        <w:rPr>
          <w:rFonts w:ascii="Noto Sans CJK SC" w:hAnsi="Noto Sans CJK SC" w:eastAsia="Noto Sans CJK SC"/>
          <w:sz w:val="21"/>
        </w:rPr>
        <w:t>分析结果显示，浙江月度全社会用电量具有明显季节性，7—8 月为高季节因子、2 月为低季节因子；2023 和 2024 年春节月份出现显著跨月偏离。长期趋势从样本起点约 450.33 亿千瓦时上升到末端约 580.36 亿千瓦时。三次产业季度序列均呈强长期趋势，同时存在若干需要结合核算修订与外部事件进一步核验的异常。</w:t>
      </w:r>
    </w:p>
    <w:p>
      <w:pPr>
        <w:spacing w:line="348" w:lineRule="auto" w:after="100"/>
        <w:ind w:firstLine="420"/>
      </w:pPr>
      <w:r>
        <w:rPr>
          <w:rFonts w:ascii="Noto Sans CJK SC" w:hAnsi="Noto Sans CJK SC" w:eastAsia="Noto Sans CJK SC"/>
          <w:sz w:val="21"/>
        </w:rPr>
        <w:t>更关键的是，本成果已经把“模型能看懂的数据”定义清楚：每条记录不仅有数值，还包括正常期望、偏离程度、质量风险、候选原因、证据缺口和溯源。后续只需继续补充数据源和证据库，就可以在这一接口上迭代诊断规则、RAG、知识图谱和多智能体协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41"/>
      </w:tblGrid>
      <w:tr>
        <w:trPr>
          <w:cantSplit/>
        </w:trPr>
        <w:tc>
          <w:tcPr>
            <w:tcW w:type="dxa" w:w="10200"/>
            <w:shd w:fill="DCEAF4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123B5D"/>
                <w:sz w:val="21"/>
              </w:rPr>
              <w:t>可直接用于答辩的概括</w:t>
            </w:r>
          </w:p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9"/>
              </w:rPr>
              <w:t>我们不是让大模型直接读表猜原因，而是先用可解释的时序算法把趋势、季节和异常分开，再把异常、证据和规则组织成模型可消费的结构化上下文；知识图谱负责约束关系，大模型负责在证据边界内生成诊断和报告。</w:t>
            </w:r>
          </w:p>
        </w:tc>
      </w:tr>
    </w:tbl>
    <w:p>
      <w:r>
        <w:br w:type="page"/>
      </w:r>
    </w:p>
    <w:p>
      <w:pPr>
        <w:pStyle w:val="Heading1"/>
        <w:keepNext/>
        <w:spacing w:before="200" w:after="100"/>
      </w:pPr>
      <w:r>
        <w:rPr>
          <w:rFonts w:ascii="Noto Sans CJK SC" w:hAnsi="Noto Sans CJK SC" w:eastAsia="Noto Sans CJK SC"/>
          <w:b/>
          <w:color w:val="123B5D"/>
          <w:sz w:val="32"/>
        </w:rPr>
        <w:t>附录 A 输出文件目录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4252"/>
            <w:vAlign w:val="center"/>
            <w:shd w:fill="1F5A7A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文件</w:t>
            </w:r>
          </w:p>
        </w:tc>
        <w:tc>
          <w:tcPr>
            <w:tcW w:type="dxa" w:w="4819"/>
            <w:vAlign w:val="center"/>
            <w:shd w:fill="1F5A7A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用途</w:t>
            </w:r>
          </w:p>
        </w:tc>
      </w:tr>
      <w:tr>
        <w:trPr>
          <w:cantSplit/>
        </w:trPr>
        <w:tc>
          <w:tcPr>
            <w:tcW w:type="dxa" w:w="42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stl_power_economy_pipeline.py</w:t>
            </w:r>
          </w:p>
        </w:tc>
        <w:tc>
          <w:tcPr>
            <w:tcW w:type="dxa" w:w="481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完整主程序；可从原始文件一键重跑</w:t>
            </w:r>
          </w:p>
        </w:tc>
      </w:tr>
      <w:tr>
        <w:trPr>
          <w:cantSplit/>
        </w:trPr>
        <w:tc>
          <w:tcPr>
            <w:tcW w:type="dxa" w:w="42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8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outputs/tables/electricity_monthly_stl.csv</w:t>
            </w:r>
          </w:p>
        </w:tc>
        <w:tc>
          <w:tcPr>
            <w:tcW w:type="dxa" w:w="481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8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51 条月度用电 STL 明细</w:t>
            </w:r>
          </w:p>
        </w:tc>
      </w:tr>
      <w:tr>
        <w:trPr>
          <w:cantSplit/>
        </w:trPr>
        <w:tc>
          <w:tcPr>
            <w:tcW w:type="dxa" w:w="42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outputs/tables/gdp_quarterly_stl.csv</w:t>
            </w:r>
          </w:p>
        </w:tc>
        <w:tc>
          <w:tcPr>
            <w:tcW w:type="dxa" w:w="481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312 条三产业单季度 STL 明细</w:t>
            </w:r>
          </w:p>
        </w:tc>
      </w:tr>
      <w:tr>
        <w:trPr>
          <w:cantSplit/>
        </w:trPr>
        <w:tc>
          <w:tcPr>
            <w:tcW w:type="dxa" w:w="42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8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outputs/tables/anomaly_events.csv</w:t>
            </w:r>
          </w:p>
        </w:tc>
        <w:tc>
          <w:tcPr>
            <w:tcW w:type="dxa" w:w="481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8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high/medium 异常事件及候选原因</w:t>
            </w:r>
          </w:p>
        </w:tc>
      </w:tr>
      <w:tr>
        <w:trPr>
          <w:cantSplit/>
        </w:trPr>
        <w:tc>
          <w:tcPr>
            <w:tcW w:type="dxa" w:w="42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outputs/tables/holiday_calendar_events.csv</w:t>
            </w:r>
          </w:p>
        </w:tc>
        <w:tc>
          <w:tcPr>
            <w:tcW w:type="dxa" w:w="481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逐日节假日与调休事件</w:t>
            </w:r>
          </w:p>
        </w:tc>
      </w:tr>
      <w:tr>
        <w:trPr>
          <w:cantSplit/>
        </w:trPr>
        <w:tc>
          <w:tcPr>
            <w:tcW w:type="dxa" w:w="42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8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outputs/tables/holiday_month_features.csv</w:t>
            </w:r>
          </w:p>
        </w:tc>
        <w:tc>
          <w:tcPr>
            <w:tcW w:type="dxa" w:w="481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8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按月聚合的节假日特征</w:t>
            </w:r>
          </w:p>
        </w:tc>
      </w:tr>
      <w:tr>
        <w:trPr>
          <w:cantSplit/>
        </w:trPr>
        <w:tc>
          <w:tcPr>
            <w:tcW w:type="dxa" w:w="42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outputs/tables/data_source_registry.csv</w:t>
            </w:r>
          </w:p>
        </w:tc>
        <w:tc>
          <w:tcPr>
            <w:tcW w:type="dxa" w:w="481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来源、外部核验、哈希与溯源状态</w:t>
            </w:r>
          </w:p>
        </w:tc>
      </w:tr>
      <w:tr>
        <w:trPr>
          <w:cantSplit/>
        </w:trPr>
        <w:tc>
          <w:tcPr>
            <w:tcW w:type="dxa" w:w="42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8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outputs/tables/data_quality_checks.csv</w:t>
            </w:r>
          </w:p>
        </w:tc>
        <w:tc>
          <w:tcPr>
            <w:tcW w:type="dxa" w:w="481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8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全部质量检查结果</w:t>
            </w:r>
          </w:p>
        </w:tc>
      </w:tr>
      <w:tr>
        <w:trPr>
          <w:cantSplit/>
        </w:trPr>
        <w:tc>
          <w:tcPr>
            <w:tcW w:type="dxa" w:w="42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outputs/model_input/model_input_records.jsonl</w:t>
            </w:r>
          </w:p>
        </w:tc>
        <w:tc>
          <w:tcPr>
            <w:tcW w:type="dxa" w:w="481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363 条模型标准输入</w:t>
            </w:r>
          </w:p>
        </w:tc>
      </w:tr>
      <w:tr>
        <w:trPr>
          <w:cantSplit/>
        </w:trPr>
        <w:tc>
          <w:tcPr>
            <w:tcW w:type="dxa" w:w="42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8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outputs/kg/kg_nodes.csv</w:t>
            </w:r>
          </w:p>
        </w:tc>
        <w:tc>
          <w:tcPr>
            <w:tcW w:type="dxa" w:w="481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8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647 个知识图谱节点</w:t>
            </w:r>
          </w:p>
        </w:tc>
      </w:tr>
      <w:tr>
        <w:trPr>
          <w:cantSplit/>
        </w:trPr>
        <w:tc>
          <w:tcPr>
            <w:tcW w:type="dxa" w:w="42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outputs/kg/kg_edges.csv</w:t>
            </w:r>
          </w:p>
        </w:tc>
        <w:tc>
          <w:tcPr>
            <w:tcW w:type="dxa" w:w="481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1235 条知识图谱关系</w:t>
            </w:r>
          </w:p>
        </w:tc>
      </w:tr>
      <w:tr>
        <w:trPr>
          <w:cantSplit/>
        </w:trPr>
        <w:tc>
          <w:tcPr>
            <w:tcW w:type="dxa" w:w="42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8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outputs/figures/*.png</w:t>
            </w:r>
          </w:p>
        </w:tc>
        <w:tc>
          <w:tcPr>
            <w:tcW w:type="dxa" w:w="481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8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8 张运行结果图</w:t>
            </w:r>
          </w:p>
        </w:tc>
      </w:tr>
      <w:tr>
        <w:trPr>
          <w:cantSplit/>
        </w:trPr>
        <w:tc>
          <w:tcPr>
            <w:tcW w:type="dxa" w:w="42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outputs/run_summary.json</w:t>
            </w:r>
          </w:p>
        </w:tc>
        <w:tc>
          <w:tcPr>
            <w:tcW w:type="dxa" w:w="481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关键指标和异常摘要</w:t>
            </w:r>
          </w:p>
        </w:tc>
      </w:tr>
    </w:tbl>
    <w:p>
      <w:pPr>
        <w:pStyle w:val="Heading2"/>
        <w:keepNext/>
        <w:spacing w:before="140" w:after="100"/>
      </w:pPr>
      <w:r>
        <w:rPr>
          <w:rFonts w:ascii="Noto Sans CJK SC" w:hAnsi="Noto Sans CJK SC" w:eastAsia="Noto Sans CJK SC"/>
          <w:b/>
          <w:color w:val="123B5D"/>
          <w:sz w:val="26"/>
        </w:rPr>
        <w:t>附录 A.1 结果工作簿</w:t>
      </w:r>
    </w:p>
    <w:p>
      <w:pPr>
        <w:spacing w:line="348" w:lineRule="auto" w:after="100"/>
        <w:ind w:firstLine="420"/>
      </w:pPr>
      <w:r>
        <w:rPr>
          <w:rFonts w:ascii="Noto Sans CJK SC" w:hAnsi="Noto Sans CJK SC" w:eastAsia="Noto Sans CJK SC"/>
          <w:sz w:val="21"/>
        </w:rPr>
        <w:t>另交付《浙江电力经济_STL分解结果.xlsx》，包含总览、电力 STL、GDP STL、异常清单、月份季节因子、节假日特征、数据质量、数据源登记、知识图谱节点/关系和模型输入样例等工作表，可直接筛选和复核。</w:t>
      </w:r>
    </w:p>
    <w:p>
      <w:r>
        <w:br w:type="page"/>
      </w:r>
    </w:p>
    <w:p>
      <w:pPr>
        <w:pStyle w:val="Heading1"/>
        <w:keepNext/>
        <w:spacing w:before="200" w:after="100"/>
      </w:pPr>
      <w:r>
        <w:rPr>
          <w:rFonts w:ascii="Noto Sans CJK SC" w:hAnsi="Noto Sans CJK SC" w:eastAsia="Noto Sans CJK SC"/>
          <w:b/>
          <w:color w:val="123B5D"/>
          <w:sz w:val="32"/>
        </w:rPr>
        <w:t>附录 B 标准模型输入示例</w:t>
      </w:r>
    </w:p>
    <w:p>
      <w:pPr>
        <w:spacing w:line="348" w:lineRule="auto" w:after="100"/>
        <w:ind w:firstLine="420"/>
      </w:pPr>
      <w:r>
        <w:rPr>
          <w:rFonts w:ascii="Noto Sans CJK SC" w:hAnsi="Noto Sans CJK SC" w:eastAsia="Noto Sans CJK SC"/>
          <w:sz w:val="21"/>
        </w:rPr>
        <w:t>下列为完整 JSONL 中 2024-02 月度电力异常记录的结构。实际文件每行一个 JSON 对象，便于流式读取、向量化和作为模型工具调用参数。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3F5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6"/>
              </w:rPr>
              <w:t>{</w:t>
              <w:br/>
              <w:t xml:space="preserve">  "schema_version": "1.0",</w:t>
              <w:br/>
              <w:t xml:space="preserve">  "task": "anomaly_diagnosis",</w:t>
              <w:br/>
              <w:t xml:space="preserve">  "region": {</w:t>
              <w:br/>
              <w:t xml:space="preserve">    "code": "CN-ZJ",</w:t>
              <w:br/>
              <w:t xml:space="preserve">    "name": "浙江省"</w:t>
              <w:br/>
              <w:t xml:space="preserve">  },</w:t>
              <w:br/>
              <w:t xml:space="preserve">  "period": {</w:t>
              <w:br/>
              <w:t xml:space="preserve">    "label": "2024-02",</w:t>
              <w:br/>
              <w:t xml:space="preserve">    "frequency": "monthly",</w:t>
              <w:br/>
              <w:t xml:space="preserve">    "start": "2024-02-01"</w:t>
              <w:br/>
              <w:t xml:space="preserve">  },</w:t>
              <w:br/>
              <w:t xml:space="preserve">  "metric": {</w:t>
              <w:br/>
              <w:t xml:space="preserve">    "id": "electricity_total_monthly",</w:t>
              <w:br/>
              <w:t xml:space="preserve">    "name": "全社会用电量",</w:t>
              <w:br/>
              <w:t xml:space="preserve">    "unit": "亿千瓦时"</w:t>
              <w:br/>
              <w:t xml:space="preserve">  },</w:t>
              <w:br/>
              <w:t xml:space="preserve">  "observation": {</w:t>
              <w:br/>
              <w:t xml:space="preserve">    "value": 354.77613499,</w:t>
              <w:br/>
              <w:t xml:space="preserve">    "raw_value": 3547761.3499,</w:t>
              <w:br/>
              <w:t xml:space="preserve">    "raw_unit": "万千瓦时"</w:t>
              <w:br/>
              <w:t xml:space="preserve">  },</w:t>
              <w:br/>
              <w:t xml:space="preserve">  "decomposition": {</w:t>
              <w:br/>
              <w:t xml:space="preserve">    "method": "log-STL",</w:t>
              <w:br/>
              <w:t xml:space="preserve">    "period": 12,</w:t>
              <w:br/>
              <w:t xml:space="preserve">    "seasonal_window": 13,</w:t>
              <w:br/>
              <w:t xml:space="preserve">    "robust": true,</w:t>
              <w:br/>
              <w:t xml:space="preserve">    "trend_level": 543.7474066357288,</w:t>
              <w:br/>
              <w:t xml:space="preserve">    "seasonal_factor": 0.7955165981067299,</w:t>
              <w:br/>
              <w:t xml:space="preserve">    "expected_value": 432.5600871562116,</w:t>
              <w:br/>
              <w:t xml:space="preserve">    "residual_pct": -0.17982230556126477,</w:t>
              <w:br/>
              <w:t xml:space="preserve">    "robust_z": -28.24401958905122,</w:t>
              <w:br/>
              <w:t xml:space="preserve">    "stl_weight": 0.0</w:t>
              <w:br/>
              <w:t xml:space="preserve">  },</w:t>
              <w:br/>
              <w:t xml:space="preserve">  "anomaly": {</w:t>
              <w:br/>
              <w:t xml:space="preserve">    "level": "high",</w:t>
              <w:br/>
              <w:t xml:space="preserve">    "direction": "below_expected",</w:t>
              <w:br/>
              <w:t xml:space="preserve">    "endpoint_warning": false,</w:t>
              <w:br/>
              <w:t xml:space="preserve">    "statistical_outlier": true</w:t>
              <w:br/>
              <w:t xml:space="preserve">  },</w:t>
              <w:br/>
              <w:t xml:space="preserve">  "context": {</w:t>
              <w:br/>
              <w:t xml:space="preserve">    "holiday_days": 8,</w:t>
              <w:br/>
              <w:t xml:space="preserve">    "spring_festival_days": 8,</w:t>
              <w:br/>
              <w:t xml:space="preserve">    "makeup_workdays": 2,</w:t>
              <w:br/>
              <w:t xml:space="preserve">    "holiday_names": [</w:t>
              <w:br/>
              <w:t xml:space="preserve">      "春节"</w:t>
              <w:br/>
              <w:t xml:space="preserve">    ],</w:t>
              <w:br/>
              <w:t xml:space="preserve">    "candidate_causes": [</w:t>
              <w:br/>
              <w:t xml:space="preserve">      {</w:t>
              <w:br/>
              <w:t xml:space="preserve">        "cause_id": "spring_festival_shift",</w:t>
              <w:br/>
              <w:t xml:space="preserve">        "confidence": "medium",</w:t>
              <w:br/>
              <w:t xml:space="preserve">        "relation": "CANDIDATE_EXPLANATION",</w:t>
              <w:br/>
              <w:t xml:space="preserve">        "evidence": "异常发生在春节窗口；本月春节放假天数=8",</w:t>
              <w:br/>
              <w:t xml:space="preserve">        "causal_status": "未验证"</w:t>
              <w:br/>
              <w:t xml:space="preserve">      },</w:t>
              <w:br/>
              <w:t xml:space="preserve">      {</w:t>
              <w:br/>
              <w:t xml:space="preserve">        "cause_id": "industrial_activity",</w:t>
              <w:br/>
              <w:t xml:space="preserve">        "confidence": "low",</w:t>
              <w:br/>
              <w:t xml:space="preserve">        "relation": "CANDIDATE_EXPLANATION",</w:t>
              <w:br/>
              <w:t xml:space="preserve">        "evidence": "全社会用电量受工业生产影响，需要分行业用电和工业增加值交叉验证",</w:t>
              <w:br/>
              <w:t xml:space="preserve">        "causal_status": "待补证据"</w:t>
              <w:br/>
              <w:t xml:space="preserve">      },</w:t>
              <w:br/>
              <w:t xml:space="preserve">      {</w:t>
              <w:br/>
              <w:t xml:space="preserve">        "cause_id": "policy_or_power_event",</w:t>
              <w:br/>
              <w:t xml:space="preserve">        "confidence": "low",</w:t>
              <w:br/>
              <w:t xml:space="preserve">        "relation": "CANDIDATE_EXPLANATION",</w:t>
              <w:br/>
              <w:t xml:space="preserve">        "evidence": "需检索同期电价、需求响应、限电及重大事件记录",</w:t>
              <w:br/>
              <w:t xml:space="preserve">        "causal_status": "待检索"</w:t>
              <w:br/>
              <w:t xml:space="preserve">      }</w:t>
              <w:br/>
              <w:t xml:space="preserve">    ],</w:t>
              <w:br/>
              <w:t xml:space="preserve">    "required_next_evidence": [</w:t>
              <w:br/>
              <w:t xml:space="preserve">      "PMI/订单",</w:t>
              <w:br/>
              <w:t xml:space="preserve">      "分行业用电量",</w:t>
              <w:br/>
              <w:t xml:space="preserve">      "制造业开工率",</w:t>
              <w:br/>
              <w:t xml:space="preserve">      "政策发布时间",</w:t>
              <w:br/>
              <w:t xml:space="preserve">      "春节日期",</w:t>
              <w:br/>
              <w:t xml:space="preserve">      "电网运行事件",</w:t>
              <w:br/>
              <w:t xml:space="preserve">      "第二产业分行业用电量",</w:t>
              <w:br/>
              <w:t xml:space="preserve">      "规上工业增加值",</w:t>
              <w:br/>
              <w:t xml:space="preserve">      "需求响应记录"</w:t>
              <w:br/>
              <w:t xml:space="preserve">    ]</w:t>
              <w:br/>
              <w:t xml:space="preserve">  },</w:t>
              <w:br/>
              <w:t xml:space="preserve">  "provenance": {</w:t>
              <w:br/>
              <w:t xml:space="preserve">    "source_file": "浙江全社会用电量信息（月度）.xlsx",</w:t>
              <w:br/>
              <w:t xml:space="preserve">    "source_sha256": "e3a338bf342130018a8811011349b06b87c78a1c91029fc7fb67845cd81bba67",</w:t>
              <w:br/>
              <w:t xml:space="preserve">    "source_url_status": "原始文件未内嵌网址；已用官方年度总量交叉核验"</w:t>
              <w:br/>
              <w:t xml:space="preserve">  }</w:t>
              <w:br/>
              <w:t>}</w:t>
            </w:r>
          </w:p>
        </w:tc>
      </w:tr>
    </w:tbl>
    <w:p>
      <w:r>
        <w:br w:type="page"/>
      </w:r>
    </w:p>
    <w:p>
      <w:pPr>
        <w:pStyle w:val="Heading1"/>
        <w:keepNext/>
        <w:spacing w:before="200" w:after="100"/>
      </w:pPr>
      <w:r>
        <w:rPr>
          <w:rFonts w:ascii="Noto Sans CJK SC" w:hAnsi="Noto Sans CJK SC" w:eastAsia="Noto Sans CJK SC"/>
          <w:b/>
          <w:color w:val="123B5D"/>
          <w:sz w:val="32"/>
        </w:rPr>
        <w:t>附录 C 参考资料与外部核验来源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1984"/>
            <w:vAlign w:val="center"/>
            <w:shd w:fill="1F5A7A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7087"/>
            <w:vAlign w:val="center"/>
            <w:shd w:fill="1F5A7A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资料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[1] 用户项目材料</w:t>
            </w:r>
          </w:p>
        </w:tc>
        <w:tc>
          <w:tcPr>
            <w:tcW w:type="dxa" w:w="708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《基于特征解耦与知识增强的“电力看经济”智能体构建方法》开题答辩 PPT，第 2—7 页。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8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[2] 用户数据汇总</w:t>
            </w:r>
          </w:p>
        </w:tc>
        <w:tc>
          <w:tcPr>
            <w:tcW w:type="dxa" w:w="708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8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《data(苏州+南京+江门).docx》，含苏州、南京、江门官方统计入口与数据截图。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[3] STL 原始论文</w:t>
            </w:r>
          </w:p>
        </w:tc>
        <w:tc>
          <w:tcPr>
            <w:tcW w:type="dxa" w:w="708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Cleveland, R. B., Cleveland, W. S., McRae, J. E., &amp; Terpenning, I. (1990). STL: A Seasonal-Trend Decomposition Procedure Based on Loess.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8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[4] statsmodels 文档</w:t>
            </w:r>
          </w:p>
        </w:tc>
        <w:tc>
          <w:tcPr>
            <w:tcW w:type="dxa" w:w="708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8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statsmodels.tsa.seasonal.STL：period、seasonal、trend、low_pass、robust 参数与 fit 输出说明。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[5] 国家统计局</w:t>
            </w:r>
          </w:p>
        </w:tc>
        <w:tc>
          <w:tcPr>
            <w:tcW w:type="dxa" w:w="708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季节调整相关说明：经济时间序列可分为趋势、周期、季节和不规则成分，并需考虑移动节假日。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8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[6] 国务院办公厅</w:t>
            </w:r>
          </w:p>
        </w:tc>
        <w:tc>
          <w:tcPr>
            <w:tcW w:type="dxa" w:w="708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8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2021—2025 年部分节假日安排通知。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[7] 2024 浙江用电核验</w:t>
            </w:r>
          </w:p>
        </w:tc>
        <w:tc>
          <w:tcPr>
            <w:tcW w:type="dxa" w:w="708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新华社/国家电网浙江电力公开信息：2024 年浙江全社会用电量约 6780 亿千瓦时。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8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[8] 2025 浙江经济核验</w:t>
            </w:r>
          </w:p>
        </w:tc>
        <w:tc>
          <w:tcPr>
            <w:tcW w:type="dxa" w:w="708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8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浙江省 2025 年国民经济和社会发展统计公报：三次产业增加值 2657、35682、56206 亿元。</w:t>
            </w:r>
          </w:p>
        </w:tc>
      </w:tr>
    </w:tbl>
    <w:p>
      <w:pPr>
        <w:pStyle w:val="Heading2"/>
        <w:keepNext/>
        <w:spacing w:before="140" w:after="100"/>
      </w:pPr>
      <w:r>
        <w:rPr>
          <w:rFonts w:ascii="Noto Sans CJK SC" w:hAnsi="Noto Sans CJK SC" w:eastAsia="Noto Sans CJK SC"/>
          <w:b/>
          <w:color w:val="123B5D"/>
          <w:sz w:val="26"/>
        </w:rPr>
        <w:t>附录 C.1 数据入口（项目后续采集）</w:t>
      </w:r>
    </w:p>
    <w:p>
      <w:pPr>
        <w:spacing w:after="60"/>
      </w:pPr>
      <w:r>
        <w:rPr>
          <w:rFonts w:ascii="Noto Sans CJK SC" w:hAnsi="Noto Sans CJK SC" w:eastAsia="Noto Sans CJK SC"/>
          <w:b/>
          <w:sz w:val="18"/>
        </w:rPr>
        <w:t>苏州统计局月度数据：</w:t>
      </w:r>
      <w:hyperlink r:id="rId19">
        <w:r>
          <w:rPr>
            <w:color w:val="0563C1"/>
            <w:u w:val="single"/>
            <w:rFonts w:ascii="Noto Sans CJK SC" w:eastAsia="Noto Sans CJK SC"/>
          </w:rPr>
          <w:t>https://tjj.suzhou.gov.cn/sztjj/jdsj/nav_list.shtml</w:t>
        </w:r>
      </w:hyperlink>
    </w:p>
    <w:p>
      <w:pPr>
        <w:spacing w:after="60"/>
      </w:pPr>
      <w:r>
        <w:rPr>
          <w:rFonts w:ascii="Noto Sans CJK SC" w:hAnsi="Noto Sans CJK SC" w:eastAsia="Noto Sans CJK SC"/>
          <w:b/>
          <w:sz w:val="18"/>
        </w:rPr>
        <w:t>南京统计年鉴用电量：</w:t>
      </w:r>
      <w:hyperlink r:id="rId20">
        <w:r>
          <w:rPr>
            <w:color w:val="0563C1"/>
            <w:u w:val="single"/>
            <w:rFonts w:ascii="Noto Sans CJK SC" w:eastAsia="Noto Sans CJK SC"/>
          </w:rPr>
          <w:t>https://tjj.nanjing.gov.cn/material/njnj_2024/gongye/7-14.html</w:t>
        </w:r>
      </w:hyperlink>
    </w:p>
    <w:p>
      <w:pPr>
        <w:spacing w:after="60"/>
      </w:pPr>
      <w:r>
        <w:rPr>
          <w:rFonts w:ascii="Noto Sans CJK SC" w:hAnsi="Noto Sans CJK SC" w:eastAsia="Noto Sans CJK SC"/>
          <w:b/>
          <w:sz w:val="18"/>
        </w:rPr>
        <w:t>南京统计局检索：</w:t>
      </w:r>
      <w:hyperlink r:id="rId21">
        <w:r>
          <w:rPr>
            <w:color w:val="0563C1"/>
            <w:u w:val="single"/>
            <w:rFonts w:ascii="Noto Sans CJK SC" w:eastAsia="Noto Sans CJK SC"/>
          </w:rPr>
          <w:t>https://tjj.nanjing.gov.cn/site/tjj/search.html</w:t>
        </w:r>
      </w:hyperlink>
    </w:p>
    <w:p>
      <w:pPr>
        <w:spacing w:after="60"/>
      </w:pPr>
      <w:r>
        <w:rPr>
          <w:rFonts w:ascii="Noto Sans CJK SC" w:hAnsi="Noto Sans CJK SC" w:eastAsia="Noto Sans CJK SC"/>
          <w:b/>
          <w:sz w:val="18"/>
        </w:rPr>
        <w:t>江门统计月报：</w:t>
      </w:r>
      <w:hyperlink r:id="rId22">
        <w:r>
          <w:rPr>
            <w:color w:val="0563C1"/>
            <w:u w:val="single"/>
            <w:rFonts w:ascii="Noto Sans CJK SC" w:eastAsia="Noto Sans CJK SC"/>
          </w:rPr>
          <w:t>https://www.jiangmen.gov.cn/bmpd/jmstjj/tjsj/tjyb/ydysjysyd/</w:t>
        </w:r>
      </w:hyperlink>
    </w:p>
    <w:p>
      <w:pPr>
        <w:spacing w:after="60"/>
      </w:pPr>
      <w:r>
        <w:rPr>
          <w:rFonts w:ascii="Noto Sans CJK SC" w:hAnsi="Noto Sans CJK SC" w:eastAsia="Noto Sans CJK SC"/>
          <w:b/>
          <w:sz w:val="18"/>
        </w:rPr>
        <w:t>2024 浙江用电核验：</w:t>
      </w:r>
      <w:hyperlink r:id="rId23">
        <w:r>
          <w:rPr>
            <w:color w:val="0563C1"/>
            <w:u w:val="single"/>
            <w:rFonts w:ascii="Noto Sans CJK SC" w:eastAsia="Noto Sans CJK SC"/>
          </w:rPr>
          <w:t>https://www.news.cn/20250124/4a7d51aece054002ac1edc66d125884e/c.html</w:t>
        </w:r>
      </w:hyperlink>
    </w:p>
    <w:p>
      <w:pPr>
        <w:spacing w:after="60"/>
      </w:pPr>
      <w:r>
        <w:rPr>
          <w:rFonts w:ascii="Noto Sans CJK SC" w:hAnsi="Noto Sans CJK SC" w:eastAsia="Noto Sans CJK SC"/>
          <w:b/>
          <w:sz w:val="18"/>
        </w:rPr>
        <w:t>2025 浙江统计公报：</w:t>
      </w:r>
      <w:hyperlink r:id="rId24">
        <w:r>
          <w:rPr>
            <w:color w:val="0563C1"/>
            <w:u w:val="single"/>
            <w:rFonts w:ascii="Noto Sans CJK SC" w:eastAsia="Noto Sans CJK SC"/>
          </w:rPr>
          <w:t>https://zjzd.stats.gov.cn/zwgk/zfxxgkml/tjxx/tjgb/art/2026/art_48c3c7315981425f9c25b53eab4d65d0.html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020" w:bottom="964" w:left="102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46464"/>
        <w:sz w:val="18"/>
      </w:rPr>
      <w:t xml:space="preserve">第 </w:t>
      <w:fldChar w:fldCharType="begin"/>
      <w:instrText xml:space="preserve">PAGE</w:instrText>
      <w:fldChar w:fldCharType="end"/>
    </w:r>
    <w:r>
      <w:rPr>
        <w:rFonts w:ascii="Noto Sans CJK SC" w:hAnsi="Noto Sans CJK SC" w:eastAsia="Noto Sans CJK SC"/>
        <w:color w:val="646464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646464"/>
        <w:sz w:val="17"/>
      </w:rPr>
      <w:t>浙江省电力—经济数据 STL 分解与智能体接口设计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80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23B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23B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23B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b w:val="0"/>
      <w:i/>
      <w:iCs/>
      <w:color w:val="4F81BD" w:themeColor="accent1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hyperlink" Target="https://tjj.suzhou.gov.cn/sztjj/jdsj/nav_list.shtml" TargetMode="External"/><Relationship Id="rId20" Type="http://schemas.openxmlformats.org/officeDocument/2006/relationships/hyperlink" Target="https://tjj.nanjing.gov.cn/material/njnj_2024/gongye/7-14.html" TargetMode="External"/><Relationship Id="rId21" Type="http://schemas.openxmlformats.org/officeDocument/2006/relationships/hyperlink" Target="https://tjj.nanjing.gov.cn/site/tjj/search.html" TargetMode="External"/><Relationship Id="rId22" Type="http://schemas.openxmlformats.org/officeDocument/2006/relationships/hyperlink" Target="https://www.jiangmen.gov.cn/bmpd/jmstjj/tjsj/tjyb/ydysjysyd/" TargetMode="External"/><Relationship Id="rId23" Type="http://schemas.openxmlformats.org/officeDocument/2006/relationships/hyperlink" Target="https://www.news.cn/20250124/4a7d51aece054002ac1edc66d125884e/c.html" TargetMode="External"/><Relationship Id="rId24" Type="http://schemas.openxmlformats.org/officeDocument/2006/relationships/hyperlink" Target="https://zjzd.stats.gov.cn/zwgk/zfxxgkml/tjxx/tjgb/art/2026/art_48c3c7315981425f9c25b53eab4d65d0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浙江省电力—经济数据 STL 分解与智能体接口设计</dc:title>
  <dc:subject>数据获取、STL分解、知识图谱与模型输入</dc:subject>
  <dc:creator>OpenAI GPT-5.6 Pro</dc:creator>
  <cp:keywords>电力经济, STL, 异常检测, 知识图谱, 大模型智能体</cp:keywords>
  <dc:description>基于用户提供材料生成；完整代码与运行结果另附。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