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3195" w14:textId="77777777" w:rsidR="006C0D47" w:rsidRDefault="006C0D47" w:rsidP="006C0D47">
      <w:pPr>
        <w:spacing w:before="0"/>
        <w:ind w:firstLine="0"/>
        <w:rPr>
          <w:b/>
          <w:bCs/>
        </w:rPr>
      </w:pPr>
      <w:r>
        <w:rPr>
          <w:b/>
          <w:bCs/>
        </w:rPr>
        <w:t xml:space="preserve">Formatting of the </w:t>
      </w:r>
      <w:r w:rsidRPr="006C0D47">
        <w:rPr>
          <w:b/>
          <w:bCs/>
        </w:rPr>
        <w:t>input data</w:t>
      </w:r>
      <w:r>
        <w:rPr>
          <w:b/>
          <w:bCs/>
        </w:rPr>
        <w:t>.</w:t>
      </w:r>
    </w:p>
    <w:p w14:paraId="1E90358A" w14:textId="403370B1" w:rsidR="006C0D47" w:rsidRPr="00F75A7A" w:rsidRDefault="006C0D47" w:rsidP="006C0D47">
      <w:pPr>
        <w:spacing w:before="0"/>
        <w:ind w:firstLine="0"/>
        <w:rPr>
          <w:b/>
          <w:bCs/>
        </w:rPr>
      </w:pPr>
      <w:r>
        <w:rPr>
          <w:b/>
          <w:bCs/>
        </w:rPr>
        <w:t xml:space="preserve">Look@Rates </w:t>
      </w:r>
      <w:r>
        <w:t xml:space="preserve">reads input data from an Excel </w:t>
      </w:r>
      <w:r w:rsidRPr="006C0D47">
        <w:t>spreads</w:t>
      </w:r>
      <w:r w:rsidRPr="00F75A7A">
        <w:t>heet</w:t>
      </w:r>
      <w:r w:rsidRPr="00F75A7A">
        <w:t xml:space="preserve"> (xlsx)</w:t>
      </w:r>
      <w:r w:rsidRPr="00F75A7A">
        <w:t xml:space="preserve">. </w:t>
      </w:r>
      <w:r w:rsidR="00F75A7A">
        <w:t xml:space="preserve">The required data are organized in columns, with </w:t>
      </w:r>
      <w:r w:rsidR="00F75A7A" w:rsidRPr="00F75A7A">
        <w:t>row</w:t>
      </w:r>
      <w:r w:rsidR="00F75A7A">
        <w:t>s</w:t>
      </w:r>
      <w:r w:rsidR="00F75A7A" w:rsidRPr="00F75A7A">
        <w:t xml:space="preserve"> correspond</w:t>
      </w:r>
      <w:r w:rsidR="00F75A7A">
        <w:t>ing</w:t>
      </w:r>
      <w:r w:rsidR="00F75A7A" w:rsidRPr="00F75A7A">
        <w:t xml:space="preserve"> to individual cell</w:t>
      </w:r>
      <w:r w:rsidR="00F75A7A">
        <w:t>s.</w:t>
      </w:r>
      <w:r w:rsidR="00F75A7A" w:rsidRPr="00F75A7A">
        <w:t xml:space="preserve"> Table below describes t</w:t>
      </w:r>
      <w:r w:rsidR="00F75A7A" w:rsidRPr="00F75A7A">
        <w:t>he required data</w:t>
      </w:r>
      <w:r w:rsidR="00F75A7A">
        <w:t xml:space="preserve">. </w:t>
      </w:r>
      <w:r w:rsidR="004A38FD">
        <w:t>T</w:t>
      </w:r>
      <w:r w:rsidR="00F75A7A" w:rsidRPr="00F75A7A">
        <w:t xml:space="preserve">he </w:t>
      </w:r>
      <w:r w:rsidR="00F75A7A">
        <w:t>description</w:t>
      </w:r>
      <w:r w:rsidR="00F75A7A" w:rsidRPr="00F75A7A">
        <w:t xml:space="preserve"> assumes </w:t>
      </w:r>
      <w:r w:rsidR="00F75A7A">
        <w:t xml:space="preserve">carbon to be the assimilated element </w:t>
      </w:r>
      <w:r w:rsidR="00F75A7A" w:rsidRPr="00F75A7A">
        <w:t>(i.e.,</w:t>
      </w:r>
      <w:r w:rsidR="00F75A7A">
        <w:t xml:space="preserve"> it considers</w:t>
      </w:r>
      <w:r w:rsidR="00F75A7A" w:rsidRPr="00F75A7A">
        <w:t xml:space="preserve"> </w:t>
      </w:r>
      <w:r w:rsidR="00F75A7A" w:rsidRPr="00F75A7A">
        <w:rPr>
          <w:vertAlign w:val="superscript"/>
        </w:rPr>
        <w:t>13</w:t>
      </w:r>
      <w:r w:rsidR="00F75A7A" w:rsidRPr="00F75A7A">
        <w:t>C atom fraction</w:t>
      </w:r>
      <w:r w:rsidR="00F75A7A">
        <w:t>s and carbon density</w:t>
      </w:r>
      <w:r w:rsidR="00F75A7A" w:rsidRPr="00F75A7A">
        <w:t>)</w:t>
      </w:r>
      <w:r w:rsidR="004A38FD">
        <w:t xml:space="preserve">. For other </w:t>
      </w:r>
      <w:r w:rsidR="00F75A7A" w:rsidRPr="00F75A7A">
        <w:t>element</w:t>
      </w:r>
      <w:r w:rsidR="004A38FD">
        <w:t xml:space="preserve">s, replace C with that element and the corresponding isotope </w:t>
      </w:r>
      <w:r w:rsidR="00F75A7A" w:rsidRPr="00F75A7A">
        <w:t xml:space="preserve">(e.g., </w:t>
      </w:r>
      <w:r w:rsidR="004A38FD">
        <w:t xml:space="preserve">specify </w:t>
      </w:r>
      <w:r w:rsidR="00F75A7A" w:rsidRPr="00F75A7A">
        <w:rPr>
          <w:vertAlign w:val="superscript"/>
        </w:rPr>
        <w:t>15</w:t>
      </w:r>
      <w:r w:rsidR="00F75A7A" w:rsidRPr="00F75A7A">
        <w:t>N</w:t>
      </w:r>
      <w:r w:rsidR="00F75A7A">
        <w:t xml:space="preserve"> atom fractions and N density</w:t>
      </w:r>
      <w:r w:rsidR="00F75A7A" w:rsidRPr="00F75A7A">
        <w:t>).</w:t>
      </w:r>
      <w:r w:rsidR="00F75A7A">
        <w:t xml:space="preserve"> </w:t>
      </w:r>
      <w:r w:rsidR="009179B2">
        <w:t>Approaches, e</w:t>
      </w:r>
      <w:r w:rsidR="002B7FA5">
        <w:t>quations</w:t>
      </w:r>
      <w:r w:rsidR="004F29AD">
        <w:t>,</w:t>
      </w:r>
      <w:r w:rsidR="002B7FA5">
        <w:t xml:space="preserve"> and supplementary method</w:t>
      </w:r>
      <w:r w:rsidR="009179B2">
        <w:t xml:space="preserve"> sections</w:t>
      </w:r>
      <w:r w:rsidR="002B7FA5">
        <w:t xml:space="preserve"> </w:t>
      </w:r>
      <w:r w:rsidR="002B7FA5">
        <w:t xml:space="preserve">referred to in the table are described </w:t>
      </w:r>
      <w:r w:rsidR="00F75A7A">
        <w:t>in Polerecky et al. (submitted to Frontiers in Microbiology).</w:t>
      </w:r>
    </w:p>
    <w:tbl>
      <w:tblPr>
        <w:tblStyle w:val="TableGrid"/>
        <w:tblW w:w="0" w:type="auto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01"/>
        <w:gridCol w:w="7754"/>
      </w:tblGrid>
      <w:tr w:rsidR="00F75A7A" w:rsidRPr="001160FC" w14:paraId="3B6ACF84" w14:textId="77777777" w:rsidTr="00782927">
        <w:tc>
          <w:tcPr>
            <w:tcW w:w="1260" w:type="dxa"/>
          </w:tcPr>
          <w:p w14:paraId="068073BA" w14:textId="3082E331" w:rsidR="00F75A7A" w:rsidRPr="001160FC" w:rsidRDefault="00F75A7A" w:rsidP="00782927">
            <w:pPr>
              <w:spacing w:before="60" w:after="60"/>
              <w:rPr>
                <w:b/>
                <w:bCs/>
                <w:i/>
                <w:iCs/>
              </w:rPr>
            </w:pPr>
            <w:r w:rsidRPr="00F75A7A">
              <w:rPr>
                <w:b/>
                <w:bCs/>
              </w:rPr>
              <w:t>Column</w:t>
            </w:r>
          </w:p>
        </w:tc>
        <w:tc>
          <w:tcPr>
            <w:tcW w:w="8512" w:type="dxa"/>
          </w:tcPr>
          <w:p w14:paraId="08E45A59" w14:textId="0940C079" w:rsidR="00F75A7A" w:rsidRPr="001160FC" w:rsidRDefault="00F75A7A" w:rsidP="00782927">
            <w:pPr>
              <w:spacing w:before="60" w:after="60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C0D47" w:rsidRPr="001160FC" w14:paraId="65334CE1" w14:textId="77777777" w:rsidTr="00782927">
        <w:tc>
          <w:tcPr>
            <w:tcW w:w="1260" w:type="dxa"/>
          </w:tcPr>
          <w:p w14:paraId="1D62AF46" w14:textId="77777777" w:rsidR="006C0D47" w:rsidRPr="001160FC" w:rsidRDefault="006C0D47" w:rsidP="00782927">
            <w:pPr>
              <w:spacing w:before="60" w:after="60"/>
              <w:rPr>
                <w:i/>
                <w:iCs/>
              </w:rPr>
            </w:pPr>
            <w:r w:rsidRPr="001160FC">
              <w:rPr>
                <w:b/>
                <w:bCs/>
                <w:i/>
                <w:iCs/>
              </w:rPr>
              <w:t>t</w:t>
            </w:r>
          </w:p>
        </w:tc>
        <w:tc>
          <w:tcPr>
            <w:tcW w:w="8512" w:type="dxa"/>
          </w:tcPr>
          <w:p w14:paraId="6DEAD67C" w14:textId="77777777" w:rsidR="006C0D47" w:rsidRPr="001160FC" w:rsidRDefault="006C0D47" w:rsidP="00782927">
            <w:pPr>
              <w:spacing w:before="60" w:after="60"/>
              <w:ind w:firstLine="0"/>
            </w:pPr>
            <w:r w:rsidRPr="001160FC">
              <w:rPr>
                <w:b/>
                <w:bCs/>
              </w:rPr>
              <w:t>Duration</w:t>
            </w:r>
            <w:r w:rsidRPr="001160FC">
              <w:t xml:space="preserve"> of the SIP incubation. A value in h will yield rates in h</w:t>
            </w:r>
            <w:r w:rsidRPr="001160FC">
              <w:rPr>
                <w:vertAlign w:val="superscript"/>
              </w:rPr>
              <w:t>-1</w:t>
            </w:r>
            <w:r w:rsidRPr="001160FC">
              <w:t>.</w:t>
            </w:r>
          </w:p>
        </w:tc>
      </w:tr>
      <w:tr w:rsidR="006C0D47" w:rsidRPr="001160FC" w14:paraId="4B2E0E8C" w14:textId="77777777" w:rsidTr="00782927">
        <w:tc>
          <w:tcPr>
            <w:tcW w:w="1260" w:type="dxa"/>
          </w:tcPr>
          <w:p w14:paraId="7C193B10" w14:textId="77777777" w:rsidR="006C0D47" w:rsidRPr="001160FC" w:rsidRDefault="006C0D47" w:rsidP="00782927">
            <w:pPr>
              <w:spacing w:before="60" w:after="60"/>
              <w:rPr>
                <w:i/>
                <w:iCs/>
              </w:rPr>
            </w:pPr>
            <w:r w:rsidRPr="001160FC">
              <w:rPr>
                <w:b/>
                <w:bCs/>
                <w:i/>
                <w:iCs/>
              </w:rPr>
              <w:t>x</w:t>
            </w:r>
          </w:p>
        </w:tc>
        <w:tc>
          <w:tcPr>
            <w:tcW w:w="8512" w:type="dxa"/>
          </w:tcPr>
          <w:p w14:paraId="6EFBC128" w14:textId="41E6D7BA" w:rsidR="006C0D47" w:rsidRPr="001160FC" w:rsidRDefault="006C0D47" w:rsidP="00782927">
            <w:pPr>
              <w:spacing w:before="60" w:after="60"/>
              <w:ind w:firstLine="0"/>
            </w:pPr>
            <w:r w:rsidRPr="001160FC">
              <w:t xml:space="preserve">Best estimate of the </w:t>
            </w:r>
            <w:r w:rsidRPr="001160FC">
              <w:rPr>
                <w:b/>
                <w:bCs/>
                <w:vertAlign w:val="superscript"/>
              </w:rPr>
              <w:t>13</w:t>
            </w:r>
            <w:r w:rsidRPr="001160FC">
              <w:rPr>
                <w:b/>
                <w:bCs/>
              </w:rPr>
              <w:t>C</w:t>
            </w:r>
            <w:r w:rsidRPr="001160FC">
              <w:t xml:space="preserve"> </w:t>
            </w:r>
            <w:r w:rsidRPr="001160FC">
              <w:rPr>
                <w:b/>
                <w:bCs/>
              </w:rPr>
              <w:t>atom</w:t>
            </w:r>
            <w:r w:rsidRPr="001160FC">
              <w:t xml:space="preserve"> </w:t>
            </w:r>
            <w:r w:rsidRPr="001160FC">
              <w:rPr>
                <w:b/>
                <w:bCs/>
              </w:rPr>
              <w:t>fraction</w:t>
            </w:r>
            <w:r w:rsidRPr="001160FC">
              <w:t xml:space="preserve"> of the measured cell, </w:t>
            </w:r>
            <w:r w:rsidRPr="001160FC">
              <w:rPr>
                <w:i/>
                <w:iCs/>
              </w:rPr>
              <w:t>x</w:t>
            </w:r>
            <w:r w:rsidRPr="001160FC">
              <w:t xml:space="preserve">. Value determined from the nanoSIMS measurement. It can be </w:t>
            </w:r>
            <w:r w:rsidR="002C1C81">
              <w:t xml:space="preserve">quantified </w:t>
            </w:r>
            <w:r w:rsidRPr="001160FC">
              <w:t xml:space="preserve">by analyzing the nanoSIMS data with </w:t>
            </w:r>
            <w:r w:rsidR="002C1C81">
              <w:t xml:space="preserve">programs such as </w:t>
            </w:r>
            <w:r w:rsidRPr="001160FC">
              <w:t>Look@NanoSIMS.</w:t>
            </w:r>
          </w:p>
        </w:tc>
      </w:tr>
      <w:tr w:rsidR="006C0D47" w:rsidRPr="001160FC" w14:paraId="2981EC7A" w14:textId="77777777" w:rsidTr="00782927">
        <w:tc>
          <w:tcPr>
            <w:tcW w:w="1260" w:type="dxa"/>
          </w:tcPr>
          <w:p w14:paraId="40F0E3CE" w14:textId="77777777" w:rsidR="006C0D47" w:rsidRPr="001160FC" w:rsidRDefault="006C0D47" w:rsidP="00782927">
            <w:pPr>
              <w:spacing w:before="60" w:after="60"/>
              <w:rPr>
                <w:i/>
                <w:iCs/>
              </w:rPr>
            </w:pPr>
            <w:r w:rsidRPr="001160FC">
              <w:rPr>
                <w:b/>
                <w:bCs/>
                <w:i/>
                <w:iCs/>
              </w:rPr>
              <w:t>dx</w:t>
            </w:r>
          </w:p>
        </w:tc>
        <w:tc>
          <w:tcPr>
            <w:tcW w:w="8512" w:type="dxa"/>
          </w:tcPr>
          <w:p w14:paraId="74603298" w14:textId="01F7330B" w:rsidR="006C0D47" w:rsidRPr="001160FC" w:rsidRDefault="006C0D47" w:rsidP="00782927">
            <w:pPr>
              <w:spacing w:before="60" w:after="60"/>
              <w:ind w:firstLine="0"/>
            </w:pPr>
            <w:r w:rsidRPr="001160FC">
              <w:rPr>
                <w:b/>
                <w:bCs/>
              </w:rPr>
              <w:t>Error</w:t>
            </w:r>
            <w:r w:rsidRPr="001160FC">
              <w:t xml:space="preserve"> (uncertainty) of the </w:t>
            </w:r>
            <w:r w:rsidRPr="001160FC">
              <w:rPr>
                <w:vertAlign w:val="superscript"/>
              </w:rPr>
              <w:t>13</w:t>
            </w:r>
            <w:r w:rsidRPr="001160FC">
              <w:t xml:space="preserve">C atom fraction of the measured cell, </w:t>
            </w:r>
            <w:r w:rsidRPr="001160FC">
              <w:rPr>
                <w:rFonts w:cstheme="minorHAnsi"/>
              </w:rPr>
              <w:t>Δ</w:t>
            </w:r>
            <w:r w:rsidRPr="001160FC">
              <w:rPr>
                <w:i/>
                <w:iCs/>
              </w:rPr>
              <w:t>x</w:t>
            </w:r>
            <w:r w:rsidRPr="001160FC">
              <w:t xml:space="preserve">. Value determined from the nanoSIMS measurement. It can be </w:t>
            </w:r>
            <w:r w:rsidR="002C1C81">
              <w:t xml:space="preserve">quantified </w:t>
            </w:r>
            <w:r w:rsidRPr="001160FC">
              <w:t xml:space="preserve">by analyzing the nanoSIMS data with </w:t>
            </w:r>
            <w:r w:rsidR="002C1C81">
              <w:t xml:space="preserve">programs such as </w:t>
            </w:r>
            <w:r w:rsidRPr="001160FC">
              <w:t>Look@NanoSIMS.</w:t>
            </w:r>
          </w:p>
        </w:tc>
      </w:tr>
      <w:tr w:rsidR="006C0D47" w:rsidRPr="001160FC" w14:paraId="4AF10F38" w14:textId="77777777" w:rsidTr="00782927">
        <w:tc>
          <w:tcPr>
            <w:tcW w:w="1260" w:type="dxa"/>
          </w:tcPr>
          <w:p w14:paraId="7859D683" w14:textId="77777777" w:rsidR="006C0D47" w:rsidRPr="001160FC" w:rsidRDefault="006C0D47" w:rsidP="00782927">
            <w:pPr>
              <w:spacing w:before="60" w:after="60"/>
              <w:rPr>
                <w:i/>
                <w:iCs/>
              </w:rPr>
            </w:pPr>
            <w:r w:rsidRPr="001160FC">
              <w:rPr>
                <w:b/>
                <w:bCs/>
                <w:i/>
                <w:iCs/>
              </w:rPr>
              <w:t>xSeff</w:t>
            </w:r>
          </w:p>
        </w:tc>
        <w:tc>
          <w:tcPr>
            <w:tcW w:w="8512" w:type="dxa"/>
          </w:tcPr>
          <w:p w14:paraId="298769C2" w14:textId="77777777" w:rsidR="006C0D47" w:rsidRPr="001160FC" w:rsidRDefault="006C0D47" w:rsidP="00782927">
            <w:pPr>
              <w:spacing w:before="60" w:after="60"/>
              <w:ind w:firstLine="0"/>
            </w:pPr>
            <w:r w:rsidRPr="001160FC">
              <w:rPr>
                <w:vertAlign w:val="superscript"/>
              </w:rPr>
              <w:t>13</w:t>
            </w:r>
            <w:r w:rsidRPr="001160FC">
              <w:t xml:space="preserve">C atom fraction of the </w:t>
            </w:r>
            <w:r w:rsidRPr="001160FC">
              <w:rPr>
                <w:b/>
                <w:bCs/>
              </w:rPr>
              <w:t>effective</w:t>
            </w:r>
            <w:r w:rsidRPr="001160FC">
              <w:t xml:space="preserve"> </w:t>
            </w:r>
            <w:r w:rsidRPr="001160FC">
              <w:rPr>
                <w:b/>
                <w:bCs/>
              </w:rPr>
              <w:t>C</w:t>
            </w:r>
            <w:r w:rsidRPr="001160FC">
              <w:t xml:space="preserve"> </w:t>
            </w:r>
            <w:r w:rsidRPr="001160FC">
              <w:rPr>
                <w:b/>
                <w:bCs/>
              </w:rPr>
              <w:t>source</w:t>
            </w:r>
            <w:r w:rsidRPr="001160FC">
              <w:t xml:space="preserve">, </w:t>
            </w:r>
            <w:r w:rsidRPr="001160FC">
              <w:rPr>
                <w:i/>
                <w:iCs/>
              </w:rPr>
              <w:t>x</w:t>
            </w:r>
            <w:r w:rsidRPr="001160FC">
              <w:rPr>
                <w:i/>
                <w:iCs/>
                <w:vertAlign w:val="subscript"/>
              </w:rPr>
              <w:t>S,eff</w:t>
            </w:r>
            <w:r w:rsidRPr="001160FC">
              <w:t xml:space="preserve"> (see Eq. </w:t>
            </w:r>
            <w:r w:rsidRPr="002B7FA5">
              <w:rPr>
                <w:b/>
                <w:bCs/>
              </w:rPr>
              <w:t>6</w:t>
            </w:r>
            <w:r w:rsidRPr="001160FC">
              <w:t xml:space="preserve">). Ideally obtained from a direct measurement. Alternatively, the value can be calculated from the known concentration of substrate in the medium and the known concentration and amount of added </w:t>
            </w:r>
            <w:r w:rsidRPr="001160FC">
              <w:rPr>
                <w:vertAlign w:val="superscript"/>
              </w:rPr>
              <w:t>13</w:t>
            </w:r>
            <w:r w:rsidRPr="001160FC">
              <w:t>C-labelled substrate.</w:t>
            </w:r>
          </w:p>
        </w:tc>
      </w:tr>
      <w:tr w:rsidR="006C0D47" w:rsidRPr="001160FC" w14:paraId="57D41481" w14:textId="77777777" w:rsidTr="00782927">
        <w:tc>
          <w:tcPr>
            <w:tcW w:w="1260" w:type="dxa"/>
          </w:tcPr>
          <w:p w14:paraId="1CE1A5B9" w14:textId="77777777" w:rsidR="006C0D47" w:rsidRPr="001160FC" w:rsidRDefault="006C0D47" w:rsidP="00782927">
            <w:pPr>
              <w:spacing w:before="60" w:after="60"/>
              <w:rPr>
                <w:b/>
                <w:bCs/>
                <w:i/>
                <w:iCs/>
              </w:rPr>
            </w:pPr>
            <w:r w:rsidRPr="001160FC">
              <w:rPr>
                <w:b/>
                <w:bCs/>
                <w:i/>
                <w:iCs/>
              </w:rPr>
              <w:t>x_ini</w:t>
            </w:r>
          </w:p>
        </w:tc>
        <w:tc>
          <w:tcPr>
            <w:tcW w:w="8512" w:type="dxa"/>
          </w:tcPr>
          <w:p w14:paraId="179F5D89" w14:textId="77777777" w:rsidR="006C0D47" w:rsidRPr="001160FC" w:rsidRDefault="006C0D47" w:rsidP="00782927">
            <w:pPr>
              <w:spacing w:before="60" w:after="60"/>
              <w:ind w:firstLine="0"/>
              <w:rPr>
                <w:vertAlign w:val="superscript"/>
              </w:rPr>
            </w:pPr>
            <w:r w:rsidRPr="001160FC">
              <w:rPr>
                <w:b/>
                <w:bCs/>
              </w:rPr>
              <w:t xml:space="preserve">Initial </w:t>
            </w:r>
            <w:r w:rsidRPr="001160FC">
              <w:rPr>
                <w:b/>
                <w:bCs/>
                <w:vertAlign w:val="superscript"/>
              </w:rPr>
              <w:t>13</w:t>
            </w:r>
            <w:r w:rsidRPr="001160FC">
              <w:rPr>
                <w:b/>
                <w:bCs/>
              </w:rPr>
              <w:t>C atom fraction</w:t>
            </w:r>
            <w:r w:rsidRPr="001160FC">
              <w:t xml:space="preserve"> of the cell, </w:t>
            </w:r>
            <w:r w:rsidRPr="001160FC">
              <w:rPr>
                <w:i/>
                <w:iCs/>
              </w:rPr>
              <w:t>x</w:t>
            </w:r>
            <w:r w:rsidRPr="001160FC">
              <w:rPr>
                <w:i/>
                <w:iCs/>
                <w:vertAlign w:val="subscript"/>
              </w:rPr>
              <w:t>i</w:t>
            </w:r>
            <w:r w:rsidRPr="001160FC">
              <w:t xml:space="preserve">. Ideally determined from the measurement of control cells. If not available, the value corresponding to the natural </w:t>
            </w:r>
            <w:r w:rsidRPr="001160FC">
              <w:rPr>
                <w:vertAlign w:val="superscript"/>
              </w:rPr>
              <w:t>13</w:t>
            </w:r>
            <w:r w:rsidRPr="001160FC">
              <w:t>C abundance (</w:t>
            </w:r>
            <w:r w:rsidRPr="001160FC">
              <w:rPr>
                <w:i/>
                <w:iCs/>
              </w:rPr>
              <w:t>x</w:t>
            </w:r>
            <w:r w:rsidRPr="001160FC">
              <w:rPr>
                <w:i/>
                <w:iCs/>
                <w:vertAlign w:val="subscript"/>
              </w:rPr>
              <w:t>i</w:t>
            </w:r>
            <w:r w:rsidRPr="001160FC">
              <w:t xml:space="preserve"> </w:t>
            </w:r>
            <w:r w:rsidRPr="001160FC">
              <w:rPr>
                <w:rFonts w:cs="Times New Roman"/>
              </w:rPr>
              <w:t>≈</w:t>
            </w:r>
            <w:r w:rsidRPr="001160FC">
              <w:t xml:space="preserve"> 0.011) can be used.</w:t>
            </w:r>
          </w:p>
        </w:tc>
      </w:tr>
      <w:tr w:rsidR="006C0D47" w:rsidRPr="001160FC" w14:paraId="703F84FA" w14:textId="77777777" w:rsidTr="00782927">
        <w:tc>
          <w:tcPr>
            <w:tcW w:w="1260" w:type="dxa"/>
          </w:tcPr>
          <w:p w14:paraId="7E237A7E" w14:textId="77777777" w:rsidR="006C0D47" w:rsidRPr="001160FC" w:rsidRDefault="006C0D47" w:rsidP="00782927">
            <w:pPr>
              <w:spacing w:before="60" w:after="60"/>
              <w:rPr>
                <w:b/>
                <w:bCs/>
                <w:i/>
                <w:iCs/>
              </w:rPr>
            </w:pPr>
            <w:r w:rsidRPr="001160FC">
              <w:rPr>
                <w:b/>
                <w:bCs/>
                <w:i/>
                <w:iCs/>
              </w:rPr>
              <w:t>rho</w:t>
            </w:r>
          </w:p>
        </w:tc>
        <w:tc>
          <w:tcPr>
            <w:tcW w:w="8512" w:type="dxa"/>
          </w:tcPr>
          <w:p w14:paraId="321F279D" w14:textId="65F8B0D9" w:rsidR="006C0D47" w:rsidRPr="001160FC" w:rsidRDefault="006C0D47" w:rsidP="00782927">
            <w:pPr>
              <w:spacing w:before="60" w:after="60"/>
              <w:ind w:firstLine="0"/>
            </w:pPr>
            <w:r w:rsidRPr="001160FC">
              <w:rPr>
                <w:b/>
                <w:bCs/>
              </w:rPr>
              <w:t>Carbon</w:t>
            </w:r>
            <w:r w:rsidRPr="001160FC">
              <w:t xml:space="preserve"> </w:t>
            </w:r>
            <w:r w:rsidRPr="001160FC">
              <w:rPr>
                <w:b/>
                <w:bCs/>
              </w:rPr>
              <w:t>density</w:t>
            </w:r>
            <w:r w:rsidRPr="001160FC">
              <w:t xml:space="preserve"> of the cell from the same species as the measured cell. A value reflecting the </w:t>
            </w:r>
            <w:r w:rsidRPr="004A38FD">
              <w:t>average</w:t>
            </w:r>
            <w:r w:rsidRPr="001160FC">
              <w:t xml:space="preserve"> C content per </w:t>
            </w:r>
            <w:r w:rsidRPr="001160FC">
              <w:rPr>
                <w:rFonts w:cstheme="minorHAnsi"/>
              </w:rPr>
              <w:t>μ</w:t>
            </w:r>
            <w:r w:rsidRPr="001160FC">
              <w:t>m</w:t>
            </w:r>
            <w:r w:rsidRPr="001160FC">
              <w:rPr>
                <w:vertAlign w:val="superscript"/>
              </w:rPr>
              <w:t>3</w:t>
            </w:r>
            <w:r w:rsidRPr="001160FC">
              <w:t xml:space="preserve"> of the cell</w:t>
            </w:r>
            <w:r w:rsidR="004A38FD">
              <w:t>,</w:t>
            </w:r>
            <w:r w:rsidRPr="001160FC">
              <w:t xml:space="preserve"> 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 w:rsidRPr="001160FC">
              <w:t xml:space="preserve"> </w:t>
            </w:r>
            <w:r w:rsidR="004A38FD">
              <w:t>(</w:t>
            </w:r>
            <w:r w:rsidRPr="001160FC">
              <w:t xml:space="preserve">in fmol C </w:t>
            </w:r>
            <w:r w:rsidRPr="001160FC">
              <w:rPr>
                <w:rFonts w:cstheme="minorHAnsi"/>
              </w:rPr>
              <w:t>μ</w:t>
            </w:r>
            <w:r w:rsidRPr="001160FC">
              <w:t>m</w:t>
            </w:r>
            <w:r w:rsidRPr="001160FC">
              <w:rPr>
                <w:vertAlign w:val="superscript"/>
              </w:rPr>
              <w:t>-3</w:t>
            </w:r>
            <w:r w:rsidRPr="001160FC">
              <w:t>).</w:t>
            </w:r>
          </w:p>
        </w:tc>
      </w:tr>
      <w:tr w:rsidR="006C0D47" w:rsidRPr="001160FC" w14:paraId="46EAE410" w14:textId="77777777" w:rsidTr="00782927">
        <w:tc>
          <w:tcPr>
            <w:tcW w:w="1260" w:type="dxa"/>
          </w:tcPr>
          <w:p w14:paraId="4FDD6DF2" w14:textId="77777777" w:rsidR="006C0D47" w:rsidRPr="001160FC" w:rsidRDefault="006C0D47" w:rsidP="00782927">
            <w:pPr>
              <w:spacing w:before="60" w:after="60"/>
              <w:rPr>
                <w:b/>
                <w:bCs/>
                <w:i/>
                <w:iCs/>
              </w:rPr>
            </w:pPr>
            <w:r w:rsidRPr="001160FC">
              <w:rPr>
                <w:b/>
                <w:bCs/>
                <w:i/>
                <w:iCs/>
              </w:rPr>
              <w:t>avgVcell</w:t>
            </w:r>
          </w:p>
        </w:tc>
        <w:tc>
          <w:tcPr>
            <w:tcW w:w="8512" w:type="dxa"/>
          </w:tcPr>
          <w:p w14:paraId="7CCFB1F4" w14:textId="516AA174" w:rsidR="006C0D47" w:rsidRPr="001160FC" w:rsidRDefault="006C0D47" w:rsidP="00782927">
            <w:pPr>
              <w:spacing w:before="60" w:after="60"/>
              <w:ind w:firstLine="0"/>
            </w:pPr>
            <w:r w:rsidRPr="001160FC">
              <w:rPr>
                <w:b/>
                <w:bCs/>
              </w:rPr>
              <w:t>Average</w:t>
            </w:r>
            <w:r w:rsidRPr="001160FC">
              <w:t xml:space="preserve"> </w:t>
            </w:r>
            <w:r w:rsidRPr="001160FC">
              <w:rPr>
                <w:b/>
                <w:bCs/>
              </w:rPr>
              <w:t>biovolume</w:t>
            </w:r>
            <w:r w:rsidRPr="001160FC">
              <w:t xml:space="preserve"> of the cell from the same species as the measured cell,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Pr="001160FC">
              <w:rPr>
                <w:rFonts w:eastAsiaTheme="minorEastAsia"/>
              </w:rPr>
              <w:t xml:space="preserve"> (</w:t>
            </w:r>
            <w:r w:rsidRPr="001160FC">
              <w:t xml:space="preserve">in </w:t>
            </w:r>
            <w:r w:rsidRPr="001160FC">
              <w:rPr>
                <w:rFonts w:cstheme="minorHAnsi"/>
              </w:rPr>
              <w:t>μ</w:t>
            </w:r>
            <w:r w:rsidRPr="001160FC">
              <w:t>m</w:t>
            </w:r>
            <w:r w:rsidRPr="001160FC">
              <w:rPr>
                <w:vertAlign w:val="superscript"/>
              </w:rPr>
              <w:t>3</w:t>
            </w:r>
            <w:r w:rsidRPr="001160FC">
              <w:t xml:space="preserve">). </w:t>
            </w:r>
            <w:r w:rsidR="009179B2">
              <w:t>This value is required for calculating the rate according to Approach A and C.</w:t>
            </w:r>
            <w:r w:rsidR="009179B2">
              <w:t xml:space="preserve"> V</w:t>
            </w:r>
            <w:r w:rsidRPr="001160FC">
              <w:t xml:space="preserve">alues of 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 w:rsidRPr="001160FC">
              <w:t xml:space="preserve"> and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Pr="001160FC">
              <w:rPr>
                <w:rFonts w:eastAsiaTheme="minorEastAsia"/>
              </w:rPr>
              <w:t xml:space="preserve"> </w:t>
            </w:r>
            <w:r w:rsidRPr="001160FC">
              <w:t xml:space="preserve">are used to calculate the average C content of the cell as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⟨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⟩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Pr="001160FC">
              <w:t xml:space="preserve">. Note that calculated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⟨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⟩ </m:t>
              </m:r>
            </m:oMath>
            <w:r w:rsidRPr="001160FC">
              <w:t xml:space="preserve">must represent the C content of the cell </w:t>
            </w:r>
            <w:r w:rsidRPr="002B7FA5">
              <w:t>averaged</w:t>
            </w:r>
            <w:r w:rsidRPr="001160FC">
              <w:rPr>
                <w:i/>
                <w:iCs/>
              </w:rPr>
              <w:t xml:space="preserve"> </w:t>
            </w:r>
            <w:r w:rsidR="002B7FA5" w:rsidRPr="002B7FA5">
              <w:t>across</w:t>
            </w:r>
            <w:r w:rsidRPr="001160FC">
              <w:rPr>
                <w:i/>
                <w:iCs/>
              </w:rPr>
              <w:t xml:space="preserve"> </w:t>
            </w:r>
            <w:r w:rsidRPr="002B7FA5">
              <w:t>the</w:t>
            </w:r>
            <w:r w:rsidRPr="001160FC">
              <w:rPr>
                <w:i/>
                <w:iCs/>
              </w:rPr>
              <w:t xml:space="preserve"> entire </w:t>
            </w:r>
            <w:r w:rsidRPr="002B7FA5">
              <w:t>cell</w:t>
            </w:r>
            <w:r w:rsidRPr="001160FC">
              <w:rPr>
                <w:i/>
                <w:iCs/>
              </w:rPr>
              <w:t xml:space="preserve"> </w:t>
            </w:r>
            <w:r w:rsidRPr="002B7FA5">
              <w:t>cycle</w:t>
            </w:r>
            <w:r w:rsidRPr="001160FC">
              <w:t xml:space="preserve">. See </w:t>
            </w:r>
            <w:r w:rsidRPr="001160FC">
              <w:rPr>
                <w:b/>
                <w:bCs/>
              </w:rPr>
              <w:t>Supplementary Methods, Section 1.3</w:t>
            </w:r>
            <w:r w:rsidRPr="001160FC">
              <w:t>, for more details.</w:t>
            </w:r>
            <w:r w:rsidR="009179B2">
              <w:t xml:space="preserve"> </w:t>
            </w:r>
          </w:p>
        </w:tc>
      </w:tr>
      <w:tr w:rsidR="006C0D47" w:rsidRPr="001160FC" w14:paraId="1D67256F" w14:textId="77777777" w:rsidTr="00782927">
        <w:tc>
          <w:tcPr>
            <w:tcW w:w="1260" w:type="dxa"/>
          </w:tcPr>
          <w:p w14:paraId="3C3C0E8F" w14:textId="77777777" w:rsidR="006C0D47" w:rsidRPr="001160FC" w:rsidRDefault="006C0D47" w:rsidP="00782927">
            <w:pPr>
              <w:spacing w:before="60" w:after="60"/>
              <w:rPr>
                <w:b/>
                <w:bCs/>
                <w:i/>
                <w:iCs/>
              </w:rPr>
            </w:pPr>
            <w:r w:rsidRPr="001160FC">
              <w:rPr>
                <w:b/>
                <w:bCs/>
                <w:i/>
                <w:iCs/>
              </w:rPr>
              <w:t>Vcell</w:t>
            </w:r>
          </w:p>
        </w:tc>
        <w:tc>
          <w:tcPr>
            <w:tcW w:w="8512" w:type="dxa"/>
          </w:tcPr>
          <w:p w14:paraId="67074822" w14:textId="4C192F5D" w:rsidR="006C0D47" w:rsidRPr="001160FC" w:rsidRDefault="006C0D47" w:rsidP="00782927">
            <w:pPr>
              <w:spacing w:before="60" w:after="60"/>
              <w:ind w:firstLine="0"/>
            </w:pPr>
            <w:r w:rsidRPr="009179B2">
              <w:rPr>
                <w:b/>
                <w:bCs/>
              </w:rPr>
              <w:t>Biovolume</w:t>
            </w:r>
            <w:r w:rsidRPr="001160FC">
              <w:t xml:space="preserve"> of the </w:t>
            </w:r>
            <w:r w:rsidRPr="001160FC">
              <w:rPr>
                <w:b/>
                <w:bCs/>
              </w:rPr>
              <w:t>measured</w:t>
            </w:r>
            <w:r w:rsidRPr="001160FC">
              <w:t xml:space="preserve"> cell, </w:t>
            </w:r>
            <w:r w:rsidRPr="001160FC">
              <w:rPr>
                <w:i/>
                <w:iCs/>
              </w:rPr>
              <w:t>V</w:t>
            </w:r>
            <w:r w:rsidRPr="001160FC">
              <w:t xml:space="preserve"> (in </w:t>
            </w:r>
            <w:r w:rsidRPr="001160FC">
              <w:rPr>
                <w:rFonts w:cstheme="minorHAnsi"/>
              </w:rPr>
              <w:t>μ</w:t>
            </w:r>
            <w:r w:rsidRPr="001160FC">
              <w:t>m</w:t>
            </w:r>
            <w:r w:rsidRPr="001160FC">
              <w:rPr>
                <w:vertAlign w:val="superscript"/>
              </w:rPr>
              <w:t>3</w:t>
            </w:r>
            <w:r w:rsidRPr="001160FC">
              <w:t xml:space="preserve">). This value is </w:t>
            </w:r>
            <w:r w:rsidR="009179B2">
              <w:t xml:space="preserve">required for calculating the rate according to </w:t>
            </w:r>
            <w:r w:rsidRPr="001160FC">
              <w:t>Approach B</w:t>
            </w:r>
            <w:r w:rsidR="009179B2">
              <w:t xml:space="preserve"> and C. </w:t>
            </w:r>
            <w:r w:rsidRPr="001160FC">
              <w:rPr>
                <w:i/>
                <w:iCs/>
              </w:rPr>
              <w:t>V</w:t>
            </w:r>
            <w:r w:rsidRPr="001160FC">
              <w:t xml:space="preserve"> </w:t>
            </w:r>
            <w:r w:rsidR="009179B2">
              <w:t>can be estimated</w:t>
            </w:r>
            <w:r w:rsidRPr="001160FC">
              <w:t xml:space="preserve"> from the </w:t>
            </w:r>
            <w:r w:rsidR="009179B2">
              <w:t>dimensions</w:t>
            </w:r>
            <w:r w:rsidRPr="001160FC">
              <w:t xml:space="preserve"> of the cell determined from the same nanoSIMS image as </w:t>
            </w:r>
            <w:r w:rsidRPr="001160FC">
              <w:rPr>
                <w:i/>
                <w:iCs/>
              </w:rPr>
              <w:t>x</w:t>
            </w:r>
            <w:r w:rsidRPr="001160FC">
              <w:t xml:space="preserve">. </w:t>
            </w:r>
            <w:r w:rsidR="003304F9">
              <w:t>V</w:t>
            </w:r>
            <w:r w:rsidR="003304F9" w:rsidRPr="001160FC">
              <w:t xml:space="preserve">alues of 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 w:rsidR="003304F9" w:rsidRPr="001160FC">
              <w:t xml:space="preserve"> and </w:t>
            </w:r>
            <w:r w:rsidR="003304F9">
              <w:rPr>
                <w:i/>
                <w:iCs/>
              </w:rPr>
              <w:t>V</w:t>
            </w:r>
            <w:r w:rsidR="003304F9" w:rsidRPr="001160FC">
              <w:rPr>
                <w:rFonts w:eastAsiaTheme="minorEastAsia"/>
              </w:rPr>
              <w:t xml:space="preserve"> </w:t>
            </w:r>
            <w:r w:rsidR="003304F9" w:rsidRPr="001160FC">
              <w:t xml:space="preserve">are used to calculate the C content of the cell </w:t>
            </w:r>
            <w:r w:rsidR="003304F9">
              <w:t xml:space="preserve">at the end of the SIP incubation, </w:t>
            </w:r>
            <m:oMath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V</m:t>
              </m:r>
            </m:oMath>
            <w:r w:rsidR="003304F9">
              <w:rPr>
                <w:rFonts w:eastAsiaTheme="minorEastAsia"/>
              </w:rPr>
              <w:t xml:space="preserve"> (in fmol C cell</w:t>
            </w:r>
            <w:r w:rsidR="003304F9">
              <w:rPr>
                <w:rFonts w:eastAsiaTheme="minorEastAsia"/>
                <w:vertAlign w:val="superscript"/>
              </w:rPr>
              <w:t>-1</w:t>
            </w:r>
            <w:r w:rsidR="003304F9">
              <w:rPr>
                <w:rFonts w:eastAsiaTheme="minorEastAsia"/>
              </w:rPr>
              <w:t>).</w:t>
            </w:r>
            <w:r w:rsidR="004F29AD">
              <w:rPr>
                <w:rFonts w:eastAsiaTheme="minorEastAsia"/>
              </w:rPr>
              <w:t xml:space="preserve"> Values of</w:t>
            </w:r>
            <w:r w:rsidR="003304F9">
              <w:rPr>
                <w:rFonts w:eastAsiaTheme="minorEastAsia"/>
              </w:rPr>
              <w:t xml:space="preserve"> </w:t>
            </w:r>
            <w:r w:rsidR="003304F9">
              <w:rPr>
                <w:rFonts w:eastAsiaTheme="minorEastAsia"/>
                <w:i/>
                <w:iCs/>
              </w:rPr>
              <w:t>C</w:t>
            </w:r>
            <w:r w:rsidR="003304F9">
              <w:rPr>
                <w:rFonts w:eastAsiaTheme="minorEastAsia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⟨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⟩</m:t>
              </m:r>
            </m:oMath>
            <w:r w:rsidR="003304F9">
              <w:rPr>
                <w:rFonts w:eastAsiaTheme="minorEastAsia"/>
              </w:rPr>
              <w:t xml:space="preserve"> </w:t>
            </w:r>
            <w:r w:rsidR="004F29AD">
              <w:rPr>
                <w:rFonts w:eastAsiaTheme="minorEastAsia"/>
              </w:rPr>
              <w:t xml:space="preserve">are </w:t>
            </w:r>
            <w:r w:rsidR="004F29AD">
              <w:rPr>
                <w:rFonts w:eastAsiaTheme="minorEastAsia"/>
              </w:rPr>
              <w:lastRenderedPageBreak/>
              <w:t xml:space="preserve">combined to calculate the </w:t>
            </w:r>
            <w:r w:rsidR="003304F9">
              <w:rPr>
                <w:rFonts w:eastAsiaTheme="minorEastAsia"/>
              </w:rPr>
              <w:t>cell cycle stage of the cell</w:t>
            </w:r>
            <w:r w:rsidR="004F29AD">
              <w:rPr>
                <w:rFonts w:eastAsiaTheme="minorEastAsia"/>
              </w:rPr>
              <w:t xml:space="preserve">, </w:t>
            </w:r>
            <w:r w:rsidR="003304F9" w:rsidRPr="001160FC">
              <w:rPr>
                <w:i/>
                <w:iCs/>
              </w:rPr>
              <w:t>s</w:t>
            </w:r>
            <w:r w:rsidR="003304F9" w:rsidRPr="001160FC">
              <w:t xml:space="preserve"> = </w:t>
            </w:r>
            <w:r w:rsidR="003304F9" w:rsidRPr="003304F9">
              <w:rPr>
                <w:i/>
                <w:iCs/>
              </w:rPr>
              <w:t>C</w:t>
            </w:r>
            <w:r w:rsidR="003304F9" w:rsidRPr="001160FC">
              <w:t>/(</w:t>
            </w:r>
            <w:r w:rsidR="003304F9" w:rsidRPr="003304F9">
              <w:rPr>
                <w:i/>
                <w:iCs/>
              </w:rPr>
              <w:t>C</w:t>
            </w:r>
            <w:r w:rsidR="003304F9" w:rsidRPr="001160FC">
              <w:rPr>
                <w:i/>
                <w:iCs/>
                <w:vertAlign w:val="subscript"/>
              </w:rPr>
              <w:t>max</w:t>
            </w:r>
            <w:r w:rsidR="003304F9" w:rsidRPr="001160FC">
              <w:t>/2) – 1</w:t>
            </w:r>
            <w:r w:rsidR="003304F9"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2∙ln(2)</m:t>
              </m:r>
            </m:oMath>
            <w:r w:rsidR="003304F9" w:rsidRPr="001160FC">
              <w:t xml:space="preserve"> </w:t>
            </w:r>
            <w:r w:rsidR="004F29AD">
              <w:t xml:space="preserve">(Eq. </w:t>
            </w:r>
            <w:r w:rsidR="004F29AD" w:rsidRPr="004F29AD">
              <w:rPr>
                <w:b/>
                <w:bCs/>
              </w:rPr>
              <w:t>17</w:t>
            </w:r>
            <w:r w:rsidR="004F29AD">
              <w:t xml:space="preserve">). </w:t>
            </w:r>
            <w:r w:rsidRPr="001160FC">
              <w:t xml:space="preserve">Note that </w:t>
            </w:r>
            <w:r w:rsidR="003304F9">
              <w:t xml:space="preserve">calculated </w:t>
            </w:r>
            <w:r w:rsidR="003304F9">
              <w:rPr>
                <w:i/>
                <w:iCs/>
              </w:rPr>
              <w:t xml:space="preserve">s </w:t>
            </w:r>
            <w:r w:rsidRPr="001160FC">
              <w:t xml:space="preserve">must be </w:t>
            </w:r>
            <w:r w:rsidR="003304F9" w:rsidRPr="001160FC">
              <w:t xml:space="preserve">between 0 </w:t>
            </w:r>
            <w:r w:rsidR="003304F9">
              <w:t xml:space="preserve">(beginning of the cell cycle, i.e., cell just after division) </w:t>
            </w:r>
            <w:r w:rsidR="003304F9" w:rsidRPr="001160FC">
              <w:t>and 1</w:t>
            </w:r>
            <w:r w:rsidR="003304F9">
              <w:t xml:space="preserve"> (end of the cell cycle, i.e., cell just before division). </w:t>
            </w:r>
            <w:r w:rsidRPr="001160FC">
              <w:t xml:space="preserve">If the entered combination of values of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Pr="001160FC">
              <w:t xml:space="preserve"> and </w:t>
            </w:r>
            <w:r w:rsidRPr="001160FC">
              <w:rPr>
                <w:i/>
                <w:iCs/>
              </w:rPr>
              <w:t>V</w:t>
            </w:r>
            <w:r w:rsidRPr="001160FC">
              <w:t xml:space="preserve"> yields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&lt;0</m:t>
              </m:r>
            </m:oMath>
            <w:r w:rsidRPr="001160FC">
              <w:t xml:space="preserve"> or </w:t>
            </w:r>
            <m:oMath>
              <m:r>
                <w:rPr>
                  <w:rFonts w:ascii="Cambria Math" w:hAnsi="Cambria Math"/>
                </w:rPr>
                <m:t>s&gt;1</m:t>
              </m:r>
            </m:oMath>
            <w:r w:rsidRPr="001160FC">
              <w:t xml:space="preserve">, the function will change </w:t>
            </w:r>
            <w:r w:rsidRPr="001160FC">
              <w:rPr>
                <w:i/>
                <w:iCs/>
              </w:rPr>
              <w:t>V</w:t>
            </w:r>
            <w:r w:rsidRPr="001160FC">
              <w:t xml:space="preserve"> to the value of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="004F29AD">
              <w:rPr>
                <w:rFonts w:eastAsiaTheme="minorEastAsia"/>
              </w:rPr>
              <w:t xml:space="preserve"> by default</w:t>
            </w:r>
            <w:r w:rsidRPr="001160FC">
              <w:t>.</w:t>
            </w:r>
          </w:p>
        </w:tc>
      </w:tr>
      <w:tr w:rsidR="006C0D47" w:rsidRPr="001160FC" w14:paraId="46C104F9" w14:textId="77777777" w:rsidTr="00782927">
        <w:tc>
          <w:tcPr>
            <w:tcW w:w="1260" w:type="dxa"/>
          </w:tcPr>
          <w:p w14:paraId="1913C814" w14:textId="77777777" w:rsidR="006C0D47" w:rsidRPr="001160FC" w:rsidRDefault="006C0D47" w:rsidP="00782927">
            <w:pPr>
              <w:spacing w:before="60" w:after="60"/>
              <w:rPr>
                <w:b/>
                <w:bCs/>
                <w:i/>
                <w:iCs/>
              </w:rPr>
            </w:pPr>
            <w:r w:rsidRPr="001160FC">
              <w:rPr>
                <w:b/>
                <w:bCs/>
                <w:i/>
                <w:iCs/>
              </w:rPr>
              <w:lastRenderedPageBreak/>
              <w:t>dVcell</w:t>
            </w:r>
          </w:p>
        </w:tc>
        <w:tc>
          <w:tcPr>
            <w:tcW w:w="8512" w:type="dxa"/>
          </w:tcPr>
          <w:p w14:paraId="26EF55F3" w14:textId="25F33A3F" w:rsidR="006C0D47" w:rsidRPr="001160FC" w:rsidRDefault="006C0D47" w:rsidP="00782927">
            <w:pPr>
              <w:spacing w:before="60" w:after="60"/>
              <w:ind w:firstLine="0"/>
            </w:pPr>
            <w:r w:rsidRPr="001160FC">
              <w:rPr>
                <w:b/>
                <w:bCs/>
              </w:rPr>
              <w:t>Error</w:t>
            </w:r>
            <w:r w:rsidRPr="001160FC">
              <w:t xml:space="preserve"> (uncertainty) of the measured cell’s biovolume, </w:t>
            </w:r>
            <w:r w:rsidRPr="001160FC">
              <w:rPr>
                <w:rFonts w:cstheme="minorHAnsi"/>
              </w:rPr>
              <w:t>Δ</w:t>
            </w:r>
            <w:r w:rsidRPr="001160FC">
              <w:rPr>
                <w:rFonts w:cstheme="minorHAnsi"/>
                <w:i/>
                <w:iCs/>
              </w:rPr>
              <w:t>V</w:t>
            </w:r>
            <w:r w:rsidRPr="001160FC">
              <w:t xml:space="preserve"> (in </w:t>
            </w:r>
            <w:r w:rsidRPr="001160FC">
              <w:rPr>
                <w:rFonts w:cstheme="minorHAnsi"/>
              </w:rPr>
              <w:t>μ</w:t>
            </w:r>
            <w:r w:rsidRPr="001160FC">
              <w:t>m</w:t>
            </w:r>
            <w:r w:rsidRPr="001160FC">
              <w:rPr>
                <w:vertAlign w:val="superscript"/>
              </w:rPr>
              <w:t>3</w:t>
            </w:r>
            <w:r w:rsidRPr="001160FC">
              <w:t xml:space="preserve">). </w:t>
            </w:r>
            <w:r w:rsidR="00517309" w:rsidRPr="001160FC">
              <w:t xml:space="preserve">This value is </w:t>
            </w:r>
            <w:r w:rsidR="00517309">
              <w:t xml:space="preserve">required for calculating the rate according to </w:t>
            </w:r>
            <w:r w:rsidR="00517309" w:rsidRPr="001160FC">
              <w:t>Approach B</w:t>
            </w:r>
            <w:r w:rsidR="00517309">
              <w:t xml:space="preserve"> and C. </w:t>
            </w:r>
            <w:r w:rsidR="00517309" w:rsidRPr="001160FC">
              <w:rPr>
                <w:rFonts w:cstheme="minorHAnsi"/>
              </w:rPr>
              <w:t>Δ</w:t>
            </w:r>
            <w:r w:rsidR="00517309" w:rsidRPr="001160FC">
              <w:rPr>
                <w:i/>
                <w:iCs/>
              </w:rPr>
              <w:t>V</w:t>
            </w:r>
            <w:r w:rsidR="00517309" w:rsidRPr="001160FC">
              <w:t xml:space="preserve"> </w:t>
            </w:r>
            <w:r w:rsidR="00517309">
              <w:t>can be estimated</w:t>
            </w:r>
            <w:r w:rsidR="00517309" w:rsidRPr="001160FC">
              <w:t xml:space="preserve"> from the </w:t>
            </w:r>
            <w:r w:rsidR="00517309">
              <w:t>dimensions</w:t>
            </w:r>
            <w:r w:rsidR="00517309" w:rsidRPr="001160FC">
              <w:t xml:space="preserve"> of the cell determined from the same nanoSIMS image as </w:t>
            </w:r>
            <w:r w:rsidR="00517309" w:rsidRPr="001160FC">
              <w:rPr>
                <w:i/>
                <w:iCs/>
              </w:rPr>
              <w:t>x</w:t>
            </w:r>
            <w:r w:rsidR="00517309" w:rsidRPr="001160FC">
              <w:t>.</w:t>
            </w:r>
            <w:r w:rsidR="00517309">
              <w:t xml:space="preserve"> </w:t>
            </w:r>
            <w:r w:rsidR="00517309">
              <w:t>V</w:t>
            </w:r>
            <w:r w:rsidR="00517309" w:rsidRPr="001160FC">
              <w:t xml:space="preserve">alues of 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 w:rsidR="00517309" w:rsidRPr="001160FC">
              <w:t xml:space="preserve"> and </w:t>
            </w:r>
            <w:r w:rsidR="00517309" w:rsidRPr="001160FC">
              <w:rPr>
                <w:rFonts w:cstheme="minorHAnsi"/>
              </w:rPr>
              <w:t>Δ</w:t>
            </w:r>
            <w:r w:rsidR="00517309">
              <w:rPr>
                <w:i/>
                <w:iCs/>
              </w:rPr>
              <w:t>V</w:t>
            </w:r>
            <w:r w:rsidR="00517309" w:rsidRPr="001160FC">
              <w:rPr>
                <w:rFonts w:eastAsiaTheme="minorEastAsia"/>
              </w:rPr>
              <w:t xml:space="preserve"> </w:t>
            </w:r>
            <w:r w:rsidR="00517309" w:rsidRPr="001160FC">
              <w:t>are used to calculate</w:t>
            </w:r>
            <w:r w:rsidR="00517309">
              <w:t xml:space="preserve"> the uncertainty of the</w:t>
            </w:r>
            <w:r w:rsidR="00517309" w:rsidRPr="001160FC">
              <w:t xml:space="preserve"> </w:t>
            </w:r>
            <w:r w:rsidR="004F29AD">
              <w:t xml:space="preserve">cell’s </w:t>
            </w:r>
            <w:r w:rsidR="00517309" w:rsidRPr="001160FC">
              <w:t>C content</w:t>
            </w:r>
            <w:r w:rsidR="00517309"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oMath>
            <w:r w:rsidR="00517309">
              <w:rPr>
                <w:rFonts w:eastAsiaTheme="minorEastAsia"/>
              </w:rPr>
              <w:t>.</w:t>
            </w:r>
            <w:r w:rsidR="00517309">
              <w:rPr>
                <w:rFonts w:eastAsiaTheme="minorEastAsia"/>
              </w:rPr>
              <w:t xml:space="preserve"> </w:t>
            </w:r>
          </w:p>
        </w:tc>
      </w:tr>
      <w:tr w:rsidR="006C0D47" w:rsidRPr="001160FC" w14:paraId="15C9FE34" w14:textId="77777777" w:rsidTr="00782927">
        <w:tc>
          <w:tcPr>
            <w:tcW w:w="1260" w:type="dxa"/>
          </w:tcPr>
          <w:p w14:paraId="75E8990C" w14:textId="77777777" w:rsidR="006C0D47" w:rsidRPr="001160FC" w:rsidRDefault="006C0D47" w:rsidP="00782927">
            <w:pPr>
              <w:spacing w:before="60" w:after="60"/>
              <w:rPr>
                <w:b/>
                <w:bCs/>
              </w:rPr>
            </w:pPr>
            <w:r w:rsidRPr="001160FC">
              <w:rPr>
                <w:b/>
                <w:bCs/>
              </w:rPr>
              <w:t>Comment</w:t>
            </w:r>
          </w:p>
        </w:tc>
        <w:tc>
          <w:tcPr>
            <w:tcW w:w="8512" w:type="dxa"/>
          </w:tcPr>
          <w:p w14:paraId="77446455" w14:textId="2BC34A8A" w:rsidR="006C0D47" w:rsidRPr="001160FC" w:rsidRDefault="006C0D47" w:rsidP="00782927">
            <w:pPr>
              <w:spacing w:before="60" w:after="60"/>
              <w:ind w:firstLine="0"/>
            </w:pPr>
            <w:r w:rsidRPr="001160FC">
              <w:t>Optional comment</w:t>
            </w:r>
            <w:r w:rsidR="004F29AD">
              <w:t>, such as name of the sample, treatment, etc.</w:t>
            </w:r>
          </w:p>
        </w:tc>
      </w:tr>
    </w:tbl>
    <w:p w14:paraId="6099125C" w14:textId="77777777" w:rsidR="000D13C3" w:rsidRDefault="002C1C81"/>
    <w:sectPr w:rsidR="000D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117"/>
    <w:multiLevelType w:val="hybridMultilevel"/>
    <w:tmpl w:val="F9C21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47"/>
    <w:rsid w:val="00135C26"/>
    <w:rsid w:val="002B7FA5"/>
    <w:rsid w:val="002C1C81"/>
    <w:rsid w:val="003304F9"/>
    <w:rsid w:val="004A38FD"/>
    <w:rsid w:val="004F29AD"/>
    <w:rsid w:val="00517309"/>
    <w:rsid w:val="005D7853"/>
    <w:rsid w:val="005F6B10"/>
    <w:rsid w:val="00686CE8"/>
    <w:rsid w:val="006C0D47"/>
    <w:rsid w:val="008C2D21"/>
    <w:rsid w:val="009179B2"/>
    <w:rsid w:val="00B62AE9"/>
    <w:rsid w:val="00BE2BE3"/>
    <w:rsid w:val="00CB4626"/>
    <w:rsid w:val="00EE4AA7"/>
    <w:rsid w:val="00F7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FC1C"/>
  <w15:chartTrackingRefBased/>
  <w15:docId w15:val="{DC77F1D1-04D7-4E19-B31E-8C3EC19A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47"/>
    <w:pPr>
      <w:spacing w:before="120" w:after="120" w:line="320" w:lineRule="atLeast"/>
      <w:ind w:firstLine="357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47"/>
    <w:pPr>
      <w:numPr>
        <w:numId w:val="1"/>
      </w:numPr>
      <w:contextualSpacing/>
    </w:pPr>
    <w:rPr>
      <w:rFonts w:eastAsia="Cambria" w:cs="Times New Roman"/>
      <w:szCs w:val="24"/>
    </w:rPr>
  </w:style>
  <w:style w:type="table" w:styleId="TableGrid">
    <w:name w:val="Table Grid"/>
    <w:basedOn w:val="TableNormal"/>
    <w:uiPriority w:val="39"/>
    <w:rsid w:val="006C0D47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6</cp:revision>
  <dcterms:created xsi:type="dcterms:W3CDTF">2021-09-19T20:27:00Z</dcterms:created>
  <dcterms:modified xsi:type="dcterms:W3CDTF">2021-09-19T21:38:00Z</dcterms:modified>
</cp:coreProperties>
</file>