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3195" w14:textId="017687FD" w:rsidR="006C0D47" w:rsidRDefault="006C0D47" w:rsidP="006C0D47">
      <w:pPr>
        <w:spacing w:before="0"/>
        <w:ind w:firstLine="0"/>
        <w:rPr>
          <w:b/>
          <w:bCs/>
        </w:rPr>
      </w:pPr>
      <w:r>
        <w:rPr>
          <w:b/>
          <w:bCs/>
        </w:rPr>
        <w:t xml:space="preserve">Formatting of the </w:t>
      </w:r>
      <w:r w:rsidR="002C669F">
        <w:rPr>
          <w:b/>
          <w:bCs/>
        </w:rPr>
        <w:t>out</w:t>
      </w:r>
      <w:r w:rsidRPr="006C0D47">
        <w:rPr>
          <w:b/>
          <w:bCs/>
        </w:rPr>
        <w:t>put data</w:t>
      </w:r>
      <w:r>
        <w:rPr>
          <w:b/>
          <w:bCs/>
        </w:rPr>
        <w:t>.</w:t>
      </w:r>
    </w:p>
    <w:p w14:paraId="1E90358A" w14:textId="089362A5" w:rsidR="006C0D47" w:rsidRPr="00F75A7A" w:rsidRDefault="006C0D47" w:rsidP="006C0D47">
      <w:pPr>
        <w:spacing w:before="0"/>
        <w:ind w:firstLine="0"/>
        <w:rPr>
          <w:b/>
          <w:bCs/>
        </w:rPr>
      </w:pPr>
      <w:proofErr w:type="spellStart"/>
      <w:r>
        <w:rPr>
          <w:b/>
          <w:bCs/>
        </w:rPr>
        <w:t>Look@Rates</w:t>
      </w:r>
      <w:proofErr w:type="spellEnd"/>
      <w:r>
        <w:rPr>
          <w:b/>
          <w:bCs/>
        </w:rPr>
        <w:t xml:space="preserve"> </w:t>
      </w:r>
      <w:r w:rsidR="002C669F">
        <w:t>exports calculated rates</w:t>
      </w:r>
      <w:r>
        <w:t xml:space="preserve"> </w:t>
      </w:r>
      <w:r w:rsidR="002C669F">
        <w:t xml:space="preserve">as a new sheet (called “rates”) in the </w:t>
      </w:r>
      <w:r>
        <w:t xml:space="preserve">input Excel </w:t>
      </w:r>
      <w:r w:rsidRPr="006C0D47">
        <w:t>spreads</w:t>
      </w:r>
      <w:r w:rsidRPr="00F75A7A">
        <w:t>heet</w:t>
      </w:r>
      <w:r w:rsidRPr="00F75A7A">
        <w:t xml:space="preserve"> (xlsx)</w:t>
      </w:r>
      <w:r w:rsidRPr="00F75A7A">
        <w:t xml:space="preserve">. </w:t>
      </w:r>
      <w:r w:rsidR="00F75A7A">
        <w:t xml:space="preserve">The </w:t>
      </w:r>
      <w:r w:rsidR="002C669F">
        <w:t>output values</w:t>
      </w:r>
      <w:r w:rsidR="00F75A7A">
        <w:t xml:space="preserve"> are organized in columns, with </w:t>
      </w:r>
      <w:r w:rsidR="00F75A7A" w:rsidRPr="00F75A7A">
        <w:t>row</w:t>
      </w:r>
      <w:r w:rsidR="00F75A7A">
        <w:t>s</w:t>
      </w:r>
      <w:r w:rsidR="00F75A7A" w:rsidRPr="00F75A7A">
        <w:t xml:space="preserve"> correspond</w:t>
      </w:r>
      <w:r w:rsidR="00F75A7A">
        <w:t>ing</w:t>
      </w:r>
      <w:r w:rsidR="00F75A7A" w:rsidRPr="00F75A7A">
        <w:t xml:space="preserve"> to individual cell</w:t>
      </w:r>
      <w:r w:rsidR="00F75A7A">
        <w:t>s.</w:t>
      </w:r>
      <w:r w:rsidR="00F75A7A" w:rsidRPr="00F75A7A">
        <w:t xml:space="preserve"> Table below describes t</w:t>
      </w:r>
      <w:r w:rsidR="00F75A7A" w:rsidRPr="00F75A7A">
        <w:t xml:space="preserve">he </w:t>
      </w:r>
      <w:r w:rsidR="002C669F">
        <w:t xml:space="preserve">output </w:t>
      </w:r>
      <w:r w:rsidR="00F75A7A" w:rsidRPr="00F75A7A">
        <w:t>data</w:t>
      </w:r>
      <w:r w:rsidR="00F75A7A">
        <w:t xml:space="preserve">. </w:t>
      </w:r>
      <w:r w:rsidR="004A38FD">
        <w:t>T</w:t>
      </w:r>
      <w:r w:rsidR="00F75A7A" w:rsidRPr="00F75A7A">
        <w:t xml:space="preserve">he </w:t>
      </w:r>
      <w:r w:rsidR="00F75A7A">
        <w:t>description</w:t>
      </w:r>
      <w:r w:rsidR="00F75A7A" w:rsidRPr="00F75A7A">
        <w:t xml:space="preserve"> assumes </w:t>
      </w:r>
      <w:r w:rsidR="00F75A7A">
        <w:t>carbon to be the assimilated element</w:t>
      </w:r>
      <w:r w:rsidR="004A38FD">
        <w:t xml:space="preserve">. For other </w:t>
      </w:r>
      <w:r w:rsidR="00F75A7A" w:rsidRPr="00F75A7A">
        <w:t>element</w:t>
      </w:r>
      <w:r w:rsidR="004A38FD">
        <w:t>s, replace C with that element</w:t>
      </w:r>
      <w:r w:rsidR="002C669F">
        <w:t xml:space="preserve"> (e.g., N)</w:t>
      </w:r>
      <w:r w:rsidR="00F75A7A" w:rsidRPr="00F75A7A">
        <w:t>.</w:t>
      </w:r>
      <w:r w:rsidR="00F75A7A">
        <w:t xml:space="preserve"> </w:t>
      </w:r>
      <w:r w:rsidR="009179B2">
        <w:t>Approaches, e</w:t>
      </w:r>
      <w:r w:rsidR="002B7FA5">
        <w:t>quations</w:t>
      </w:r>
      <w:r w:rsidR="004F29AD">
        <w:t>,</w:t>
      </w:r>
      <w:r w:rsidR="002B7FA5">
        <w:t xml:space="preserve"> and supplementary method</w:t>
      </w:r>
      <w:r w:rsidR="009179B2">
        <w:t xml:space="preserve"> sections</w:t>
      </w:r>
      <w:r w:rsidR="002B7FA5">
        <w:t xml:space="preserve"> </w:t>
      </w:r>
      <w:r w:rsidR="002B7FA5">
        <w:t xml:space="preserve">referred to in the table are described </w:t>
      </w:r>
      <w:r w:rsidR="00F75A7A">
        <w:t>in Polerecky et al. (submitted to Frontiers in Microbiology).</w:t>
      </w:r>
    </w:p>
    <w:tbl>
      <w:tblPr>
        <w:tblStyle w:val="TableGrid"/>
        <w:tblW w:w="9498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7938"/>
      </w:tblGrid>
      <w:tr w:rsidR="00F75A7A" w:rsidRPr="001160FC" w14:paraId="3B6ACF84" w14:textId="77777777" w:rsidTr="005F22F2">
        <w:tc>
          <w:tcPr>
            <w:tcW w:w="1560" w:type="dxa"/>
          </w:tcPr>
          <w:p w14:paraId="068073BA" w14:textId="3082E331" w:rsidR="00F75A7A" w:rsidRPr="001160FC" w:rsidRDefault="00F75A7A" w:rsidP="007D7CC6">
            <w:pPr>
              <w:spacing w:before="60" w:after="60"/>
              <w:ind w:firstLine="0"/>
              <w:jc w:val="left"/>
              <w:rPr>
                <w:b/>
                <w:bCs/>
                <w:i/>
                <w:iCs/>
              </w:rPr>
            </w:pPr>
            <w:r w:rsidRPr="00F75A7A">
              <w:rPr>
                <w:b/>
                <w:bCs/>
              </w:rPr>
              <w:t>Column</w:t>
            </w:r>
          </w:p>
        </w:tc>
        <w:tc>
          <w:tcPr>
            <w:tcW w:w="7938" w:type="dxa"/>
          </w:tcPr>
          <w:p w14:paraId="08E45A59" w14:textId="0940C079" w:rsidR="00F75A7A" w:rsidRPr="001160FC" w:rsidRDefault="00F75A7A" w:rsidP="00782927">
            <w:pPr>
              <w:spacing w:before="60" w:after="6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206D" w:rsidRPr="001160FC" w14:paraId="65334CE1" w14:textId="77777777" w:rsidTr="005F22F2">
        <w:tc>
          <w:tcPr>
            <w:tcW w:w="1560" w:type="dxa"/>
          </w:tcPr>
          <w:p w14:paraId="1D62AF46" w14:textId="7E65B69B" w:rsidR="0067206D" w:rsidRPr="001160FC" w:rsidRDefault="0067206D" w:rsidP="003C7BDD">
            <w:pPr>
              <w:spacing w:before="60" w:after="60"/>
              <w:ind w:firstLine="0"/>
              <w:jc w:val="left"/>
              <w:rPr>
                <w:i/>
                <w:iCs/>
              </w:rPr>
            </w:pPr>
            <w:r w:rsidRPr="001160FC">
              <w:rPr>
                <w:rFonts w:eastAsia="Times New Roman" w:cstheme="minorHAnsi"/>
                <w:b/>
                <w:bCs/>
                <w:i/>
                <w:iCs/>
              </w:rPr>
              <w:t>k</w:t>
            </w:r>
            <w:r w:rsidR="005F22F2">
              <w:rPr>
                <w:rFonts w:eastAsia="Times New Roman" w:cstheme="minorHAnsi"/>
                <w:b/>
                <w:bCs/>
                <w:i/>
                <w:iCs/>
              </w:rPr>
              <w:t>, dk</w:t>
            </w:r>
          </w:p>
        </w:tc>
        <w:tc>
          <w:tcPr>
            <w:tcW w:w="7938" w:type="dxa"/>
          </w:tcPr>
          <w:p w14:paraId="6DEAD67C" w14:textId="3C9F4BE9" w:rsidR="0067206D" w:rsidRPr="0067206D" w:rsidRDefault="0067206D" w:rsidP="0067206D">
            <w:pPr>
              <w:spacing w:before="60" w:after="60"/>
              <w:ind w:firstLine="0"/>
              <w:rPr>
                <w:i/>
                <w:iCs/>
              </w:rPr>
            </w:pPr>
            <w:r w:rsidRPr="0067206D">
              <w:rPr>
                <w:rFonts w:eastAsia="Times New Roman" w:cstheme="minorHAnsi"/>
              </w:rPr>
              <w:t>Best estimate</w:t>
            </w:r>
            <w:r w:rsidRPr="001160FC">
              <w:rPr>
                <w:rFonts w:eastAsia="Times New Roman" w:cstheme="minorHAnsi"/>
              </w:rPr>
              <w:t xml:space="preserve"> </w:t>
            </w:r>
            <w:r w:rsidR="00C27751">
              <w:rPr>
                <w:rFonts w:eastAsia="Times New Roman" w:cstheme="minorHAnsi"/>
              </w:rPr>
              <w:t>(</w:t>
            </w:r>
            <w:r w:rsidR="00C27751" w:rsidRPr="001160FC">
              <w:rPr>
                <w:rFonts w:eastAsia="Times New Roman" w:cstheme="minorHAnsi"/>
                <w:i/>
                <w:iCs/>
              </w:rPr>
              <w:t>k</w:t>
            </w:r>
            <w:r w:rsidR="00C27751">
              <w:rPr>
                <w:rFonts w:eastAsia="Times New Roman" w:cstheme="minorHAnsi"/>
              </w:rPr>
              <w:t>) and uncertainty (</w:t>
            </w:r>
            <w:proofErr w:type="spellStart"/>
            <w:r w:rsidR="00C27751" w:rsidRPr="001160FC">
              <w:t>Δ</w:t>
            </w:r>
            <w:r w:rsidR="00C27751" w:rsidRPr="001160FC">
              <w:rPr>
                <w:i/>
                <w:iCs/>
              </w:rPr>
              <w:t>k</w:t>
            </w:r>
            <w:proofErr w:type="spellEnd"/>
            <w:r w:rsidR="00C27751">
              <w:rPr>
                <w:rFonts w:eastAsia="Times New Roman" w:cstheme="minorHAnsi"/>
              </w:rPr>
              <w:t xml:space="preserve">) </w:t>
            </w:r>
            <w:r w:rsidRPr="001160FC">
              <w:rPr>
                <w:rFonts w:eastAsia="Times New Roman" w:cstheme="minorHAnsi"/>
              </w:rPr>
              <w:t xml:space="preserve">of the </w:t>
            </w:r>
            <w:r w:rsidRPr="0067206D">
              <w:rPr>
                <w:rFonts w:eastAsia="Times New Roman" w:cstheme="minorHAnsi"/>
              </w:rPr>
              <w:t>carbon</w:t>
            </w:r>
            <w:r w:rsidRPr="001160FC">
              <w:rPr>
                <w:rFonts w:eastAsia="Times New Roman" w:cstheme="minorHAnsi"/>
                <w:b/>
                <w:bCs/>
              </w:rPr>
              <w:t>-</w:t>
            </w:r>
            <w:r w:rsidRPr="0067206D">
              <w:rPr>
                <w:rFonts w:eastAsia="Times New Roman" w:cstheme="minorHAnsi"/>
              </w:rPr>
              <w:t>specific</w:t>
            </w:r>
            <w:r w:rsidRPr="001160FC">
              <w:rPr>
                <w:rFonts w:eastAsia="Times New Roman" w:cstheme="minorHAnsi"/>
              </w:rPr>
              <w:t xml:space="preserve"> C assimilation </w:t>
            </w:r>
            <w:r w:rsidRPr="0067206D">
              <w:rPr>
                <w:rFonts w:eastAsia="Times New Roman" w:cstheme="minorHAnsi"/>
              </w:rPr>
              <w:t>rate</w:t>
            </w:r>
            <w:r w:rsidRPr="001160FC">
              <w:rPr>
                <w:rFonts w:eastAsia="Times New Roman" w:cstheme="minorHAnsi"/>
              </w:rPr>
              <w:t>.</w:t>
            </w:r>
          </w:p>
        </w:tc>
      </w:tr>
      <w:tr w:rsidR="003C7BDD" w:rsidRPr="001160FC" w14:paraId="4B2E0E8C" w14:textId="77777777" w:rsidTr="005F22F2">
        <w:tc>
          <w:tcPr>
            <w:tcW w:w="1560" w:type="dxa"/>
          </w:tcPr>
          <w:p w14:paraId="7C193B10" w14:textId="403A84F4" w:rsidR="003C7BDD" w:rsidRPr="001160FC" w:rsidRDefault="003C7BDD" w:rsidP="003C7BDD">
            <w:pPr>
              <w:spacing w:before="60" w:after="60"/>
              <w:ind w:firstLine="0"/>
              <w:jc w:val="left"/>
              <w:rPr>
                <w:i/>
                <w:iCs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r_A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>,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dr_A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>, CV_A</w:t>
            </w:r>
          </w:p>
        </w:tc>
        <w:tc>
          <w:tcPr>
            <w:tcW w:w="7938" w:type="dxa"/>
          </w:tcPr>
          <w:p w14:paraId="6EFBC128" w14:textId="5ABECBEB" w:rsidR="003C7BDD" w:rsidRPr="001160FC" w:rsidRDefault="003C7BDD" w:rsidP="003C7BDD">
            <w:pPr>
              <w:spacing w:before="60" w:after="60"/>
              <w:ind w:firstLine="0"/>
            </w:pPr>
            <w:r w:rsidRPr="001160FC">
              <w:rPr>
                <w:rFonts w:eastAsia="Times New Roman" w:cstheme="minorHAnsi"/>
              </w:rPr>
              <w:t xml:space="preserve">Best estimate </w:t>
            </w:r>
            <w:r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  <w:i/>
                <w:iCs/>
              </w:rPr>
              <w:t>r</w:t>
            </w:r>
            <w:r>
              <w:rPr>
                <w:rFonts w:eastAsia="Times New Roman" w:cstheme="minorHAnsi"/>
              </w:rPr>
              <w:t>), uncertainty (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rFonts w:eastAsia="Times New Roman" w:cstheme="minorHAnsi"/>
              </w:rPr>
              <w:t xml:space="preserve">), and relative error (coefficient of variation, 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i/>
                <w:iCs/>
              </w:rPr>
              <w:t>/r</w:t>
            </w:r>
            <w:r>
              <w:t>)</w:t>
            </w:r>
            <w:r>
              <w:rPr>
                <w:rFonts w:eastAsia="Times New Roman" w:cstheme="minorHAnsi"/>
              </w:rPr>
              <w:t xml:space="preserve"> </w:t>
            </w:r>
            <w:r w:rsidRPr="001160FC">
              <w:rPr>
                <w:rFonts w:eastAsia="Times New Roman" w:cstheme="minorHAnsi"/>
              </w:rPr>
              <w:t xml:space="preserve">of the </w:t>
            </w:r>
            <w:r w:rsidRPr="00E65DC5">
              <w:rPr>
                <w:rFonts w:eastAsia="Times New Roman" w:cstheme="minorHAnsi"/>
              </w:rPr>
              <w:t>cell-specific</w:t>
            </w:r>
            <w:r w:rsidRPr="001160FC">
              <w:rPr>
                <w:rFonts w:eastAsia="Times New Roman" w:cstheme="minorHAnsi"/>
              </w:rPr>
              <w:t xml:space="preserve"> C assimilation </w:t>
            </w:r>
            <w:r w:rsidRPr="00E65DC5">
              <w:rPr>
                <w:rFonts w:eastAsia="Times New Roman" w:cstheme="minorHAnsi"/>
              </w:rPr>
              <w:t>rate</w:t>
            </w:r>
            <w:r>
              <w:rPr>
                <w:rFonts w:eastAsia="Times New Roman" w:cstheme="minorHAnsi"/>
              </w:rPr>
              <w:t>, c</w:t>
            </w:r>
            <w:r w:rsidRPr="001160FC">
              <w:rPr>
                <w:rFonts w:eastAsia="Times New Roman" w:cstheme="minorHAnsi"/>
              </w:rPr>
              <w:t xml:space="preserve">alculated </w:t>
            </w:r>
            <w:r>
              <w:rPr>
                <w:rFonts w:eastAsia="Times New Roman" w:cstheme="minorHAnsi"/>
              </w:rPr>
              <w:t xml:space="preserve">by Approach </w:t>
            </w:r>
            <w:r w:rsidRPr="00E65DC5">
              <w:rPr>
                <w:rFonts w:eastAsia="Times New Roman" w:cstheme="minorHAnsi"/>
              </w:rPr>
              <w:t>A</w:t>
            </w:r>
            <w:r w:rsidRPr="001160FC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(</w:t>
            </w:r>
            <w:r w:rsidRPr="001160FC">
              <w:rPr>
                <w:rFonts w:eastAsia="Times New Roman" w:cstheme="minorHAnsi"/>
              </w:rPr>
              <w:t xml:space="preserve">Eq. </w:t>
            </w:r>
            <w:r w:rsidRPr="00E65DC5">
              <w:rPr>
                <w:rFonts w:eastAsia="Times New Roman" w:cstheme="minorHAnsi"/>
                <w:b/>
                <w:bCs/>
              </w:rPr>
              <w:t>21</w:t>
            </w:r>
            <w:r>
              <w:rPr>
                <w:rFonts w:eastAsia="Times New Roman" w:cstheme="minorHAnsi"/>
              </w:rPr>
              <w:t>).</w:t>
            </w:r>
          </w:p>
        </w:tc>
      </w:tr>
      <w:tr w:rsidR="003C7BDD" w:rsidRPr="001160FC" w14:paraId="2981EC7A" w14:textId="77777777" w:rsidTr="005F22F2">
        <w:tc>
          <w:tcPr>
            <w:tcW w:w="1560" w:type="dxa"/>
          </w:tcPr>
          <w:p w14:paraId="40F0E3CE" w14:textId="45B9D0D4" w:rsidR="003C7BDD" w:rsidRPr="001160FC" w:rsidRDefault="003C7BDD" w:rsidP="003C7BDD">
            <w:pPr>
              <w:spacing w:before="60" w:after="60"/>
              <w:ind w:firstLine="0"/>
              <w:jc w:val="left"/>
              <w:rPr>
                <w:i/>
                <w:iCs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r_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B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dr_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B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>, CV_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B</w:t>
            </w:r>
          </w:p>
        </w:tc>
        <w:tc>
          <w:tcPr>
            <w:tcW w:w="7938" w:type="dxa"/>
          </w:tcPr>
          <w:p w14:paraId="74603298" w14:textId="4AAC9FF6" w:rsidR="003C7BDD" w:rsidRPr="001160FC" w:rsidRDefault="003C7BDD" w:rsidP="003C7BDD">
            <w:pPr>
              <w:spacing w:before="60" w:after="60"/>
              <w:ind w:firstLine="0"/>
            </w:pPr>
            <w:r w:rsidRPr="001160FC">
              <w:rPr>
                <w:rFonts w:eastAsia="Times New Roman" w:cstheme="minorHAnsi"/>
              </w:rPr>
              <w:t xml:space="preserve">Best estimate </w:t>
            </w:r>
            <w:r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  <w:i/>
                <w:iCs/>
              </w:rPr>
              <w:t>r</w:t>
            </w:r>
            <w:r>
              <w:rPr>
                <w:rFonts w:eastAsia="Times New Roman" w:cstheme="minorHAnsi"/>
              </w:rPr>
              <w:t>), uncertainty (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rFonts w:eastAsia="Times New Roman" w:cstheme="minorHAnsi"/>
              </w:rPr>
              <w:t xml:space="preserve">), and relative error (coefficient of variation, 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i/>
                <w:iCs/>
              </w:rPr>
              <w:t>/r</w:t>
            </w:r>
            <w:r>
              <w:t>)</w:t>
            </w:r>
            <w:r>
              <w:rPr>
                <w:rFonts w:eastAsia="Times New Roman" w:cstheme="minorHAnsi"/>
              </w:rPr>
              <w:t xml:space="preserve"> </w:t>
            </w:r>
            <w:r w:rsidRPr="001160FC">
              <w:rPr>
                <w:rFonts w:eastAsia="Times New Roman" w:cstheme="minorHAnsi"/>
              </w:rPr>
              <w:t xml:space="preserve">of the </w:t>
            </w:r>
            <w:r w:rsidRPr="00E65DC5">
              <w:rPr>
                <w:rFonts w:eastAsia="Times New Roman" w:cstheme="minorHAnsi"/>
              </w:rPr>
              <w:t>cell-specific</w:t>
            </w:r>
            <w:r w:rsidRPr="001160FC">
              <w:rPr>
                <w:rFonts w:eastAsia="Times New Roman" w:cstheme="minorHAnsi"/>
              </w:rPr>
              <w:t xml:space="preserve"> C assimilation </w:t>
            </w:r>
            <w:r w:rsidRPr="00E65DC5">
              <w:rPr>
                <w:rFonts w:eastAsia="Times New Roman" w:cstheme="minorHAnsi"/>
              </w:rPr>
              <w:t>rate</w:t>
            </w:r>
            <w:r>
              <w:rPr>
                <w:rFonts w:eastAsia="Times New Roman" w:cstheme="minorHAnsi"/>
              </w:rPr>
              <w:t>, c</w:t>
            </w:r>
            <w:r w:rsidRPr="001160FC">
              <w:rPr>
                <w:rFonts w:eastAsia="Times New Roman" w:cstheme="minorHAnsi"/>
              </w:rPr>
              <w:t xml:space="preserve">alculated </w:t>
            </w:r>
            <w:r>
              <w:rPr>
                <w:rFonts w:eastAsia="Times New Roman" w:cstheme="minorHAnsi"/>
              </w:rPr>
              <w:t xml:space="preserve">by Approach </w:t>
            </w:r>
            <w:r>
              <w:rPr>
                <w:rFonts w:eastAsia="Times New Roman" w:cstheme="minorHAnsi"/>
              </w:rPr>
              <w:t>B</w:t>
            </w:r>
            <w:r w:rsidRPr="001160FC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(</w:t>
            </w:r>
            <w:r w:rsidRPr="001160FC">
              <w:rPr>
                <w:rFonts w:eastAsia="Times New Roman" w:cstheme="minorHAnsi"/>
              </w:rPr>
              <w:t xml:space="preserve">Eq. </w:t>
            </w:r>
            <w:r w:rsidRPr="00E65DC5">
              <w:rPr>
                <w:rFonts w:eastAsia="Times New Roman" w:cstheme="minorHAnsi"/>
                <w:b/>
                <w:bCs/>
              </w:rPr>
              <w:t>2</w:t>
            </w:r>
            <w:r>
              <w:rPr>
                <w:rFonts w:eastAsia="Times New Roman" w:cstheme="minorHAnsi"/>
                <w:b/>
                <w:bCs/>
              </w:rPr>
              <w:t>2</w:t>
            </w:r>
            <w:r>
              <w:rPr>
                <w:rFonts w:eastAsia="Times New Roman" w:cstheme="minorHAnsi"/>
              </w:rPr>
              <w:t>).</w:t>
            </w:r>
          </w:p>
        </w:tc>
      </w:tr>
      <w:tr w:rsidR="003C7BDD" w:rsidRPr="001160FC" w14:paraId="4AF10F38" w14:textId="77777777" w:rsidTr="005F22F2">
        <w:tc>
          <w:tcPr>
            <w:tcW w:w="1560" w:type="dxa"/>
          </w:tcPr>
          <w:p w14:paraId="7859D683" w14:textId="6D27131E" w:rsidR="003C7BDD" w:rsidRPr="001160FC" w:rsidRDefault="003C7BDD" w:rsidP="003C7BDD">
            <w:pPr>
              <w:spacing w:before="60" w:after="60"/>
              <w:ind w:firstLine="0"/>
              <w:jc w:val="left"/>
              <w:rPr>
                <w:i/>
                <w:iCs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r_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C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>,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dr_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C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>, CV_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C</w:t>
            </w:r>
          </w:p>
        </w:tc>
        <w:tc>
          <w:tcPr>
            <w:tcW w:w="7938" w:type="dxa"/>
          </w:tcPr>
          <w:p w14:paraId="298769C2" w14:textId="7E179BFA" w:rsidR="003C7BDD" w:rsidRPr="001160FC" w:rsidRDefault="003C7BDD" w:rsidP="003C7BDD">
            <w:pPr>
              <w:spacing w:before="60" w:after="60"/>
              <w:ind w:firstLine="0"/>
            </w:pPr>
            <w:r w:rsidRPr="001160FC">
              <w:rPr>
                <w:rFonts w:eastAsia="Times New Roman" w:cstheme="minorHAnsi"/>
              </w:rPr>
              <w:t xml:space="preserve">Best estimate </w:t>
            </w:r>
            <w:r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  <w:i/>
                <w:iCs/>
              </w:rPr>
              <w:t>r</w:t>
            </w:r>
            <w:r>
              <w:rPr>
                <w:rFonts w:eastAsia="Times New Roman" w:cstheme="minorHAnsi"/>
              </w:rPr>
              <w:t>), uncertainty (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rFonts w:eastAsia="Times New Roman" w:cstheme="minorHAnsi"/>
              </w:rPr>
              <w:t xml:space="preserve">), and relative error (coefficient of variation, 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i/>
                <w:iCs/>
              </w:rPr>
              <w:t>/r</w:t>
            </w:r>
            <w:r>
              <w:t>)</w:t>
            </w:r>
            <w:r>
              <w:rPr>
                <w:rFonts w:eastAsia="Times New Roman" w:cstheme="minorHAnsi"/>
              </w:rPr>
              <w:t xml:space="preserve"> </w:t>
            </w:r>
            <w:r w:rsidRPr="001160FC">
              <w:rPr>
                <w:rFonts w:eastAsia="Times New Roman" w:cstheme="minorHAnsi"/>
              </w:rPr>
              <w:t xml:space="preserve">of the </w:t>
            </w:r>
            <w:r w:rsidRPr="00E65DC5">
              <w:rPr>
                <w:rFonts w:eastAsia="Times New Roman" w:cstheme="minorHAnsi"/>
              </w:rPr>
              <w:t>cell-specific</w:t>
            </w:r>
            <w:r w:rsidRPr="001160FC">
              <w:rPr>
                <w:rFonts w:eastAsia="Times New Roman" w:cstheme="minorHAnsi"/>
              </w:rPr>
              <w:t xml:space="preserve"> C assimilation </w:t>
            </w:r>
            <w:r w:rsidRPr="00E65DC5">
              <w:rPr>
                <w:rFonts w:eastAsia="Times New Roman" w:cstheme="minorHAnsi"/>
              </w:rPr>
              <w:t>rate</w:t>
            </w:r>
            <w:r>
              <w:rPr>
                <w:rFonts w:eastAsia="Times New Roman" w:cstheme="minorHAnsi"/>
              </w:rPr>
              <w:t>, c</w:t>
            </w:r>
            <w:r w:rsidRPr="001160FC">
              <w:rPr>
                <w:rFonts w:eastAsia="Times New Roman" w:cstheme="minorHAnsi"/>
              </w:rPr>
              <w:t xml:space="preserve">alculated </w:t>
            </w:r>
            <w:r>
              <w:rPr>
                <w:rFonts w:eastAsia="Times New Roman" w:cstheme="minorHAnsi"/>
              </w:rPr>
              <w:t xml:space="preserve">by Approach </w:t>
            </w:r>
            <w:r>
              <w:rPr>
                <w:rFonts w:eastAsia="Times New Roman" w:cstheme="minorHAnsi"/>
              </w:rPr>
              <w:t>C</w:t>
            </w:r>
            <w:r w:rsidRPr="001160FC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(</w:t>
            </w:r>
            <w:r w:rsidRPr="001160FC">
              <w:rPr>
                <w:rFonts w:eastAsia="Times New Roman" w:cstheme="minorHAnsi"/>
              </w:rPr>
              <w:t xml:space="preserve">Eq. </w:t>
            </w:r>
            <w:r w:rsidRPr="00E65DC5">
              <w:rPr>
                <w:rFonts w:eastAsia="Times New Roman" w:cstheme="minorHAnsi"/>
                <w:b/>
                <w:bCs/>
              </w:rPr>
              <w:t>2</w:t>
            </w:r>
            <w:r>
              <w:rPr>
                <w:rFonts w:eastAsia="Times New Roman" w:cstheme="minorHAnsi"/>
                <w:b/>
                <w:bCs/>
              </w:rPr>
              <w:t>3</w:t>
            </w:r>
            <w:r>
              <w:rPr>
                <w:rFonts w:eastAsia="Times New Roman" w:cstheme="minorHAnsi"/>
              </w:rPr>
              <w:t>).</w:t>
            </w:r>
          </w:p>
        </w:tc>
      </w:tr>
      <w:tr w:rsidR="003C7BDD" w:rsidRPr="001160FC" w14:paraId="57D41481" w14:textId="77777777" w:rsidTr="005F22F2">
        <w:tc>
          <w:tcPr>
            <w:tcW w:w="1560" w:type="dxa"/>
          </w:tcPr>
          <w:p w14:paraId="1CE1A5B9" w14:textId="7EFFDB46" w:rsidR="003C7BDD" w:rsidRPr="001160FC" w:rsidRDefault="003C7BDD" w:rsidP="003C7BDD">
            <w:pPr>
              <w:spacing w:before="60" w:after="60"/>
              <w:ind w:firstLine="0"/>
              <w:rPr>
                <w:b/>
                <w:bCs/>
                <w:i/>
                <w:iCs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r_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nondiv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dr_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nondiv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</w:rPr>
              <w:t>CV_</w:t>
            </w:r>
            <w:r>
              <w:rPr>
                <w:rFonts w:eastAsia="Times New Roman" w:cstheme="minorHAnsi"/>
                <w:b/>
                <w:bCs/>
                <w:i/>
                <w:iCs/>
              </w:rPr>
              <w:t>nondiv</w:t>
            </w:r>
            <w:proofErr w:type="spellEnd"/>
          </w:p>
        </w:tc>
        <w:tc>
          <w:tcPr>
            <w:tcW w:w="7938" w:type="dxa"/>
          </w:tcPr>
          <w:p w14:paraId="179F5D89" w14:textId="38A7341B" w:rsidR="003C7BDD" w:rsidRPr="001160FC" w:rsidRDefault="003C7BDD" w:rsidP="003C7BDD">
            <w:pPr>
              <w:spacing w:before="60" w:after="60"/>
              <w:ind w:firstLine="0"/>
              <w:rPr>
                <w:vertAlign w:val="superscript"/>
              </w:rPr>
            </w:pPr>
            <w:r w:rsidRPr="001160FC">
              <w:rPr>
                <w:rFonts w:eastAsia="Times New Roman" w:cstheme="minorHAnsi"/>
              </w:rPr>
              <w:t xml:space="preserve">Best estimate </w:t>
            </w:r>
            <w:r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  <w:i/>
                <w:iCs/>
              </w:rPr>
              <w:t>r</w:t>
            </w:r>
            <w:r>
              <w:rPr>
                <w:rFonts w:eastAsia="Times New Roman" w:cstheme="minorHAnsi"/>
              </w:rPr>
              <w:t>), uncertainty (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rFonts w:eastAsia="Times New Roman" w:cstheme="minorHAnsi"/>
              </w:rPr>
              <w:t xml:space="preserve">), and relative error (coefficient of variation, </w:t>
            </w:r>
            <w:proofErr w:type="spellStart"/>
            <w:r w:rsidRPr="001160FC">
              <w:t>Δ</w:t>
            </w:r>
            <w:r w:rsidRPr="00C27751">
              <w:rPr>
                <w:i/>
                <w:iCs/>
              </w:rPr>
              <w:t>r</w:t>
            </w:r>
            <w:proofErr w:type="spellEnd"/>
            <w:r>
              <w:rPr>
                <w:i/>
                <w:iCs/>
              </w:rPr>
              <w:t>/r</w:t>
            </w:r>
            <w:r>
              <w:t>)</w:t>
            </w:r>
            <w:r>
              <w:rPr>
                <w:rFonts w:eastAsia="Times New Roman" w:cstheme="minorHAnsi"/>
              </w:rPr>
              <w:t xml:space="preserve"> </w:t>
            </w:r>
            <w:r w:rsidRPr="001160FC">
              <w:rPr>
                <w:rFonts w:eastAsia="Times New Roman" w:cstheme="minorHAnsi"/>
              </w:rPr>
              <w:t xml:space="preserve">of the </w:t>
            </w:r>
            <w:r w:rsidRPr="00E65DC5">
              <w:rPr>
                <w:rFonts w:eastAsia="Times New Roman" w:cstheme="minorHAnsi"/>
              </w:rPr>
              <w:t>cell-specific</w:t>
            </w:r>
            <w:r w:rsidRPr="001160FC">
              <w:rPr>
                <w:rFonts w:eastAsia="Times New Roman" w:cstheme="minorHAnsi"/>
              </w:rPr>
              <w:t xml:space="preserve"> C assimilation </w:t>
            </w:r>
            <w:r w:rsidRPr="00E65DC5">
              <w:rPr>
                <w:rFonts w:eastAsia="Times New Roman" w:cstheme="minorHAnsi"/>
              </w:rPr>
              <w:t>rate</w:t>
            </w:r>
            <w:r>
              <w:rPr>
                <w:rFonts w:eastAsia="Times New Roman" w:cstheme="minorHAnsi"/>
              </w:rPr>
              <w:t>, c</w:t>
            </w:r>
            <w:r w:rsidRPr="001160FC">
              <w:rPr>
                <w:rFonts w:eastAsia="Times New Roman" w:cstheme="minorHAnsi"/>
              </w:rPr>
              <w:t xml:space="preserve">alculated </w:t>
            </w:r>
            <w:r>
              <w:rPr>
                <w:rFonts w:eastAsia="Times New Roman" w:cstheme="minorHAnsi"/>
              </w:rPr>
              <w:t xml:space="preserve">by </w:t>
            </w:r>
            <w:r w:rsidRPr="001160FC">
              <w:rPr>
                <w:rFonts w:eastAsia="Times New Roman" w:cstheme="minorHAnsi"/>
              </w:rPr>
              <w:t xml:space="preserve">Eq. </w:t>
            </w:r>
            <w:r w:rsidRPr="00E65DC5">
              <w:rPr>
                <w:rFonts w:eastAsia="Times New Roman" w:cstheme="minorHAnsi"/>
                <w:b/>
                <w:bCs/>
              </w:rPr>
              <w:t>2</w:t>
            </w:r>
            <w:r>
              <w:rPr>
                <w:rFonts w:eastAsia="Times New Roman" w:cstheme="minorHAnsi"/>
                <w:b/>
                <w:bCs/>
              </w:rPr>
              <w:t>4</w:t>
            </w:r>
            <w:r>
              <w:rPr>
                <w:rFonts w:eastAsia="Times New Roman" w:cstheme="minorHAnsi"/>
              </w:rPr>
              <w:t>, which does not account for cell division.</w:t>
            </w:r>
          </w:p>
        </w:tc>
      </w:tr>
      <w:tr w:rsidR="003C7BDD" w:rsidRPr="001160FC" w14:paraId="703F84FA" w14:textId="77777777" w:rsidTr="005F22F2">
        <w:tc>
          <w:tcPr>
            <w:tcW w:w="1560" w:type="dxa"/>
          </w:tcPr>
          <w:p w14:paraId="7E237A7E" w14:textId="738BAA81" w:rsidR="003C7BDD" w:rsidRPr="001160FC" w:rsidRDefault="005F512D" w:rsidP="00B16900">
            <w:pPr>
              <w:spacing w:before="60" w:after="60"/>
              <w:ind w:firstLine="0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Ndiv0</w:t>
            </w:r>
          </w:p>
        </w:tc>
        <w:tc>
          <w:tcPr>
            <w:tcW w:w="7938" w:type="dxa"/>
          </w:tcPr>
          <w:p w14:paraId="321F279D" w14:textId="12A19DF7" w:rsidR="003C7BDD" w:rsidRPr="001160FC" w:rsidRDefault="005F512D" w:rsidP="003C7BDD">
            <w:pPr>
              <w:spacing w:before="60" w:after="60"/>
              <w:ind w:firstLine="0"/>
            </w:pPr>
            <w:r>
              <w:t>Number of divisions of the measured cell during incubation. Predicted assuming zero-order kinetics of C assimilation.</w:t>
            </w:r>
          </w:p>
        </w:tc>
      </w:tr>
      <w:tr w:rsidR="005F512D" w:rsidRPr="001160FC" w14:paraId="46EAE410" w14:textId="77777777" w:rsidTr="005F22F2">
        <w:tc>
          <w:tcPr>
            <w:tcW w:w="1560" w:type="dxa"/>
          </w:tcPr>
          <w:p w14:paraId="4FDD6DF2" w14:textId="014E2565" w:rsidR="005F512D" w:rsidRPr="001160FC" w:rsidRDefault="005F512D" w:rsidP="00B16900">
            <w:pPr>
              <w:spacing w:before="60" w:after="60"/>
              <w:ind w:firstLine="0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Ndiv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938" w:type="dxa"/>
          </w:tcPr>
          <w:p w14:paraId="7CCFB1F4" w14:textId="00756266" w:rsidR="005F512D" w:rsidRPr="001160FC" w:rsidRDefault="005F512D" w:rsidP="005F512D">
            <w:pPr>
              <w:spacing w:before="60" w:after="60"/>
              <w:ind w:firstLine="0"/>
            </w:pPr>
            <w:r>
              <w:t xml:space="preserve">Number of divisions of the measured cell during incubation. Predicted assuming </w:t>
            </w:r>
            <w:r>
              <w:t>first</w:t>
            </w:r>
            <w:r>
              <w:t>-order kinetics of C assimilation.</w:t>
            </w:r>
          </w:p>
        </w:tc>
      </w:tr>
      <w:tr w:rsidR="005F512D" w:rsidRPr="001160FC" w14:paraId="1D67256F" w14:textId="77777777" w:rsidTr="005F22F2">
        <w:tc>
          <w:tcPr>
            <w:tcW w:w="1560" w:type="dxa"/>
          </w:tcPr>
          <w:p w14:paraId="3C3C0E8F" w14:textId="56D719C1" w:rsidR="005F512D" w:rsidRPr="001160FC" w:rsidRDefault="005F512D" w:rsidP="00B16900">
            <w:pPr>
              <w:spacing w:before="60" w:after="60"/>
              <w:ind w:firstLine="0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ratio</w:t>
            </w:r>
          </w:p>
        </w:tc>
        <w:tc>
          <w:tcPr>
            <w:tcW w:w="7938" w:type="dxa"/>
          </w:tcPr>
          <w:p w14:paraId="67074822" w14:textId="798DF42C" w:rsidR="005F512D" w:rsidRPr="005F512D" w:rsidRDefault="005F512D" w:rsidP="005F512D">
            <w:pPr>
              <w:spacing w:before="60" w:after="60"/>
              <w:ind w:firstLine="0"/>
            </w:pPr>
            <w:r>
              <w:t xml:space="preserve">Ratio between the cell-specific C assimilation rate estimated by Approach C and by Eq. </w:t>
            </w:r>
            <w:r>
              <w:rPr>
                <w:b/>
                <w:bCs/>
              </w:rPr>
              <w:t>24</w:t>
            </w:r>
            <w:r>
              <w:t>.</w:t>
            </w:r>
          </w:p>
        </w:tc>
      </w:tr>
    </w:tbl>
    <w:p w14:paraId="6099125C" w14:textId="77777777" w:rsidR="000D13C3" w:rsidRDefault="008D2F02"/>
    <w:sectPr w:rsidR="000D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117"/>
    <w:multiLevelType w:val="hybridMultilevel"/>
    <w:tmpl w:val="F9C21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47"/>
    <w:rsid w:val="00135C26"/>
    <w:rsid w:val="002B7FA5"/>
    <w:rsid w:val="002C1C81"/>
    <w:rsid w:val="002C669F"/>
    <w:rsid w:val="003304F9"/>
    <w:rsid w:val="003C7BDD"/>
    <w:rsid w:val="004A38FD"/>
    <w:rsid w:val="004F29AD"/>
    <w:rsid w:val="00517309"/>
    <w:rsid w:val="005D7853"/>
    <w:rsid w:val="005E47F8"/>
    <w:rsid w:val="005F22F2"/>
    <w:rsid w:val="005F512D"/>
    <w:rsid w:val="005F6B10"/>
    <w:rsid w:val="0067206D"/>
    <w:rsid w:val="00686CE8"/>
    <w:rsid w:val="006C0D47"/>
    <w:rsid w:val="007D7CC6"/>
    <w:rsid w:val="008C2D21"/>
    <w:rsid w:val="009179B2"/>
    <w:rsid w:val="00B16900"/>
    <w:rsid w:val="00B62AE9"/>
    <w:rsid w:val="00BE2BE3"/>
    <w:rsid w:val="00C27751"/>
    <w:rsid w:val="00CB4626"/>
    <w:rsid w:val="00E65DC5"/>
    <w:rsid w:val="00EE4AA7"/>
    <w:rsid w:val="00F75A7A"/>
    <w:rsid w:val="00FC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FC1C"/>
  <w15:chartTrackingRefBased/>
  <w15:docId w15:val="{DC77F1D1-04D7-4E19-B31E-8C3EC19A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47"/>
    <w:pPr>
      <w:spacing w:before="120" w:after="120" w:line="320" w:lineRule="atLeast"/>
      <w:ind w:firstLine="35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47"/>
    <w:pPr>
      <w:numPr>
        <w:numId w:val="1"/>
      </w:numPr>
      <w:contextualSpacing/>
    </w:pPr>
    <w:rPr>
      <w:rFonts w:eastAsia="Cambria" w:cs="Times New Roman"/>
      <w:szCs w:val="24"/>
    </w:rPr>
  </w:style>
  <w:style w:type="table" w:styleId="TableGrid">
    <w:name w:val="Table Grid"/>
    <w:basedOn w:val="TableNormal"/>
    <w:uiPriority w:val="39"/>
    <w:rsid w:val="006C0D47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10</cp:revision>
  <dcterms:created xsi:type="dcterms:W3CDTF">2021-09-19T21:39:00Z</dcterms:created>
  <dcterms:modified xsi:type="dcterms:W3CDTF">2021-09-19T22:13:00Z</dcterms:modified>
</cp:coreProperties>
</file>