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0E773" w14:textId="77777777" w:rsidR="00394D4E" w:rsidRPr="001160FC" w:rsidRDefault="00394D4E" w:rsidP="00394D4E">
      <w:pPr>
        <w:pStyle w:val="Heading2"/>
      </w:pPr>
      <w:r w:rsidRPr="001160FC">
        <w:t>Estimating assimilation rates by cells in Matlab</w:t>
      </w:r>
    </w:p>
    <w:p w14:paraId="457BE1E5" w14:textId="77777777" w:rsidR="00394D4E" w:rsidRPr="001160FC" w:rsidRDefault="00394D4E" w:rsidP="00394D4E">
      <w:pPr>
        <w:ind w:firstLine="0"/>
      </w:pPr>
      <w:r w:rsidRPr="001160FC">
        <w:t>Use the following steps to determine the best estimates and errors (uncertainties) of the carbon-specific (</w:t>
      </w:r>
      <w:r w:rsidRPr="001160FC">
        <w:rPr>
          <w:i/>
          <w:iCs/>
        </w:rPr>
        <w:t>k</w:t>
      </w:r>
      <w:r w:rsidRPr="001160FC">
        <w:t>, Δ</w:t>
      </w:r>
      <w:r w:rsidRPr="001160FC">
        <w:rPr>
          <w:i/>
          <w:iCs/>
        </w:rPr>
        <w:t>k</w:t>
      </w:r>
      <w:r w:rsidRPr="001160FC">
        <w:t>) and cell-specific (</w:t>
      </w:r>
      <w:r w:rsidRPr="001160FC">
        <w:rPr>
          <w:i/>
          <w:iCs/>
        </w:rPr>
        <w:t>r</w:t>
      </w:r>
      <w:r w:rsidRPr="001160FC">
        <w:t>, Δ</w:t>
      </w:r>
      <w:r w:rsidRPr="001160FC">
        <w:rPr>
          <w:i/>
          <w:iCs/>
        </w:rPr>
        <w:t>r</w:t>
      </w:r>
      <w:r w:rsidRPr="001160FC">
        <w:t xml:space="preserve">) rates of C assimilation in cells from nanoSIMS data. The input data is organized in a spreadsheet (e.g., in Excel), the calculations are implemented in a custom-made Matlab function </w:t>
      </w:r>
      <w:r w:rsidRPr="001160FC">
        <w:rPr>
          <w:b/>
          <w:bCs/>
          <w:i/>
          <w:iCs/>
        </w:rPr>
        <w:t>RatesCells.m</w:t>
      </w:r>
      <w:r w:rsidRPr="001160FC">
        <w:t>. Although the description here assumes assimilation of C, the function is applicable for any other element.</w:t>
      </w:r>
    </w:p>
    <w:p w14:paraId="31D31C20" w14:textId="198D7D93" w:rsidR="00163EC4" w:rsidRDefault="009D1550" w:rsidP="00163EC4">
      <w:pPr>
        <w:pStyle w:val="ListParagraph"/>
        <w:numPr>
          <w:ilvl w:val="0"/>
          <w:numId w:val="0"/>
        </w:numPr>
        <w:spacing w:before="0"/>
        <w:ind w:left="360"/>
      </w:pPr>
      <w:r>
        <w:t xml:space="preserve">In the Monte-Carlo method used for the calculation of the rate, the C content of the cell is sampled from a distribution described by the probability distribution function θ (Eq. 18), with </w:t>
      </w:r>
      <m:oMath>
        <m:r>
          <m:rPr>
            <m:sty m:val="p"/>
          </m:rPr>
          <w:rPr>
            <w:rFonts w:ascii="Cambria Math" w:hAnsi="Cambria Math" w:cstheme="minorHAnsi"/>
          </w:rPr>
          <m:t>Δ</m:t>
        </m:r>
        <m:r>
          <w:rPr>
            <w:rFonts w:ascii="Cambria Math" w:hAnsi="Cambria Math"/>
          </w:rPr>
          <m:t>C</m:t>
        </m:r>
      </m:oMath>
      <w:r>
        <w:rPr>
          <w:rFonts w:eastAsiaTheme="minorEastAsia"/>
        </w:rPr>
        <w:t xml:space="preserve"> and </w:t>
      </w:r>
      <w:r>
        <w:rPr>
          <w:rFonts w:eastAsiaTheme="minorEastAsia"/>
          <w:i/>
          <w:iCs/>
        </w:rPr>
        <w:t>C</w:t>
      </w:r>
      <w:r>
        <w:rPr>
          <w:rFonts w:eastAsiaTheme="minorEastAsia"/>
          <w:i/>
          <w:iCs/>
          <w:vertAlign w:val="subscript"/>
        </w:rPr>
        <w:t>max</w:t>
      </w:r>
      <w:r>
        <w:rPr>
          <w:rFonts w:eastAsiaTheme="minorEastAsia"/>
          <w:i/>
          <w:iCs/>
          <w:vertAlign w:val="subscript"/>
        </w:rPr>
        <w:softHyphen/>
      </w:r>
      <w:r>
        <w:rPr>
          <w:rFonts w:eastAsiaTheme="minorEastAsia"/>
        </w:rPr>
        <w:t xml:space="preserve"> calculated as described above and </w:t>
      </w:r>
      <w:r>
        <w:rPr>
          <w:i/>
          <w:iCs/>
        </w:rPr>
        <w:t>C</w:t>
      </w:r>
      <w:r>
        <w:rPr>
          <w:i/>
          <w:iCs/>
          <w:vertAlign w:val="subscript"/>
        </w:rPr>
        <w:t>0</w:t>
      </w:r>
      <w:r>
        <w:rPr>
          <w:i/>
          <w:iCs/>
        </w:rPr>
        <w:t xml:space="preserve"> = C</w:t>
      </w:r>
      <w:r>
        <w:t xml:space="preserve">. Thus, the cell is assumed to originate from a population of cells with partially synchronized cell cycles.   </w:t>
      </w:r>
      <w:r w:rsidRPr="001160FC">
        <w:t xml:space="preserve">If </w:t>
      </w:r>
      <w:r w:rsidRPr="001160FC">
        <w:rPr>
          <w:rFonts w:cstheme="minorHAnsi"/>
        </w:rPr>
        <w:t>Δ</w:t>
      </w:r>
      <w:r w:rsidRPr="001160FC">
        <w:rPr>
          <w:rFonts w:cstheme="minorHAnsi"/>
          <w:i/>
          <w:iCs/>
        </w:rPr>
        <w:t>V</w:t>
      </w:r>
      <w:r w:rsidRPr="001160FC">
        <w:t xml:space="preserve"> is set to 0, assimilation rates are calculated assuming that the measured cell originates from a population of cells</w:t>
      </w:r>
      <w:r w:rsidRPr="001160FC">
        <w:rPr>
          <w:i/>
          <w:iCs/>
        </w:rPr>
        <w:t xml:space="preserve"> </w:t>
      </w:r>
      <w:r w:rsidRPr="001160FC">
        <w:t>with</w:t>
      </w:r>
      <w:r w:rsidRPr="001160FC">
        <w:rPr>
          <w:i/>
          <w:iCs/>
        </w:rPr>
        <w:t xml:space="preserve"> perfectly unsynchronized </w:t>
      </w:r>
      <w:r w:rsidRPr="001160FC">
        <w:t xml:space="preserve">cell cycles, where each cell assimilates C at a constant cell-specific rate, </w:t>
      </w:r>
      <w:r w:rsidRPr="001160FC">
        <w:rPr>
          <w:i/>
          <w:iCs/>
        </w:rPr>
        <w:t>r</w:t>
      </w:r>
      <w:r w:rsidRPr="001160FC">
        <w:t xml:space="preserve"> (see Approach A, Eq. 21). In this case, the value of </w:t>
      </w:r>
      <w:r w:rsidRPr="001160FC">
        <w:rPr>
          <w:i/>
          <w:iCs/>
        </w:rPr>
        <w:t>V</w:t>
      </w:r>
      <w:r w:rsidRPr="001160FC">
        <w:t xml:space="preserve"> is irrelevant, as only the value of </w:t>
      </w:r>
      <m:oMath>
        <m:d>
          <m:dPr>
            <m:begChr m:val="〈"/>
            <m:endChr m:val="〉"/>
            <m:ctrlPr>
              <w:rPr>
                <w:rFonts w:ascii="Cambria Math" w:hAnsi="Cambria Math"/>
                <w:i/>
              </w:rPr>
            </m:ctrlPr>
          </m:dPr>
          <m:e>
            <m:r>
              <w:rPr>
                <w:rFonts w:ascii="Cambria Math" w:hAnsi="Cambria Math"/>
              </w:rPr>
              <m:t>V</m:t>
            </m:r>
          </m:e>
        </m:d>
      </m:oMath>
      <w:r w:rsidRPr="001160FC">
        <w:t xml:space="preserve"> is used to calculate </w:t>
      </w:r>
      <w:r w:rsidRPr="001160FC">
        <w:rPr>
          <w:i/>
          <w:iCs/>
        </w:rPr>
        <w:t>r</w:t>
      </w:r>
      <w:r w:rsidRPr="001160FC">
        <w:t xml:space="preserve">. If </w:t>
      </w:r>
      <w:r w:rsidRPr="001160FC">
        <w:rPr>
          <w:rFonts w:cstheme="minorHAnsi"/>
        </w:rPr>
        <w:t>Δ</w:t>
      </w:r>
      <w:r w:rsidRPr="001160FC">
        <w:rPr>
          <w:rFonts w:cstheme="minorHAnsi"/>
          <w:i/>
          <w:iCs/>
        </w:rPr>
        <w:t>V</w:t>
      </w:r>
      <w:r w:rsidRPr="001160FC">
        <w:t xml:space="preserve"> is set to a </w:t>
      </w:r>
      <w:r w:rsidRPr="001160FC">
        <w:rPr>
          <w:i/>
          <w:iCs/>
        </w:rPr>
        <w:t>positive</w:t>
      </w:r>
      <w:r w:rsidRPr="001160FC">
        <w:t xml:space="preserve"> value, Approach B is used to calculate the assimilation rates (Eq. 22). In this case, it is assumed that the measured cell originates from a population of </w:t>
      </w:r>
      <w:r w:rsidRPr="001160FC">
        <w:rPr>
          <w:i/>
          <w:iCs/>
        </w:rPr>
        <w:t>partially synchronized</w:t>
      </w:r>
      <w:r w:rsidRPr="001160FC">
        <w:t xml:space="preserve"> cells characterized by known values of </w:t>
      </w:r>
      <w:r w:rsidRPr="001160FC">
        <w:rPr>
          <w:i/>
          <w:iCs/>
        </w:rPr>
        <w:t>C</w:t>
      </w:r>
      <w:r w:rsidRPr="001160FC">
        <w:rPr>
          <w:i/>
          <w:iCs/>
          <w:vertAlign w:val="subscript"/>
        </w:rPr>
        <w:t>0</w:t>
      </w:r>
      <w:r w:rsidRPr="001160FC">
        <w:t xml:space="preserve"> and </w:t>
      </w:r>
      <w:r w:rsidRPr="001160FC">
        <w:rPr>
          <w:rFonts w:cstheme="minorHAnsi"/>
        </w:rPr>
        <w:t>Δ</w:t>
      </w:r>
      <w:r w:rsidRPr="001160FC">
        <w:rPr>
          <w:i/>
          <w:iCs/>
        </w:rPr>
        <w:t>C</w:t>
      </w:r>
      <w:r w:rsidRPr="001160FC">
        <w:t xml:space="preserve"> (see Eq. 18 and </w:t>
      </w:r>
      <w:r w:rsidRPr="001160FC">
        <w:rPr>
          <w:b/>
          <w:bCs/>
        </w:rPr>
        <w:t>Supplementary Figure S1 and S2</w:t>
      </w:r>
      <w:r w:rsidRPr="001160FC">
        <w:t xml:space="preserve">). Hence, </w:t>
      </w:r>
      <w:r w:rsidRPr="001160FC">
        <w:rPr>
          <w:rFonts w:cstheme="minorHAnsi"/>
        </w:rPr>
        <w:t>Δ</w:t>
      </w:r>
      <w:r w:rsidRPr="001160FC">
        <w:rPr>
          <w:rFonts w:cstheme="minorHAnsi"/>
          <w:i/>
          <w:iCs/>
        </w:rPr>
        <w:t>V</w:t>
      </w:r>
      <w:r w:rsidRPr="001160FC">
        <w:t xml:space="preserve"> should be calculated as Δ</w:t>
      </w:r>
      <w:r w:rsidRPr="001160FC">
        <w:rPr>
          <w:i/>
          <w:iCs/>
        </w:rPr>
        <w:t>V</w:t>
      </w:r>
      <w:r w:rsidRPr="001160FC">
        <w:t xml:space="preserve"> = Δ</w:t>
      </w:r>
      <w:r w:rsidRPr="001160FC">
        <w:rPr>
          <w:i/>
          <w:iCs/>
        </w:rPr>
        <w:t>C</w:t>
      </w:r>
      <w:r w:rsidRPr="001160FC">
        <w:rPr>
          <w:vertAlign w:val="subscript"/>
        </w:rPr>
        <w:t xml:space="preserve"> </w:t>
      </w:r>
      <w:r w:rsidRPr="001160FC">
        <w:t xml:space="preserve">/ </w:t>
      </w:r>
      <w:r w:rsidRPr="001160FC">
        <w:rPr>
          <w:i/>
          <w:iCs/>
        </w:rPr>
        <w:t>ρ</w:t>
      </w:r>
      <w:r w:rsidRPr="001160FC">
        <w:t xml:space="preserve"> before entering the value in the spreadsheet cell.</w:t>
      </w:r>
    </w:p>
    <w:p w14:paraId="64173C61" w14:textId="77777777" w:rsidR="009D1550" w:rsidRPr="00163EC4" w:rsidRDefault="009D1550" w:rsidP="00163EC4">
      <w:pPr>
        <w:pStyle w:val="ListParagraph"/>
        <w:numPr>
          <w:ilvl w:val="0"/>
          <w:numId w:val="0"/>
        </w:numPr>
        <w:spacing w:before="0"/>
        <w:ind w:left="360"/>
      </w:pPr>
    </w:p>
    <w:p w14:paraId="5EFAD353" w14:textId="5673C17F" w:rsidR="00394D4E" w:rsidRPr="001160FC" w:rsidRDefault="00394D4E" w:rsidP="00394D4E">
      <w:pPr>
        <w:pStyle w:val="ListParagraph"/>
        <w:numPr>
          <w:ilvl w:val="0"/>
          <w:numId w:val="3"/>
        </w:numPr>
        <w:spacing w:before="0"/>
      </w:pPr>
      <w:r w:rsidRPr="001160FC">
        <w:rPr>
          <w:b/>
          <w:bCs/>
        </w:rPr>
        <w:t xml:space="preserve">Execute the function </w:t>
      </w:r>
      <w:r w:rsidRPr="001160FC">
        <w:rPr>
          <w:b/>
          <w:bCs/>
          <w:i/>
          <w:iCs/>
        </w:rPr>
        <w:t>RatesCells</w:t>
      </w:r>
      <w:r w:rsidRPr="001160FC">
        <w:rPr>
          <w:b/>
          <w:bCs/>
        </w:rPr>
        <w:t xml:space="preserve"> in Matlab.</w:t>
      </w:r>
      <w:r w:rsidRPr="001160FC">
        <w:rPr>
          <w:b/>
          <w:bCs/>
          <w:i/>
          <w:iCs/>
        </w:rPr>
        <w:t xml:space="preserve"> </w:t>
      </w:r>
    </w:p>
    <w:p w14:paraId="5789F3D6" w14:textId="77777777" w:rsidR="00394D4E" w:rsidRPr="001160FC" w:rsidRDefault="00394D4E" w:rsidP="00394D4E">
      <w:pPr>
        <w:pStyle w:val="ListParagraph"/>
        <w:numPr>
          <w:ilvl w:val="1"/>
          <w:numId w:val="3"/>
        </w:numPr>
        <w:tabs>
          <w:tab w:val="left" w:pos="360"/>
        </w:tabs>
        <w:spacing w:before="0"/>
        <w:ind w:left="720"/>
      </w:pPr>
      <w:r w:rsidRPr="001160FC">
        <w:t xml:space="preserve">Copy the spreadsheet with the input data to the same folder as the file </w:t>
      </w:r>
      <w:r w:rsidRPr="001160FC">
        <w:rPr>
          <w:b/>
          <w:bCs/>
          <w:i/>
          <w:iCs/>
        </w:rPr>
        <w:t>RatesCells.m</w:t>
      </w:r>
      <w:r w:rsidRPr="001160FC">
        <w:rPr>
          <w:b/>
          <w:bCs/>
        </w:rPr>
        <w:t>.</w:t>
      </w:r>
      <w:r w:rsidRPr="001160FC">
        <w:t xml:space="preserve"> </w:t>
      </w:r>
    </w:p>
    <w:p w14:paraId="625C4D07" w14:textId="77777777" w:rsidR="00394D4E" w:rsidRPr="001160FC" w:rsidRDefault="00394D4E" w:rsidP="00394D4E">
      <w:pPr>
        <w:pStyle w:val="ListParagraph"/>
        <w:numPr>
          <w:ilvl w:val="1"/>
          <w:numId w:val="3"/>
        </w:numPr>
        <w:tabs>
          <w:tab w:val="left" w:pos="720"/>
        </w:tabs>
        <w:spacing w:before="0"/>
        <w:ind w:left="720"/>
      </w:pPr>
      <w:r w:rsidRPr="001160FC">
        <w:t xml:space="preserve">Start Matlab and open the file </w:t>
      </w:r>
      <w:r w:rsidRPr="001160FC">
        <w:rPr>
          <w:b/>
          <w:bCs/>
          <w:i/>
          <w:iCs/>
        </w:rPr>
        <w:t>RatesCells.m</w:t>
      </w:r>
      <w:r w:rsidRPr="001160FC">
        <w:t xml:space="preserve"> in the Matlab editor. If necessary, change function’s default parameters (see comments within the file for explanation). Execute the function by clicking the green “Run” arrow (</w:t>
      </w:r>
      <w:r w:rsidRPr="001160FC">
        <w:rPr>
          <w:b/>
          <w:bCs/>
        </w:rPr>
        <w:t>Supplementary Figure S3b</w:t>
      </w:r>
      <w:r w:rsidRPr="001160FC">
        <w:t>).</w:t>
      </w:r>
    </w:p>
    <w:p w14:paraId="0A040227" w14:textId="77777777" w:rsidR="00394D4E" w:rsidRPr="001160FC" w:rsidRDefault="00394D4E" w:rsidP="00394D4E">
      <w:pPr>
        <w:pStyle w:val="ListParagraph"/>
        <w:numPr>
          <w:ilvl w:val="1"/>
          <w:numId w:val="3"/>
        </w:numPr>
        <w:spacing w:before="0"/>
        <w:ind w:left="720"/>
      </w:pPr>
      <w:r w:rsidRPr="001160FC">
        <w:t xml:space="preserve">The output is exported in the spreadsheet </w:t>
      </w:r>
      <w:r w:rsidRPr="001160FC">
        <w:rPr>
          <w:b/>
          <w:bCs/>
          <w:i/>
          <w:iCs/>
        </w:rPr>
        <w:t>ResultsCells1</w:t>
      </w:r>
      <w:r w:rsidRPr="001160FC">
        <w:rPr>
          <w:b/>
          <w:bCs/>
        </w:rPr>
        <w:t>.</w:t>
      </w:r>
      <w:r w:rsidRPr="001160FC">
        <w:rPr>
          <w:b/>
          <w:bCs/>
          <w:i/>
          <w:iCs/>
        </w:rPr>
        <w:t>xlsx</w:t>
      </w:r>
      <w:r w:rsidRPr="001160FC">
        <w:t xml:space="preserve"> (</w:t>
      </w:r>
      <w:r w:rsidRPr="001160FC">
        <w:rPr>
          <w:b/>
          <w:bCs/>
        </w:rPr>
        <w:t>Supplementary Figure S3c</w:t>
      </w:r>
      <w:r w:rsidRPr="001160FC">
        <w:t>), including the following values:</w:t>
      </w:r>
    </w:p>
    <w:p w14:paraId="5A4D0534" w14:textId="77777777" w:rsidR="006A5865" w:rsidRPr="001160FC" w:rsidRDefault="006A5865" w:rsidP="006A5865">
      <w:pPr>
        <w:pStyle w:val="Heading2"/>
      </w:pPr>
      <w:r w:rsidRPr="001160FC">
        <w:t>Estimating uncertainty of assimilation rates</w:t>
      </w:r>
    </w:p>
    <w:p w14:paraId="57CD74D4" w14:textId="77777777" w:rsidR="006A5865" w:rsidRPr="001160FC" w:rsidRDefault="006A5865" w:rsidP="006A5865">
      <w:pPr>
        <w:ind w:firstLine="0"/>
      </w:pPr>
      <w:r w:rsidRPr="001160FC">
        <w:t>The approaches to estimate the error (uncertainty) of the calculated assimilation rates, Δ</w:t>
      </w:r>
      <w:r w:rsidRPr="001160FC">
        <w:rPr>
          <w:i/>
          <w:iCs/>
        </w:rPr>
        <w:t>k</w:t>
      </w:r>
      <w:r w:rsidRPr="001160FC">
        <w:t xml:space="preserve"> and Δ</w:t>
      </w:r>
      <w:r w:rsidRPr="001160FC">
        <w:rPr>
          <w:i/>
          <w:iCs/>
        </w:rPr>
        <w:t>r</w:t>
      </w:r>
      <w:r w:rsidRPr="001160FC">
        <w:t>, depend on the model used to approximate C assimilation. For the first-order kinetics model, Δ</w:t>
      </w:r>
      <w:r w:rsidRPr="001160FC">
        <w:rPr>
          <w:i/>
          <w:iCs/>
        </w:rPr>
        <w:t>k</w:t>
      </w:r>
      <w:r w:rsidRPr="001160FC">
        <w:t xml:space="preserve"> and Δ</w:t>
      </w:r>
      <w:r w:rsidRPr="001160FC">
        <w:rPr>
          <w:i/>
          <w:iCs/>
        </w:rPr>
        <w:t>r</w:t>
      </w:r>
      <w:r w:rsidRPr="001160FC">
        <w:t xml:space="preserve"> are estimated using the well-known rules of error propagation </w:t>
      </w:r>
      <w:r w:rsidRPr="001160FC">
        <w:fldChar w:fldCharType="begin" w:fldLock="1"/>
      </w:r>
      <w:r w:rsidRPr="001160FC">
        <w:instrText>ADDIN CSL_CITATION {"citationItems":[{"id":"ITEM-1","itemData":{"author":[{"dropping-particle":"","family":"Fitzsimons","given":"I C W","non-dropping-particle":"","parse-names":false,"suffix":""},{"dropping-particle":"","family":"Harte","given":"B","non-dropping-particle":"","parse-names":false,"suffix":""},{"dropping-particle":"","family":"Clark","given":"R M","non-dropping-particle":"","parse-names":false,"suffix":""}],"container-title":"Mineralogical Magazine","id":"ITEM-1","issue":"1","issued":{"date-parts":[["2000"]]},"page":"59-83","title":"SIMS stable isotope measurement : counting statistics and analytical precision","type":"article-journal","volume":"64"},"uris":["http://www.mendeley.com/documents/?uuid=4c0992db-13c8-4964-8928-ce123300a60f"]}],"mendeley":{"formattedCitation":"(Fitzsimons et al., 2000)","plainTextFormattedCitation":"(Fitzsimons et al., 2000)","previouslyFormattedCitation":"(Fitzsimons et al., 2000)"},"properties":{"noteIndex":0},"schema":"https://github.com/citation-style-language/schema/raw/master/csl-citation.json"}</w:instrText>
      </w:r>
      <w:r w:rsidRPr="001160FC">
        <w:fldChar w:fldCharType="separate"/>
      </w:r>
      <w:r w:rsidRPr="001160FC">
        <w:rPr>
          <w:noProof/>
        </w:rPr>
        <w:t>(Fitzsimons et al., 2000)</w:t>
      </w:r>
      <w:r w:rsidRPr="001160FC">
        <w:fldChar w:fldCharType="end"/>
      </w:r>
      <w:r w:rsidRPr="001160FC">
        <w:t xml:space="preserve">. Specifically, by combining the derivatives </w:t>
      </w:r>
      <m:oMath>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S</m:t>
            </m:r>
          </m:sub>
          <m:sup>
            <m:r>
              <w:rPr>
                <w:rFonts w:ascii="Cambria Math" w:hAnsi="Cambria Math"/>
              </w:rPr>
              <m:t>E</m:t>
            </m:r>
          </m:sup>
        </m:sSubSup>
        <m:r>
          <w:rPr>
            <w:rFonts w:ascii="Cambria Math" w:hAnsi="Cambria Math"/>
          </w:rPr>
          <m:t>/dx</m:t>
        </m:r>
      </m:oMath>
      <w:r w:rsidRPr="001160FC">
        <w:t xml:space="preserve">, </w:t>
      </w:r>
      <m:oMath>
        <m:r>
          <w:rPr>
            <w:rFonts w:ascii="Cambria Math" w:hAnsi="Cambria Math"/>
          </w:rPr>
          <m:t>dk/d</m:t>
        </m:r>
        <m:sSubSup>
          <m:sSubSupPr>
            <m:ctrlPr>
              <w:rPr>
                <w:rFonts w:ascii="Cambria Math" w:hAnsi="Cambria Math"/>
                <w:i/>
              </w:rPr>
            </m:ctrlPr>
          </m:sSubSupPr>
          <m:e>
            <m:r>
              <w:rPr>
                <w:rFonts w:ascii="Cambria Math" w:hAnsi="Cambria Math"/>
              </w:rPr>
              <m:t>x</m:t>
            </m:r>
          </m:e>
          <m:sub>
            <m:r>
              <w:rPr>
                <w:rFonts w:ascii="Cambria Math" w:hAnsi="Cambria Math"/>
              </w:rPr>
              <m:t>S</m:t>
            </m:r>
          </m:sub>
          <m:sup>
            <m:r>
              <w:rPr>
                <w:rFonts w:ascii="Cambria Math" w:hAnsi="Cambria Math"/>
              </w:rPr>
              <m:t>E</m:t>
            </m:r>
          </m:sup>
        </m:sSubSup>
      </m:oMath>
      <w:r w:rsidRPr="001160FC">
        <w:t xml:space="preserve"> and </w:t>
      </w:r>
      <m:oMath>
        <m:r>
          <w:rPr>
            <w:rFonts w:ascii="Cambria Math" w:hAnsi="Cambria Math"/>
          </w:rPr>
          <m:t>dr/dk</m:t>
        </m:r>
      </m:oMath>
      <w:r w:rsidRPr="001160FC">
        <w:t xml:space="preserve"> calculated from equations 10, 20 and 21, respectively, we obtain the following expressions:</w:t>
      </w:r>
    </w:p>
    <w:p w14:paraId="0007DA29" w14:textId="77777777" w:rsidR="006A5865" w:rsidRPr="003D3CED" w:rsidRDefault="006A5865" w:rsidP="006A5865">
      <w:pPr>
        <w:pStyle w:val="Caption"/>
        <w:rPr>
          <w:b w:val="0"/>
          <w:bCs w:val="0"/>
          <w:i/>
        </w:rPr>
      </w:pPr>
      <m:oMathPara>
        <m:oMath>
          <m:r>
            <m:rPr>
              <m:sty m:val="bi"/>
            </m:rPr>
            <w:rPr>
              <w:rFonts w:ascii="Cambria Math" w:hAnsi="Cambria Math"/>
            </w:rPr>
            <w:lastRenderedPageBreak/>
            <m:t>∆k=</m:t>
          </m:r>
          <m:f>
            <m:fPr>
              <m:ctrlPr>
                <w:rPr>
                  <w:rFonts w:ascii="Cambria Math" w:hAnsi="Cambria Math"/>
                  <w:b w:val="0"/>
                  <w:bCs w:val="0"/>
                  <w:i/>
                </w:rPr>
              </m:ctrlPr>
            </m:fPr>
            <m:num>
              <m:r>
                <m:rPr>
                  <m:sty m:val="bi"/>
                </m:rPr>
                <w:rPr>
                  <w:rFonts w:ascii="Cambria Math" w:hAnsi="Cambria Math"/>
                </w:rPr>
                <m:t>1</m:t>
              </m:r>
            </m:num>
            <m:den>
              <m:r>
                <m:rPr>
                  <m:sty m:val="bi"/>
                </m:rPr>
                <w:rPr>
                  <w:rFonts w:ascii="Cambria Math" w:hAnsi="Cambria Math"/>
                </w:rPr>
                <m:t>t</m:t>
              </m:r>
            </m:den>
          </m:f>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∆x</m:t>
              </m:r>
            </m:num>
            <m:den>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S,eff</m:t>
                  </m:r>
                </m:sub>
              </m:sSub>
              <m:r>
                <m:rPr>
                  <m:sty m:val="bi"/>
                </m:rPr>
                <w:rPr>
                  <w:rFonts w:ascii="Cambria Math" w:hAnsi="Cambria Math"/>
                </w:rPr>
                <m:t xml:space="preserve"> -x</m:t>
              </m:r>
            </m:den>
          </m:f>
        </m:oMath>
      </m:oMathPara>
    </w:p>
    <w:p w14:paraId="48491503" w14:textId="77777777" w:rsidR="006A5865" w:rsidRPr="003D3CED" w:rsidRDefault="006A5865" w:rsidP="006A5865">
      <w:pPr>
        <w:pStyle w:val="Caption"/>
        <w:jc w:val="center"/>
        <w:rPr>
          <w:b w:val="0"/>
          <w:bCs w:val="0"/>
        </w:rPr>
      </w:pPr>
      <m:oMathPara>
        <m:oMath>
          <m:r>
            <m:rPr>
              <m:sty m:val="bi"/>
            </m:rPr>
            <w:rPr>
              <w:rFonts w:ascii="Cambria Math" w:hAnsi="Cambria Math"/>
            </w:rPr>
            <m:t>∆r = ∆k∙</m:t>
          </m:r>
          <m:d>
            <m:dPr>
              <m:begChr m:val="〈"/>
              <m:endChr m:val="〉"/>
              <m:ctrlPr>
                <w:rPr>
                  <w:rFonts w:ascii="Cambria Math" w:hAnsi="Cambria Math"/>
                  <w:b w:val="0"/>
                  <w:bCs w:val="0"/>
                  <w:i/>
                </w:rPr>
              </m:ctrlPr>
            </m:dPr>
            <m:e>
              <m:r>
                <m:rPr>
                  <m:sty m:val="bi"/>
                </m:rPr>
                <w:rPr>
                  <w:rFonts w:ascii="Cambria Math" w:hAnsi="Cambria Math"/>
                </w:rPr>
                <m:t>C</m:t>
              </m:r>
            </m:e>
          </m:d>
        </m:oMath>
      </m:oMathPara>
    </w:p>
    <w:p w14:paraId="36B7DDD2" w14:textId="77777777" w:rsidR="006A5865" w:rsidRPr="001160FC" w:rsidRDefault="006A5865" w:rsidP="006A5865">
      <w:pPr>
        <w:ind w:firstLine="0"/>
      </w:pPr>
      <w:r w:rsidRPr="001160FC">
        <w:t xml:space="preserve">where </w:t>
      </w:r>
      <w:r w:rsidRPr="001160FC">
        <w:rPr>
          <w:rFonts w:cstheme="minorHAnsi"/>
        </w:rPr>
        <w:t>Δ</w:t>
      </w:r>
      <w:r w:rsidRPr="001160FC">
        <w:rPr>
          <w:i/>
          <w:iCs/>
        </w:rPr>
        <w:t>x</w:t>
      </w:r>
      <w:r w:rsidRPr="001160FC">
        <w:t xml:space="preserve"> is the analytical error of </w:t>
      </w:r>
      <w:r w:rsidRPr="001160FC">
        <w:rPr>
          <w:i/>
          <w:iCs/>
        </w:rPr>
        <w:t>x</w:t>
      </w:r>
      <w:r w:rsidRPr="001160FC">
        <w:t xml:space="preserve">. The value of </w:t>
      </w:r>
      <w:r w:rsidRPr="001160FC">
        <w:rPr>
          <w:rFonts w:cstheme="minorHAnsi"/>
        </w:rPr>
        <w:t>Δ</w:t>
      </w:r>
      <w:r w:rsidRPr="001160FC">
        <w:rPr>
          <w:i/>
          <w:iCs/>
        </w:rPr>
        <w:t>x</w:t>
      </w:r>
      <w:r w:rsidRPr="001160FC">
        <w:t xml:space="preserve"> depends on the counts of the </w:t>
      </w:r>
      <w:r w:rsidRPr="001160FC">
        <w:rPr>
          <w:vertAlign w:val="superscript"/>
        </w:rPr>
        <w:t>13</w:t>
      </w:r>
      <w:r w:rsidRPr="001160FC">
        <w:t xml:space="preserve">C and </w:t>
      </w:r>
      <w:r w:rsidRPr="001160FC">
        <w:rPr>
          <w:vertAlign w:val="superscript"/>
        </w:rPr>
        <w:t>12</w:t>
      </w:r>
      <w:r w:rsidRPr="001160FC">
        <w:t xml:space="preserve">C ions detected from the measured cell and is exported by programs used for nanoSIMS data processing (e.g., Look@NanoSIMS; </w:t>
      </w:r>
      <w:r w:rsidRPr="001160FC">
        <w:fldChar w:fldCharType="begin" w:fldLock="1"/>
      </w:r>
      <w:r w:rsidRPr="001160FC">
        <w:instrText>ADDIN CSL_CITATION {"citationItems":[{"id":"ITEM-1","itemData":{"DOI":"10.1111/j.1462-2920.2011.02681.x","ISSN":"14622912","abstract":"We describe an open-source freeware programme for high throughput analysis of nanoSIMS (nanometre-scale secondary ion mass spectrometry) data. The programme implements basic data processing and analytical functions, including display and drift-corrected accumulation of scanned planes, interactive and semi-automated definition of regions of interest (ROIs), and export of the ROIs' elemental and isotopic composition in graphical and text-based formats. Additionally, the programme offers new functions that were custom-designed to address the needs of environmental microbiologists. Specifically, it allows manual and automated classification of ROIs based on the information that is derived either from the nanoSIMS dataset itself (e.g. from labelling achieved by halogen in situ hybridization) or is provided externally (e.g. as a fluorescence in situ hybridization image). Moreover, by implementing post-processing routines coupled to built-in statistical tools, the programme allows rapid synthesis and comparative analysis of results from many different datasets. After validation of the programme, we illustrate how these new processing and analytical functions increase flexibility, efficiency and depth of the nanoSIMS data analysis. Through its custom-made and open-source design, the programme provides an efficient, reliable and easily expandable tool that can help a growing community of environmental microbiologists and researchers from other disciplines process and analyse their nanoSIMS data. © 2012 Society for Applied Microbiology and Blackwell Publishing Ltd.","author":[{"dropping-particle":"","family":"Polerecky","given":"L.","non-dropping-particle":"","parse-names":false,"suffix":""},{"dropping-particle":"","family":"Adam","given":"B.","non-dropping-particle":"","parse-names":false,"suffix":""},{"dropping-particle":"","family":"Milucka","given":"J.","non-dropping-particle":"","parse-names":false,"suffix":""},{"dropping-particle":"","family":"Musat","given":"N.","non-dropping-particle":"","parse-names":false,"suffix":""},{"dropping-particle":"","family":"Vagner","given":"T.","non-dropping-particle":"","parse-names":false,"suffix":""},{"dropping-particle":"","family":"Kuypers","given":"M.M.M.","non-dropping-particle":"","parse-names":false,"suffix":""}],"container-title":"Environmental Microbiology","id":"ITEM-1","issue":"4","issued":{"date-parts":[["2012"]]},"title":"Look@NanoSIMS - a tool for the analysis of nanoSIMS data in environmental microbiology","type":"article-journal","volume":"14"},"uris":["http://www.mendeley.com/documents/?uuid=29fcc073-0c72-3780-88dc-b81f52ea33d8"]}],"mendeley":{"formattedCitation":"(Polerecky et al., 2012)","manualFormatting":"Polerecky et al., 2012)","plainTextFormattedCitation":"(Polerecky et al., 2012)","previouslyFormattedCitation":"(Polerecky et al., 2012)"},"properties":{"noteIndex":0},"schema":"https://github.com/citation-style-language/schema/raw/master/csl-citation.json"}</w:instrText>
      </w:r>
      <w:r w:rsidRPr="001160FC">
        <w:fldChar w:fldCharType="separate"/>
      </w:r>
      <w:r w:rsidRPr="001160FC">
        <w:rPr>
          <w:noProof/>
        </w:rPr>
        <w:t>Polerecky et al., 2012)</w:t>
      </w:r>
      <w:r w:rsidRPr="001160FC">
        <w:fldChar w:fldCharType="end"/>
      </w:r>
      <w:r w:rsidRPr="001160FC">
        <w:t>.</w:t>
      </w:r>
    </w:p>
    <w:p w14:paraId="46C59E93" w14:textId="77777777" w:rsidR="006A5865" w:rsidRPr="001160FC" w:rsidRDefault="006A5865" w:rsidP="006A5865">
      <w:pPr>
        <w:rPr>
          <w:rFonts w:cs="Times New Roman"/>
          <w:szCs w:val="24"/>
        </w:rPr>
      </w:pPr>
      <w:r w:rsidRPr="001160FC">
        <w:t xml:space="preserve">For the zero-order kinetics model of C assimilation, the errors are estimated through Monte-Carlo simulations. First, a large number of values of </w:t>
      </w:r>
      <w:r w:rsidRPr="001160FC">
        <w:rPr>
          <w:i/>
          <w:iCs/>
        </w:rPr>
        <w:t>x</w:t>
      </w:r>
      <w:r w:rsidRPr="001160FC">
        <w:rPr>
          <w:i/>
          <w:iCs/>
          <w:vertAlign w:val="subscript"/>
        </w:rPr>
        <w:t>j</w:t>
      </w:r>
      <w:r w:rsidRPr="001160FC">
        <w:t xml:space="preserve"> and </w:t>
      </w:r>
      <w:r w:rsidRPr="001160FC">
        <w:rPr>
          <w:i/>
          <w:iCs/>
        </w:rPr>
        <w:t>C</w:t>
      </w:r>
      <w:r w:rsidRPr="001160FC">
        <w:rPr>
          <w:i/>
          <w:iCs/>
          <w:vertAlign w:val="subscript"/>
        </w:rPr>
        <w:t>j</w:t>
      </w:r>
      <w:r w:rsidRPr="001160FC">
        <w:t xml:space="preserve"> are randomly generated. When applying approaches A and B, the values of </w:t>
      </w:r>
      <w:r w:rsidRPr="001160FC">
        <w:rPr>
          <w:i/>
          <w:iCs/>
        </w:rPr>
        <w:t>C</w:t>
      </w:r>
      <w:r w:rsidRPr="001160FC">
        <w:rPr>
          <w:i/>
          <w:iCs/>
          <w:vertAlign w:val="subscript"/>
        </w:rPr>
        <w:t>j</w:t>
      </w:r>
      <w:r w:rsidRPr="001160FC">
        <w:t xml:space="preserve"> are assumed to be distributed according to Eq. 16 and 18, respectively, while for both approaches the values of </w:t>
      </w:r>
      <w:r w:rsidRPr="001160FC">
        <w:rPr>
          <w:i/>
          <w:iCs/>
        </w:rPr>
        <w:t>x</w:t>
      </w:r>
      <w:r w:rsidRPr="001160FC">
        <w:rPr>
          <w:i/>
          <w:iCs/>
          <w:vertAlign w:val="subscript"/>
        </w:rPr>
        <w:t>j</w:t>
      </w:r>
      <w:r w:rsidRPr="001160FC">
        <w:t xml:space="preserve"> are assumed to be normally distributed with the standard deviation equal to </w:t>
      </w:r>
      <w:r w:rsidRPr="001160FC">
        <w:rPr>
          <w:rFonts w:cstheme="minorHAnsi"/>
        </w:rPr>
        <w:t>Δ</w:t>
      </w:r>
      <w:r w:rsidRPr="001160FC">
        <w:rPr>
          <w:i/>
          <w:iCs/>
        </w:rPr>
        <w:t>x</w:t>
      </w:r>
      <w:r w:rsidRPr="001160FC">
        <w:t xml:space="preserve">. The numerical procedure described for approaches A and B is then used to calculate </w:t>
      </w:r>
      <w:r w:rsidRPr="001160FC">
        <w:rPr>
          <w:i/>
          <w:iCs/>
        </w:rPr>
        <w:t>r</w:t>
      </w:r>
      <w:r w:rsidRPr="001160FC">
        <w:rPr>
          <w:i/>
          <w:iCs/>
          <w:vertAlign w:val="subscript"/>
        </w:rPr>
        <w:t>j</w:t>
      </w:r>
      <w:r w:rsidRPr="001160FC">
        <w:t xml:space="preserve"> for each pair of values </w:t>
      </w:r>
      <w:r w:rsidRPr="001160FC">
        <w:rPr>
          <w:i/>
          <w:iCs/>
        </w:rPr>
        <w:t>x</w:t>
      </w:r>
      <w:r w:rsidRPr="001160FC">
        <w:rPr>
          <w:i/>
          <w:iCs/>
          <w:vertAlign w:val="subscript"/>
        </w:rPr>
        <w:t>j</w:t>
      </w:r>
      <w:r w:rsidRPr="001160FC">
        <w:t xml:space="preserve"> and </w:t>
      </w:r>
      <w:r w:rsidRPr="001160FC">
        <w:rPr>
          <w:i/>
          <w:iCs/>
        </w:rPr>
        <w:t>C</w:t>
      </w:r>
      <w:r w:rsidRPr="001160FC">
        <w:rPr>
          <w:i/>
          <w:iCs/>
          <w:vertAlign w:val="subscript"/>
        </w:rPr>
        <w:t>j</w:t>
      </w:r>
      <w:r w:rsidRPr="001160FC">
        <w:t>. Finally, Δ</w:t>
      </w:r>
      <w:r w:rsidRPr="001160FC">
        <w:rPr>
          <w:i/>
          <w:iCs/>
        </w:rPr>
        <w:t>r</w:t>
      </w:r>
      <w:r w:rsidRPr="001160FC">
        <w:t xml:space="preserve"> is defined as the standard deviation of the calculated values </w:t>
      </w:r>
      <w:r w:rsidRPr="001160FC">
        <w:rPr>
          <w:i/>
          <w:iCs/>
        </w:rPr>
        <w:t>r</w:t>
      </w:r>
      <w:r w:rsidRPr="001160FC">
        <w:rPr>
          <w:i/>
          <w:iCs/>
          <w:vertAlign w:val="subscript"/>
        </w:rPr>
        <w:t>j</w:t>
      </w:r>
      <w:r w:rsidRPr="001160FC">
        <w:t>, and Δ</w:t>
      </w:r>
      <w:r w:rsidRPr="001160FC">
        <w:rPr>
          <w:i/>
          <w:iCs/>
        </w:rPr>
        <w:t>k</w:t>
      </w:r>
      <w:r w:rsidRPr="001160FC">
        <w:t xml:space="preserve"> is calculated based on Eq. 20, i.e., </w:t>
      </w:r>
      <m:oMath>
        <m:r>
          <w:rPr>
            <w:rFonts w:ascii="Cambria Math" w:hAnsi="Cambria Math"/>
          </w:rPr>
          <m:t>∆k=∆r/</m:t>
        </m:r>
        <m:d>
          <m:dPr>
            <m:begChr m:val="〈"/>
            <m:endChr m:val="〉"/>
            <m:ctrlPr>
              <w:rPr>
                <w:rFonts w:ascii="Cambria Math" w:hAnsi="Cambria Math"/>
                <w:i/>
              </w:rPr>
            </m:ctrlPr>
          </m:dPr>
          <m:e>
            <m:r>
              <w:rPr>
                <w:rFonts w:ascii="Cambria Math" w:hAnsi="Cambria Math"/>
              </w:rPr>
              <m:t>C</m:t>
            </m:r>
          </m:e>
        </m:d>
        <m:r>
          <w:rPr>
            <w:rFonts w:ascii="Cambria Math" w:hAnsi="Cambria Math"/>
          </w:rPr>
          <m:t>.</m:t>
        </m:r>
      </m:oMath>
      <w:r w:rsidRPr="001160FC">
        <w:rPr>
          <w:iCs/>
          <w:szCs w:val="21"/>
        </w:rPr>
        <w:t xml:space="preserve"> </w:t>
      </w:r>
      <w:r w:rsidRPr="001160FC">
        <w:t>This procedure to estimate the errors Δ</w:t>
      </w:r>
      <w:r w:rsidRPr="001160FC">
        <w:rPr>
          <w:i/>
          <w:iCs/>
        </w:rPr>
        <w:t>k</w:t>
      </w:r>
      <w:r w:rsidRPr="001160FC">
        <w:t xml:space="preserve"> and Δ</w:t>
      </w:r>
      <w:r w:rsidRPr="001160FC">
        <w:rPr>
          <w:i/>
          <w:iCs/>
        </w:rPr>
        <w:t>r</w:t>
      </w:r>
      <w:r w:rsidRPr="001160FC">
        <w:t xml:space="preserve"> is given as part of the same Matlab function used for finding the best estimates of the rates (</w:t>
      </w:r>
      <w:r w:rsidRPr="001160FC">
        <w:rPr>
          <w:b/>
          <w:bCs/>
        </w:rPr>
        <w:t>Supplementary Methods, Section 1.2</w:t>
      </w:r>
      <w:r w:rsidRPr="001160FC">
        <w:t>).</w:t>
      </w:r>
    </w:p>
    <w:p w14:paraId="3E1E0FFA" w14:textId="18C5771C" w:rsidR="005A1F31" w:rsidRPr="006A5865" w:rsidRDefault="005A1F31" w:rsidP="006A5865">
      <w:pPr>
        <w:pStyle w:val="Heading2"/>
        <w:rPr>
          <w:bCs/>
        </w:rPr>
      </w:pPr>
      <w:r w:rsidRPr="001160FC">
        <w:rPr>
          <w:noProof/>
        </w:rPr>
        <mc:AlternateContent>
          <mc:Choice Requires="wps">
            <w:drawing>
              <wp:anchor distT="45720" distB="45720" distL="114300" distR="114300" simplePos="0" relativeHeight="251664384" behindDoc="0" locked="0" layoutInCell="1" allowOverlap="1" wp14:anchorId="28AF0305" wp14:editId="5D138EA3">
                <wp:simplePos x="0" y="0"/>
                <wp:positionH relativeFrom="margin">
                  <wp:posOffset>-214366</wp:posOffset>
                </wp:positionH>
                <wp:positionV relativeFrom="page">
                  <wp:posOffset>4566062</wp:posOffset>
                </wp:positionV>
                <wp:extent cx="664845" cy="435610"/>
                <wp:effectExtent l="0" t="0" r="1905" b="254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435610"/>
                        </a:xfrm>
                        <a:prstGeom prst="rect">
                          <a:avLst/>
                        </a:prstGeom>
                        <a:noFill/>
                        <a:ln w="9525">
                          <a:noFill/>
                          <a:miter lim="800000"/>
                          <a:headEnd/>
                          <a:tailEnd/>
                        </a:ln>
                      </wps:spPr>
                      <wps:txbx>
                        <w:txbxContent>
                          <w:p w14:paraId="31BBF592" w14:textId="77777777" w:rsidR="005A1F31" w:rsidRDefault="005A1F31" w:rsidP="005A1F31">
                            <w:pPr>
                              <w:rPr>
                                <w:b/>
                                <w:bCs/>
                                <w14:textOutline w14:w="9525" w14:cap="rnd" w14:cmpd="sng" w14:algn="ctr">
                                  <w14:noFill/>
                                  <w14:prstDash w14:val="solid"/>
                                  <w14:bevel/>
                                </w14:textOutline>
                              </w:rPr>
                            </w:pPr>
                            <w:r>
                              <w:rPr>
                                <w:b/>
                                <w:bCs/>
                                <w14:textOutline w14:w="9525" w14:cap="rnd" w14:cmpd="sng" w14:algn="ctr">
                                  <w14:noFill/>
                                  <w14:prstDash w14:val="solid"/>
                                  <w14:bevel/>
                                </w14:textOutline>
                              </w:rPr>
                              <w:t>(c)</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AF0305" id="_x0000_t202" coordsize="21600,21600" o:spt="202" path="m,l,21600r21600,l21600,xe">
                <v:stroke joinstyle="miter"/>
                <v:path gradientshapeok="t" o:connecttype="rect"/>
              </v:shapetype>
              <v:shape id="Text Box 12" o:spid="_x0000_s1026" type="#_x0000_t202" style="position:absolute;left:0;text-align:left;margin-left:-16.9pt;margin-top:359.55pt;width:52.35pt;height:34.3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" filled="f" stroked="f">
                <v:textbox inset="0,0,0,0">
                  <w:txbxContent>
                    <w:p w14:paraId="31BBF592" w14:textId="77777777" w:rsidR="005A1F31" w:rsidRDefault="005A1F31" w:rsidP="005A1F31">
                      <w:pPr>
                        <w:rPr>
                          <w:b/>
                          <w:bCs/>
                          <w14:textOutline w14:w="9525" w14:cap="rnd" w14:cmpd="sng" w14:algn="ctr">
                            <w14:noFill/>
                            <w14:prstDash w14:val="solid"/>
                            <w14:bevel/>
                          </w14:textOutline>
                        </w:rPr>
                      </w:pPr>
                      <w:r>
                        <w:rPr>
                          <w:b/>
                          <w:bCs/>
                          <w14:textOutline w14:w="9525" w14:cap="rnd" w14:cmpd="sng" w14:algn="ctr">
                            <w14:noFill/>
                            <w14:prstDash w14:val="solid"/>
                            <w14:bevel/>
                          </w14:textOutline>
                        </w:rPr>
                        <w:t>(c)</w:t>
                      </w:r>
                    </w:p>
                  </w:txbxContent>
                </v:textbox>
                <w10:wrap anchorx="margin" anchory="page"/>
              </v:shape>
            </w:pict>
          </mc:Fallback>
        </mc:AlternateContent>
      </w:r>
      <w:r w:rsidRPr="001160FC">
        <w:rPr>
          <w:noProof/>
        </w:rPr>
        <mc:AlternateContent>
          <mc:Choice Requires="wps">
            <w:drawing>
              <wp:anchor distT="45720" distB="45720" distL="114300" distR="114300" simplePos="0" relativeHeight="251663360" behindDoc="0" locked="0" layoutInCell="1" allowOverlap="1" wp14:anchorId="5253E96B" wp14:editId="782E7E6A">
                <wp:simplePos x="0" y="0"/>
                <wp:positionH relativeFrom="margin">
                  <wp:posOffset>-226241</wp:posOffset>
                </wp:positionH>
                <wp:positionV relativeFrom="page">
                  <wp:posOffset>3265714</wp:posOffset>
                </wp:positionV>
                <wp:extent cx="640715" cy="447675"/>
                <wp:effectExtent l="0" t="0" r="6985" b="952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447675"/>
                        </a:xfrm>
                        <a:prstGeom prst="rect">
                          <a:avLst/>
                        </a:prstGeom>
                        <a:noFill/>
                        <a:ln w="9525">
                          <a:noFill/>
                          <a:miter lim="800000"/>
                          <a:headEnd/>
                          <a:tailEnd/>
                        </a:ln>
                      </wps:spPr>
                      <wps:txbx>
                        <w:txbxContent>
                          <w:p w14:paraId="370DEFBF" w14:textId="77777777" w:rsidR="005A1F31" w:rsidRDefault="005A1F31" w:rsidP="005A1F31">
                            <w:pPr>
                              <w:rPr>
                                <w:b/>
                                <w:bCs/>
                                <w14:textOutline w14:w="9525" w14:cap="rnd" w14:cmpd="sng" w14:algn="ctr">
                                  <w14:noFill/>
                                  <w14:prstDash w14:val="solid"/>
                                  <w14:bevel/>
                                </w14:textOutline>
                              </w:rPr>
                            </w:pPr>
                            <w:r>
                              <w:rPr>
                                <w:b/>
                                <w:bCs/>
                                <w14:textOutline w14:w="9525" w14:cap="rnd" w14:cmpd="sng" w14:algn="ctr">
                                  <w14:noFill/>
                                  <w14:prstDash w14:val="solid"/>
                                  <w14:bevel/>
                                </w14:textOutline>
                              </w:rPr>
                              <w:t>(b)</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3E96B" id="Text Box 10" o:spid="_x0000_s1027" type="#_x0000_t202" style="position:absolute;left:0;text-align:left;margin-left:-17.8pt;margin-top:257.15pt;width:50.45pt;height:35.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" filled="f" stroked="f">
                <v:textbox inset="0,0,0,0">
                  <w:txbxContent>
                    <w:p w14:paraId="370DEFBF" w14:textId="77777777" w:rsidR="005A1F31" w:rsidRDefault="005A1F31" w:rsidP="005A1F31">
                      <w:pPr>
                        <w:rPr>
                          <w:b/>
                          <w:bCs/>
                          <w14:textOutline w14:w="9525" w14:cap="rnd" w14:cmpd="sng" w14:algn="ctr">
                            <w14:noFill/>
                            <w14:prstDash w14:val="solid"/>
                            <w14:bevel/>
                          </w14:textOutline>
                        </w:rPr>
                      </w:pPr>
                      <w:r>
                        <w:rPr>
                          <w:b/>
                          <w:bCs/>
                          <w14:textOutline w14:w="9525" w14:cap="rnd" w14:cmpd="sng" w14:algn="ctr">
                            <w14:noFill/>
                            <w14:prstDash w14:val="solid"/>
                            <w14:bevel/>
                          </w14:textOutline>
                        </w:rPr>
                        <w:t>(b)</w:t>
                      </w:r>
                    </w:p>
                  </w:txbxContent>
                </v:textbox>
                <w10:wrap anchorx="margin" anchory="page"/>
              </v:shape>
            </w:pict>
          </mc:Fallback>
        </mc:AlternateContent>
      </w:r>
      <w:r w:rsidRPr="001160FC">
        <w:rPr>
          <w:noProof/>
        </w:rPr>
        <mc:AlternateContent>
          <mc:Choice Requires="wps">
            <w:drawing>
              <wp:anchor distT="45720" distB="45720" distL="114300" distR="114300" simplePos="0" relativeHeight="251662336" behindDoc="0" locked="0" layoutInCell="1" allowOverlap="1" wp14:anchorId="2AB4B2D4" wp14:editId="713D2E7A">
                <wp:simplePos x="0" y="0"/>
                <wp:positionH relativeFrom="margin">
                  <wp:posOffset>-214366</wp:posOffset>
                </wp:positionH>
                <wp:positionV relativeFrom="page">
                  <wp:posOffset>1211283</wp:posOffset>
                </wp:positionV>
                <wp:extent cx="593725" cy="405765"/>
                <wp:effectExtent l="0" t="0" r="0" b="13335"/>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405765"/>
                        </a:xfrm>
                        <a:prstGeom prst="rect">
                          <a:avLst/>
                        </a:prstGeom>
                        <a:noFill/>
                        <a:ln w="9525">
                          <a:noFill/>
                          <a:miter lim="800000"/>
                          <a:headEnd/>
                          <a:tailEnd/>
                        </a:ln>
                      </wps:spPr>
                      <wps:txbx>
                        <w:txbxContent>
                          <w:p w14:paraId="733E58BC" w14:textId="77777777" w:rsidR="005A1F31" w:rsidRDefault="005A1F31" w:rsidP="005A1F31">
                            <w:pPr>
                              <w:rPr>
                                <w:b/>
                                <w:bCs/>
                                <w14:textOutline w14:w="9525" w14:cap="rnd" w14:cmpd="sng" w14:algn="ctr">
                                  <w14:noFill/>
                                  <w14:prstDash w14:val="solid"/>
                                  <w14:bevel/>
                                </w14:textOutline>
                              </w:rPr>
                            </w:pPr>
                            <w:r>
                              <w:rPr>
                                <w:b/>
                                <w:bCs/>
                                <w14:textOutline w14:w="9525" w14:cap="rnd" w14:cmpd="sng" w14:algn="ctr">
                                  <w14:noFill/>
                                  <w14:prstDash w14:val="solid"/>
                                  <w14:bevel/>
                                </w14:textOutline>
                              </w:rPr>
                              <w:t>(a)</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B4B2D4" id="Text Box 217" o:spid="_x0000_s1028" type="#_x0000_t202" style="position:absolute;left:0;text-align:left;margin-left:-16.9pt;margin-top:95.4pt;width:46.75pt;height:31.9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" filled="f" stroked="f">
                <v:textbox inset="0,0,0,0">
                  <w:txbxContent>
                    <w:p w14:paraId="733E58BC" w14:textId="77777777" w:rsidR="005A1F31" w:rsidRDefault="005A1F31" w:rsidP="005A1F31">
                      <w:pPr>
                        <w:rPr>
                          <w:b/>
                          <w:bCs/>
                          <w14:textOutline w14:w="9525" w14:cap="rnd" w14:cmpd="sng" w14:algn="ctr">
                            <w14:noFill/>
                            <w14:prstDash w14:val="solid"/>
                            <w14:bevel/>
                          </w14:textOutline>
                        </w:rPr>
                      </w:pPr>
                      <w:r>
                        <w:rPr>
                          <w:b/>
                          <w:bCs/>
                          <w14:textOutline w14:w="9525" w14:cap="rnd" w14:cmpd="sng" w14:algn="ctr">
                            <w14:noFill/>
                            <w14:prstDash w14:val="solid"/>
                            <w14:bevel/>
                          </w14:textOutline>
                        </w:rPr>
                        <w:t>(a)</w:t>
                      </w:r>
                    </w:p>
                  </w:txbxContent>
                </v:textbox>
                <w10:wrap anchorx="margin" anchory="page"/>
              </v:shape>
            </w:pict>
          </mc:Fallback>
        </mc:AlternateContent>
      </w:r>
      <w:r w:rsidRPr="001160FC">
        <w:rPr>
          <w:noProof/>
        </w:rPr>
        <w:drawing>
          <wp:anchor distT="0" distB="91440" distL="114300" distR="114300" simplePos="0" relativeHeight="251661312" behindDoc="1" locked="0" layoutInCell="1" allowOverlap="1" wp14:anchorId="532CF8C1" wp14:editId="7F4FD675">
            <wp:simplePos x="0" y="0"/>
            <wp:positionH relativeFrom="margin">
              <wp:posOffset>260350</wp:posOffset>
            </wp:positionH>
            <wp:positionV relativeFrom="paragraph">
              <wp:posOffset>3777615</wp:posOffset>
            </wp:positionV>
            <wp:extent cx="4796790" cy="1065530"/>
            <wp:effectExtent l="0" t="0" r="3810" b="1270"/>
            <wp:wrapTight wrapText="bothSides">
              <wp:wrapPolygon edited="0">
                <wp:start x="0" y="0"/>
                <wp:lineTo x="0" y="21240"/>
                <wp:lineTo x="21531" y="21240"/>
                <wp:lineTo x="21531" y="0"/>
                <wp:lineTo x="0" y="0"/>
              </wp:wrapPolygon>
            </wp:wrapTight>
            <wp:docPr id="11" name="Picture 11"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able, Exce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796790" cy="1065530"/>
                    </a:xfrm>
                    <a:prstGeom prst="rect">
                      <a:avLst/>
                    </a:prstGeom>
                    <a:noFill/>
                  </pic:spPr>
                </pic:pic>
              </a:graphicData>
            </a:graphic>
            <wp14:sizeRelH relativeFrom="page">
              <wp14:pctWidth>0</wp14:pctWidth>
            </wp14:sizeRelH>
            <wp14:sizeRelV relativeFrom="page">
              <wp14:pctHeight>0</wp14:pctHeight>
            </wp14:sizeRelV>
          </wp:anchor>
        </w:drawing>
      </w:r>
      <w:r w:rsidRPr="001160FC">
        <w:rPr>
          <w:noProof/>
        </w:rPr>
        <w:drawing>
          <wp:anchor distT="91440" distB="91440" distL="114300" distR="114300" simplePos="0" relativeHeight="251660288" behindDoc="1" locked="0" layoutInCell="1" allowOverlap="1" wp14:anchorId="34E3383F" wp14:editId="0BF1988A">
            <wp:simplePos x="0" y="0"/>
            <wp:positionH relativeFrom="margin">
              <wp:posOffset>266065</wp:posOffset>
            </wp:positionH>
            <wp:positionV relativeFrom="paragraph">
              <wp:posOffset>2477135</wp:posOffset>
            </wp:positionV>
            <wp:extent cx="4735830" cy="1199515"/>
            <wp:effectExtent l="0" t="0" r="7620" b="635"/>
            <wp:wrapTight wrapText="bothSides">
              <wp:wrapPolygon edited="0">
                <wp:start x="0" y="0"/>
                <wp:lineTo x="0" y="21268"/>
                <wp:lineTo x="21548" y="21268"/>
                <wp:lineTo x="21548" y="0"/>
                <wp:lineTo x="0" y="0"/>
              </wp:wrapPolygon>
            </wp:wrapTight>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2814" r="972" b="70963"/>
                    <a:stretch/>
                  </pic:blipFill>
                  <pic:spPr bwMode="auto">
                    <a:xfrm>
                      <a:off x="0" y="0"/>
                      <a:ext cx="4735830" cy="11995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60FC">
        <w:rPr>
          <w:noProof/>
        </w:rPr>
        <w:drawing>
          <wp:anchor distT="91440" distB="91440" distL="114300" distR="114300" simplePos="0" relativeHeight="251659264" behindDoc="1" locked="0" layoutInCell="1" allowOverlap="1" wp14:anchorId="4E759CD4" wp14:editId="110E61C9">
            <wp:simplePos x="0" y="0"/>
            <wp:positionH relativeFrom="margin">
              <wp:posOffset>266065</wp:posOffset>
            </wp:positionH>
            <wp:positionV relativeFrom="paragraph">
              <wp:posOffset>422910</wp:posOffset>
            </wp:positionV>
            <wp:extent cx="5807710" cy="1955165"/>
            <wp:effectExtent l="0" t="0" r="2540" b="6985"/>
            <wp:wrapTight wrapText="bothSides">
              <wp:wrapPolygon edited="0">
                <wp:start x="0" y="0"/>
                <wp:lineTo x="0" y="21467"/>
                <wp:lineTo x="21539" y="21467"/>
                <wp:lineTo x="21539" y="0"/>
                <wp:lineTo x="0" y="0"/>
              </wp:wrapPolygon>
            </wp:wrapTight>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807710" cy="1955165"/>
                    </a:xfrm>
                    <a:prstGeom prst="rect">
                      <a:avLst/>
                    </a:prstGeom>
                    <a:noFill/>
                  </pic:spPr>
                </pic:pic>
              </a:graphicData>
            </a:graphic>
            <wp14:sizeRelH relativeFrom="page">
              <wp14:pctWidth>0</wp14:pctWidth>
            </wp14:sizeRelH>
            <wp14:sizeRelV relativeFrom="page">
              <wp14:pctHeight>0</wp14:pctHeight>
            </wp14:sizeRelV>
          </wp:anchor>
        </w:drawing>
      </w:r>
      <w:r w:rsidRPr="001160FC">
        <w:t xml:space="preserve">Supplementary </w:t>
      </w:r>
      <w:r w:rsidRPr="006A5865">
        <w:rPr>
          <w:bCs/>
        </w:rPr>
        <w:t xml:space="preserve">Figure S3. </w:t>
      </w:r>
    </w:p>
    <w:p w14:paraId="2257C6E2" w14:textId="77777777" w:rsidR="005A1F31" w:rsidRDefault="005A1F31" w:rsidP="005A1F31">
      <w:pPr>
        <w:ind w:firstLine="0"/>
      </w:pPr>
    </w:p>
    <w:p w14:paraId="1C759682" w14:textId="77777777" w:rsidR="005A1F31" w:rsidRDefault="005A1F31" w:rsidP="005A1F31">
      <w:pPr>
        <w:ind w:firstLine="0"/>
      </w:pPr>
    </w:p>
    <w:p w14:paraId="661BBADD" w14:textId="77777777" w:rsidR="005A1F31" w:rsidRDefault="005A1F31" w:rsidP="005A1F31">
      <w:pPr>
        <w:ind w:firstLine="0"/>
      </w:pPr>
    </w:p>
    <w:p w14:paraId="50DC8E9F" w14:textId="77777777" w:rsidR="005A1F31" w:rsidRDefault="005A1F31" w:rsidP="005A1F31">
      <w:pPr>
        <w:ind w:firstLine="0"/>
      </w:pPr>
    </w:p>
    <w:p w14:paraId="3858378A" w14:textId="77777777" w:rsidR="005A1F31" w:rsidRDefault="005A1F31" w:rsidP="005A1F31">
      <w:pPr>
        <w:ind w:firstLine="0"/>
      </w:pPr>
    </w:p>
    <w:p w14:paraId="2B577171" w14:textId="77777777" w:rsidR="005A1F31" w:rsidRDefault="005A1F31" w:rsidP="005A1F31">
      <w:pPr>
        <w:ind w:firstLine="0"/>
      </w:pPr>
    </w:p>
    <w:p w14:paraId="54A7BA64" w14:textId="77777777" w:rsidR="005A1F31" w:rsidRDefault="005A1F31" w:rsidP="005A1F31">
      <w:pPr>
        <w:ind w:firstLine="0"/>
      </w:pPr>
    </w:p>
    <w:p w14:paraId="41A66CF6" w14:textId="77777777" w:rsidR="005A1F31" w:rsidRPr="001160FC" w:rsidRDefault="005A1F31" w:rsidP="005A1F31">
      <w:pPr>
        <w:ind w:firstLine="0"/>
      </w:pPr>
      <w:r w:rsidRPr="001160FC">
        <w:lastRenderedPageBreak/>
        <w:t xml:space="preserve">Calculation of substrate assimilation rates by cells in Matlab. Shown are screenshots of </w:t>
      </w:r>
      <w:r w:rsidRPr="001160FC">
        <w:rPr>
          <w:b/>
          <w:bCs/>
        </w:rPr>
        <w:t xml:space="preserve">(a) </w:t>
      </w:r>
      <w:r w:rsidRPr="001160FC">
        <w:t>example</w:t>
      </w:r>
      <w:r w:rsidRPr="001160FC">
        <w:rPr>
          <w:b/>
          <w:bCs/>
        </w:rPr>
        <w:t xml:space="preserve"> </w:t>
      </w:r>
      <w:r w:rsidRPr="001160FC">
        <w:t xml:space="preserve">input data organized in a spreadsheet; </w:t>
      </w:r>
      <w:r w:rsidRPr="001160FC">
        <w:rPr>
          <w:b/>
          <w:bCs/>
        </w:rPr>
        <w:t xml:space="preserve">(b) </w:t>
      </w:r>
      <w:r w:rsidRPr="001160FC">
        <w:t xml:space="preserve">Matlab editor with the function </w:t>
      </w:r>
      <w:r w:rsidRPr="001160FC">
        <w:rPr>
          <w:b/>
          <w:bCs/>
        </w:rPr>
        <w:t xml:space="preserve">RatesCells.m </w:t>
      </w:r>
      <w:r w:rsidRPr="001160FC">
        <w:t xml:space="preserve">open (the function is executed by clicking on the green “Run” arrow); </w:t>
      </w:r>
      <w:r w:rsidRPr="001160FC">
        <w:rPr>
          <w:b/>
          <w:bCs/>
        </w:rPr>
        <w:t>(c)</w:t>
      </w:r>
      <w:r w:rsidRPr="001160FC">
        <w:t xml:space="preserve"> example of the output data organized in a spreadsheet. See </w:t>
      </w:r>
      <w:r w:rsidRPr="001160FC">
        <w:rPr>
          <w:b/>
          <w:bCs/>
        </w:rPr>
        <w:t>Supplementary Methods, Section 1.1,</w:t>
      </w:r>
      <w:r w:rsidRPr="001160FC">
        <w:t xml:space="preserve"> for the explanation of the different input and output data columns.</w:t>
      </w:r>
    </w:p>
    <w:p w14:paraId="53233318" w14:textId="77777777" w:rsidR="000D13C3" w:rsidRDefault="00F16CD3"/>
    <w:sectPr w:rsidR="000D1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94117"/>
    <w:multiLevelType w:val="hybridMultilevel"/>
    <w:tmpl w:val="F9C21CCC"/>
    <w:lvl w:ilvl="0" w:tplc="0409000F">
      <w:start w:val="1"/>
      <w:numFmt w:val="decimal"/>
      <w:lvlText w:val="%1."/>
      <w:lvlJc w:val="left"/>
      <w:pPr>
        <w:ind w:left="360" w:hanging="360"/>
      </w:pPr>
    </w:lvl>
    <w:lvl w:ilvl="1" w:tplc="04090017">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C0601A"/>
    <w:multiLevelType w:val="multilevel"/>
    <w:tmpl w:val="2D740DB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2"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4E"/>
    <w:rsid w:val="00163EC4"/>
    <w:rsid w:val="00394D4E"/>
    <w:rsid w:val="005A1F31"/>
    <w:rsid w:val="005F6B10"/>
    <w:rsid w:val="00686CE8"/>
    <w:rsid w:val="006A5865"/>
    <w:rsid w:val="009D1550"/>
    <w:rsid w:val="00B62AE9"/>
    <w:rsid w:val="00BE2BE3"/>
    <w:rsid w:val="00CB4626"/>
    <w:rsid w:val="00EE4AA7"/>
    <w:rsid w:val="00F16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3C70"/>
  <w15:chartTrackingRefBased/>
  <w15:docId w15:val="{7F2B0400-59F9-4F6E-9AA9-4A1A56E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D4E"/>
    <w:pPr>
      <w:spacing w:before="120" w:after="120" w:line="320" w:lineRule="atLeast"/>
      <w:ind w:firstLine="357"/>
      <w:jc w:val="both"/>
    </w:pPr>
    <w:rPr>
      <w:rFonts w:ascii="Times New Roman" w:hAnsi="Times New Roman"/>
      <w:sz w:val="24"/>
    </w:rPr>
  </w:style>
  <w:style w:type="paragraph" w:styleId="Heading1">
    <w:name w:val="heading 1"/>
    <w:basedOn w:val="ListParagraph"/>
    <w:next w:val="Normal"/>
    <w:link w:val="Heading1Char"/>
    <w:uiPriority w:val="9"/>
    <w:qFormat/>
    <w:rsid w:val="00394D4E"/>
    <w:pPr>
      <w:numPr>
        <w:numId w:val="2"/>
      </w:numPr>
      <w:spacing w:before="240"/>
      <w:contextualSpacing w:val="0"/>
      <w:outlineLvl w:val="0"/>
    </w:pPr>
    <w:rPr>
      <w:b/>
    </w:rPr>
  </w:style>
  <w:style w:type="paragraph" w:styleId="Heading2">
    <w:name w:val="heading 2"/>
    <w:basedOn w:val="Heading1"/>
    <w:next w:val="Normal"/>
    <w:link w:val="Heading2Char"/>
    <w:uiPriority w:val="9"/>
    <w:qFormat/>
    <w:rsid w:val="00394D4E"/>
    <w:pPr>
      <w:numPr>
        <w:ilvl w:val="1"/>
      </w:numPr>
      <w:spacing w:after="200"/>
      <w:outlineLvl w:val="1"/>
    </w:pPr>
  </w:style>
  <w:style w:type="paragraph" w:styleId="Heading3">
    <w:name w:val="heading 3"/>
    <w:basedOn w:val="Normal"/>
    <w:next w:val="Normal"/>
    <w:link w:val="Heading3Char"/>
    <w:uiPriority w:val="9"/>
    <w:qFormat/>
    <w:rsid w:val="00394D4E"/>
    <w:pPr>
      <w:keepNext/>
      <w:keepLines/>
      <w:numPr>
        <w:ilvl w:val="2"/>
        <w:numId w:val="2"/>
      </w:numPr>
      <w:spacing w:before="40"/>
      <w:outlineLvl w:val="2"/>
    </w:pPr>
    <w:rPr>
      <w:rFonts w:eastAsiaTheme="majorEastAsia" w:cstheme="majorBidi"/>
      <w:b/>
      <w:szCs w:val="24"/>
    </w:rPr>
  </w:style>
  <w:style w:type="paragraph" w:styleId="Heading4">
    <w:name w:val="heading 4"/>
    <w:basedOn w:val="Heading3"/>
    <w:next w:val="Normal"/>
    <w:link w:val="Heading4Char"/>
    <w:uiPriority w:val="9"/>
    <w:qFormat/>
    <w:rsid w:val="00394D4E"/>
    <w:pPr>
      <w:numPr>
        <w:ilvl w:val="3"/>
      </w:numPr>
      <w:outlineLvl w:val="3"/>
    </w:pPr>
    <w:rPr>
      <w:iCs/>
    </w:rPr>
  </w:style>
  <w:style w:type="paragraph" w:styleId="Heading5">
    <w:name w:val="heading 5"/>
    <w:basedOn w:val="Heading4"/>
    <w:next w:val="Normal"/>
    <w:link w:val="Heading5Char"/>
    <w:uiPriority w:val="9"/>
    <w:qFormat/>
    <w:rsid w:val="00394D4E"/>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D4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9"/>
    <w:rsid w:val="00394D4E"/>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9"/>
    <w:rsid w:val="00394D4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394D4E"/>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9"/>
    <w:rsid w:val="00394D4E"/>
    <w:rPr>
      <w:rFonts w:ascii="Times New Roman" w:eastAsiaTheme="majorEastAsia" w:hAnsi="Times New Roman" w:cstheme="majorBidi"/>
      <w:b/>
      <w:iCs/>
      <w:sz w:val="24"/>
      <w:szCs w:val="24"/>
    </w:rPr>
  </w:style>
  <w:style w:type="paragraph" w:styleId="ListParagraph">
    <w:name w:val="List Paragraph"/>
    <w:basedOn w:val="Normal"/>
    <w:uiPriority w:val="34"/>
    <w:qFormat/>
    <w:rsid w:val="00394D4E"/>
    <w:pPr>
      <w:numPr>
        <w:numId w:val="1"/>
      </w:numPr>
      <w:contextualSpacing/>
    </w:pPr>
    <w:rPr>
      <w:rFonts w:eastAsia="Cambria" w:cs="Times New Roman"/>
      <w:szCs w:val="24"/>
    </w:rPr>
  </w:style>
  <w:style w:type="numbering" w:customStyle="1" w:styleId="Headings">
    <w:name w:val="Headings"/>
    <w:uiPriority w:val="99"/>
    <w:rsid w:val="00394D4E"/>
    <w:pPr>
      <w:numPr>
        <w:numId w:val="2"/>
      </w:numPr>
    </w:pPr>
  </w:style>
  <w:style w:type="table" w:styleId="TableGrid">
    <w:name w:val="Table Grid"/>
    <w:basedOn w:val="TableNormal"/>
    <w:uiPriority w:val="39"/>
    <w:rsid w:val="00394D4E"/>
    <w:pPr>
      <w:spacing w:after="0" w:line="240" w:lineRule="auto"/>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uation"/>
    <w:basedOn w:val="Normal"/>
    <w:next w:val="NoSpacing"/>
    <w:link w:val="CaptionChar"/>
    <w:unhideWhenUsed/>
    <w:qFormat/>
    <w:rsid w:val="006A5865"/>
    <w:pPr>
      <w:keepNext/>
    </w:pPr>
    <w:rPr>
      <w:rFonts w:cs="Times New Roman"/>
      <w:b/>
      <w:bCs/>
      <w:szCs w:val="24"/>
    </w:rPr>
  </w:style>
  <w:style w:type="character" w:customStyle="1" w:styleId="CaptionChar">
    <w:name w:val="Caption Char"/>
    <w:aliases w:val="Equation Char"/>
    <w:basedOn w:val="DefaultParagraphFont"/>
    <w:link w:val="Caption"/>
    <w:rsid w:val="006A5865"/>
    <w:rPr>
      <w:rFonts w:ascii="Times New Roman" w:hAnsi="Times New Roman" w:cs="Times New Roman"/>
      <w:b/>
      <w:bCs/>
      <w:sz w:val="24"/>
      <w:szCs w:val="24"/>
    </w:rPr>
  </w:style>
  <w:style w:type="paragraph" w:styleId="NoSpacing">
    <w:name w:val="No Spacing"/>
    <w:uiPriority w:val="1"/>
    <w:qFormat/>
    <w:rsid w:val="006A5865"/>
    <w:pPr>
      <w:spacing w:after="0" w:line="240" w:lineRule="auto"/>
      <w:ind w:firstLine="357"/>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lubos</dc:creator>
  <cp:keywords/>
  <dc:description/>
  <cp:lastModifiedBy>lubos</cp:lastModifiedBy>
  <cp:revision>5</cp:revision>
  <dcterms:created xsi:type="dcterms:W3CDTF">2021-09-19T18:39:00Z</dcterms:created>
  <dcterms:modified xsi:type="dcterms:W3CDTF">2021-09-19T22:28:00Z</dcterms:modified>
</cp:coreProperties>
</file>