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70CC8" w14:textId="77777777" w:rsidR="00D46586" w:rsidRDefault="00000000">
      <w:pPr>
        <w:ind w:left="442" w:firstLineChars="3213" w:firstLine="6171"/>
        <w:rPr>
          <w:b/>
          <w:bCs/>
          <w:sz w:val="21"/>
          <w:szCs w:val="21"/>
        </w:rPr>
      </w:pPr>
      <w:r>
        <w:rPr>
          <w:rFonts w:hint="eastAsia"/>
          <w:b/>
          <w:bCs/>
          <w:sz w:val="21"/>
          <w:szCs w:val="21"/>
        </w:rPr>
        <w:t>学</w:t>
      </w:r>
      <w:r>
        <w:rPr>
          <w:rFonts w:hint="eastAsia"/>
          <w:b/>
          <w:bCs/>
          <w:sz w:val="21"/>
          <w:szCs w:val="21"/>
        </w:rPr>
        <w:t xml:space="preserve">    </w:t>
      </w:r>
      <w:r>
        <w:rPr>
          <w:rFonts w:hint="eastAsia"/>
          <w:b/>
          <w:bCs/>
          <w:sz w:val="21"/>
          <w:szCs w:val="21"/>
        </w:rPr>
        <w:t>号：</w:t>
      </w:r>
      <w:r>
        <w:rPr>
          <w:rFonts w:hint="eastAsia"/>
          <w:b/>
          <w:bCs/>
          <w:sz w:val="21"/>
          <w:szCs w:val="21"/>
          <w:u w:val="single"/>
        </w:rPr>
        <w:t xml:space="preserve"> 3212080808244  </w:t>
      </w:r>
    </w:p>
    <w:p w14:paraId="4CF21F36" w14:textId="77777777" w:rsidR="00D46586" w:rsidRDefault="00000000">
      <w:pPr>
        <w:ind w:left="442" w:firstLineChars="3213" w:firstLine="6171"/>
        <w:rPr>
          <w:b/>
          <w:bCs/>
          <w:sz w:val="21"/>
          <w:szCs w:val="21"/>
          <w:u w:val="single"/>
        </w:rPr>
      </w:pPr>
      <w:r>
        <w:rPr>
          <w:rFonts w:hint="eastAsia"/>
          <w:b/>
          <w:bCs/>
          <w:sz w:val="21"/>
          <w:szCs w:val="21"/>
        </w:rPr>
        <w:t>题目类型：</w:t>
      </w:r>
      <w:r>
        <w:rPr>
          <w:rFonts w:hint="eastAsia"/>
          <w:b/>
          <w:bCs/>
          <w:sz w:val="21"/>
          <w:szCs w:val="21"/>
          <w:u w:val="single"/>
        </w:rPr>
        <w:t xml:space="preserve">     </w:t>
      </w:r>
      <w:r>
        <w:rPr>
          <w:rFonts w:hint="eastAsia"/>
          <w:b/>
          <w:bCs/>
          <w:sz w:val="21"/>
          <w:szCs w:val="21"/>
          <w:u w:val="single"/>
        </w:rPr>
        <w:t>论文</w:t>
      </w:r>
      <w:r>
        <w:rPr>
          <w:rFonts w:hint="eastAsia"/>
          <w:b/>
          <w:bCs/>
          <w:sz w:val="21"/>
          <w:szCs w:val="21"/>
          <w:u w:val="single"/>
        </w:rPr>
        <w:t xml:space="preserve">       </w:t>
      </w:r>
    </w:p>
    <w:p w14:paraId="7FA42A30" w14:textId="77777777" w:rsidR="00D46586" w:rsidRDefault="00000000">
      <w:pPr>
        <w:spacing w:beforeLines="20" w:before="85"/>
        <w:ind w:left="442" w:firstLineChars="3792" w:firstLine="5665"/>
        <w:rPr>
          <w:b/>
          <w:bCs/>
          <w:w w:val="80"/>
        </w:rPr>
      </w:pPr>
      <w:r>
        <w:rPr>
          <w:rFonts w:hint="eastAsia"/>
          <w:b/>
          <w:bCs/>
          <w:w w:val="80"/>
          <w:sz w:val="21"/>
          <w:szCs w:val="21"/>
        </w:rPr>
        <w:t>(</w:t>
      </w:r>
      <w:r>
        <w:rPr>
          <w:rFonts w:hint="eastAsia"/>
          <w:b/>
          <w:bCs/>
          <w:w w:val="80"/>
          <w:sz w:val="21"/>
          <w:szCs w:val="21"/>
        </w:rPr>
        <w:t>设计、论文、报告</w:t>
      </w:r>
      <w:r>
        <w:rPr>
          <w:rFonts w:hint="eastAsia"/>
          <w:b/>
          <w:bCs/>
          <w:w w:val="80"/>
          <w:sz w:val="21"/>
          <w:szCs w:val="21"/>
        </w:rPr>
        <w:t>)</w:t>
      </w:r>
    </w:p>
    <w:p w14:paraId="57F36FE4" w14:textId="77777777" w:rsidR="00D46586" w:rsidRDefault="00D46586">
      <w:pPr>
        <w:ind w:left="442"/>
        <w:rPr>
          <w:rFonts w:ascii="宋体" w:hAnsi="宋体" w:hint="eastAsia"/>
          <w:w w:val="80"/>
          <w:sz w:val="36"/>
        </w:rPr>
      </w:pPr>
    </w:p>
    <w:p w14:paraId="311872CB" w14:textId="77777777" w:rsidR="00D46586" w:rsidRDefault="00000000">
      <w:pPr>
        <w:ind w:left="442"/>
        <w:jc w:val="center"/>
        <w:rPr>
          <w:rFonts w:ascii="华文行楷" w:eastAsia="华文行楷"/>
          <w:b/>
          <w:w w:val="120"/>
          <w:sz w:val="84"/>
        </w:rPr>
      </w:pPr>
      <w:r>
        <w:rPr>
          <w:rFonts w:ascii="华文行楷" w:eastAsia="华文行楷" w:hint="eastAsia"/>
          <w:b/>
          <w:spacing w:val="38"/>
          <w:sz w:val="84"/>
        </w:rPr>
        <w:t>桂林理工大学</w:t>
      </w:r>
    </w:p>
    <w:p w14:paraId="11F89DFB" w14:textId="77777777" w:rsidR="00D46586" w:rsidRDefault="00000000">
      <w:pPr>
        <w:spacing w:line="300" w:lineRule="exact"/>
        <w:ind w:left="442" w:firstLineChars="500" w:firstLine="1523"/>
      </w:pPr>
      <w:bookmarkStart w:id="0" w:name="_Toc199366265"/>
      <w:bookmarkStart w:id="1" w:name="_Toc15976"/>
      <w:r>
        <w:rPr>
          <w:rFonts w:hint="eastAsia"/>
          <w:w w:val="90"/>
          <w:sz w:val="36"/>
        </w:rPr>
        <w:t>GUILIN UNIVERSITY OF TECHNOLOGY</w:t>
      </w:r>
      <w:bookmarkEnd w:id="0"/>
      <w:bookmarkEnd w:id="1"/>
    </w:p>
    <w:p w14:paraId="09D15D8F" w14:textId="77777777" w:rsidR="00D46586" w:rsidRDefault="00D46586">
      <w:pPr>
        <w:ind w:left="442"/>
      </w:pPr>
    </w:p>
    <w:p w14:paraId="3FFEF357" w14:textId="77777777" w:rsidR="00D46586" w:rsidRDefault="00000000">
      <w:pPr>
        <w:ind w:left="442"/>
        <w:jc w:val="center"/>
        <w:rPr>
          <w:rFonts w:ascii="宋体" w:hAnsi="宋体" w:hint="eastAsia"/>
          <w:b/>
          <w:bCs/>
          <w:spacing w:val="84"/>
          <w:w w:val="80"/>
          <w:sz w:val="80"/>
        </w:rPr>
      </w:pPr>
      <w:r>
        <w:rPr>
          <w:rFonts w:ascii="宋体" w:hAnsi="宋体" w:hint="eastAsia"/>
          <w:b/>
          <w:bCs/>
          <w:spacing w:val="84"/>
          <w:w w:val="80"/>
          <w:sz w:val="80"/>
        </w:rPr>
        <w:t>本科毕业设计(论文)</w:t>
      </w:r>
    </w:p>
    <w:p w14:paraId="32CA39E1" w14:textId="77777777" w:rsidR="00D46586" w:rsidRDefault="00D46586">
      <w:pPr>
        <w:ind w:left="442"/>
        <w:rPr>
          <w:rFonts w:ascii="宋体" w:hAnsi="宋体" w:hint="eastAsia"/>
          <w:b/>
          <w:bCs/>
          <w:sz w:val="32"/>
        </w:rPr>
      </w:pPr>
    </w:p>
    <w:p w14:paraId="131B4E73" w14:textId="77777777" w:rsidR="00D46586" w:rsidRDefault="00000000">
      <w:pPr>
        <w:ind w:left="442" w:firstLineChars="489" w:firstLine="1381"/>
        <w:rPr>
          <w:rFonts w:ascii="宋体" w:hAnsi="宋体" w:hint="eastAsia"/>
          <w:b/>
          <w:bCs/>
          <w:sz w:val="30"/>
          <w:szCs w:val="30"/>
          <w:u w:val="single"/>
        </w:rPr>
      </w:pPr>
      <w:r>
        <w:rPr>
          <w:rFonts w:ascii="宋体" w:hAnsi="宋体" w:hint="eastAsia"/>
          <w:b/>
          <w:bCs/>
          <w:sz w:val="30"/>
        </w:rPr>
        <w:t>题目：</w:t>
      </w:r>
      <w:r>
        <w:rPr>
          <w:rFonts w:ascii="宋体" w:hAnsi="宋体" w:hint="eastAsia"/>
          <w:b/>
          <w:bCs/>
          <w:sz w:val="30"/>
          <w:u w:val="single"/>
        </w:rPr>
        <w:t xml:space="preserve">  吉林省东北防护林建设区生态环境综合评价  </w:t>
      </w:r>
    </w:p>
    <w:p w14:paraId="199D3FDC" w14:textId="77777777" w:rsidR="00D46586" w:rsidRDefault="00D46586">
      <w:pPr>
        <w:ind w:left="442"/>
        <w:rPr>
          <w:rFonts w:ascii="宋体" w:hAnsi="宋体" w:hint="eastAsia"/>
          <w:u w:val="single"/>
        </w:rPr>
      </w:pPr>
    </w:p>
    <w:p w14:paraId="40A7A999" w14:textId="77777777" w:rsidR="00D46586" w:rsidRDefault="00000000">
      <w:pPr>
        <w:ind w:left="442" w:firstLine="868"/>
        <w:rPr>
          <w:rFonts w:ascii="宋体" w:hAnsi="宋体" w:hint="eastAsia"/>
          <w:b/>
          <w:bCs/>
          <w:sz w:val="30"/>
        </w:rPr>
      </w:pPr>
      <w:r>
        <w:rPr>
          <w:rFonts w:ascii="宋体" w:hAnsi="宋体" w:hint="eastAsia"/>
          <w:b/>
          <w:bCs/>
          <w:sz w:val="30"/>
        </w:rPr>
        <w:t xml:space="preserve">          学      院：</w:t>
      </w:r>
      <w:r>
        <w:rPr>
          <w:rFonts w:ascii="宋体" w:hAnsi="宋体" w:hint="eastAsia"/>
          <w:b/>
          <w:bCs/>
          <w:sz w:val="30"/>
          <w:u w:val="single"/>
        </w:rPr>
        <w:t xml:space="preserve">  测绘地理信息学院   </w:t>
      </w:r>
    </w:p>
    <w:p w14:paraId="7B2221C7" w14:textId="77777777" w:rsidR="00D46586" w:rsidRDefault="00000000">
      <w:pPr>
        <w:ind w:left="442" w:firstLine="868"/>
        <w:rPr>
          <w:rFonts w:ascii="宋体" w:hAnsi="宋体" w:hint="eastAsia"/>
          <w:b/>
          <w:bCs/>
          <w:sz w:val="30"/>
        </w:rPr>
      </w:pPr>
      <w:r>
        <w:rPr>
          <w:rFonts w:ascii="宋体" w:hAnsi="宋体" w:hint="eastAsia"/>
          <w:b/>
          <w:bCs/>
          <w:sz w:val="30"/>
        </w:rPr>
        <w:t xml:space="preserve">          专业(方向)：</w:t>
      </w:r>
      <w:r>
        <w:rPr>
          <w:rFonts w:ascii="宋体" w:hAnsi="宋体" w:hint="eastAsia"/>
          <w:b/>
          <w:bCs/>
          <w:sz w:val="30"/>
          <w:u w:val="single"/>
        </w:rPr>
        <w:t xml:space="preserve">   遥感科学与技术    </w:t>
      </w:r>
    </w:p>
    <w:p w14:paraId="6776CF45" w14:textId="77777777" w:rsidR="00D46586" w:rsidRDefault="00000000">
      <w:pPr>
        <w:ind w:left="442" w:firstLine="868"/>
        <w:rPr>
          <w:rFonts w:ascii="宋体" w:hAnsi="宋体" w:hint="eastAsia"/>
          <w:b/>
          <w:bCs/>
          <w:sz w:val="30"/>
        </w:rPr>
      </w:pPr>
      <w:r>
        <w:rPr>
          <w:rFonts w:ascii="宋体" w:hAnsi="宋体" w:hint="eastAsia"/>
          <w:b/>
          <w:bCs/>
          <w:sz w:val="30"/>
        </w:rPr>
        <w:t xml:space="preserve">          班      级：</w:t>
      </w:r>
      <w:r>
        <w:rPr>
          <w:rFonts w:ascii="宋体" w:hAnsi="宋体" w:hint="eastAsia"/>
          <w:b/>
          <w:bCs/>
          <w:sz w:val="30"/>
          <w:u w:val="single"/>
        </w:rPr>
        <w:t xml:space="preserve">    遥感22-2班      </w:t>
      </w:r>
    </w:p>
    <w:p w14:paraId="53FA6D32" w14:textId="77777777" w:rsidR="00D46586" w:rsidRDefault="00000000">
      <w:pPr>
        <w:ind w:left="442" w:firstLine="868"/>
        <w:rPr>
          <w:rFonts w:ascii="宋体" w:hAnsi="宋体" w:hint="eastAsia"/>
          <w:b/>
          <w:bCs/>
          <w:sz w:val="30"/>
        </w:rPr>
      </w:pPr>
      <w:r>
        <w:rPr>
          <w:rFonts w:ascii="宋体" w:hAnsi="宋体" w:hint="eastAsia"/>
          <w:b/>
          <w:bCs/>
          <w:sz w:val="30"/>
        </w:rPr>
        <w:t xml:space="preserve">          学      生：</w:t>
      </w:r>
      <w:r>
        <w:rPr>
          <w:rFonts w:ascii="宋体" w:hAnsi="宋体" w:hint="eastAsia"/>
          <w:b/>
          <w:bCs/>
          <w:sz w:val="30"/>
          <w:u w:val="single"/>
        </w:rPr>
        <w:t xml:space="preserve">      </w:t>
      </w:r>
      <w:proofErr w:type="gramStart"/>
      <w:r>
        <w:rPr>
          <w:rFonts w:ascii="宋体" w:hAnsi="宋体" w:hint="eastAsia"/>
          <w:b/>
          <w:bCs/>
          <w:sz w:val="30"/>
          <w:u w:val="single"/>
        </w:rPr>
        <w:t>梁品仟</w:t>
      </w:r>
      <w:proofErr w:type="gramEnd"/>
      <w:r>
        <w:rPr>
          <w:rFonts w:ascii="宋体" w:hAnsi="宋体" w:hint="eastAsia"/>
          <w:b/>
          <w:bCs/>
          <w:sz w:val="30"/>
          <w:u w:val="single"/>
        </w:rPr>
        <w:t xml:space="preserve">        </w:t>
      </w:r>
    </w:p>
    <w:p w14:paraId="493BFCEB" w14:textId="77777777" w:rsidR="00D46586" w:rsidRDefault="00000000">
      <w:pPr>
        <w:ind w:left="442" w:firstLine="868"/>
        <w:rPr>
          <w:rFonts w:ascii="宋体" w:hAnsi="宋体" w:hint="eastAsia"/>
          <w:b/>
          <w:bCs/>
          <w:sz w:val="30"/>
          <w:u w:val="single"/>
        </w:rPr>
      </w:pPr>
      <w:r>
        <w:rPr>
          <w:rFonts w:ascii="宋体" w:hAnsi="宋体" w:hint="eastAsia"/>
          <w:b/>
          <w:bCs/>
          <w:sz w:val="30"/>
        </w:rPr>
        <w:t xml:space="preserve">          </w:t>
      </w:r>
      <w:r>
        <w:rPr>
          <w:rFonts w:ascii="宋体" w:hAnsi="宋体" w:hint="eastAsia"/>
          <w:b/>
          <w:bCs/>
          <w:spacing w:val="40"/>
          <w:sz w:val="30"/>
        </w:rPr>
        <w:t>指导教师</w:t>
      </w:r>
      <w:r>
        <w:rPr>
          <w:rFonts w:ascii="宋体" w:hAnsi="宋体" w:hint="eastAsia"/>
          <w:b/>
          <w:bCs/>
          <w:sz w:val="30"/>
        </w:rPr>
        <w:t>：</w:t>
      </w:r>
      <w:r>
        <w:rPr>
          <w:rFonts w:ascii="宋体" w:hAnsi="宋体" w:hint="eastAsia"/>
          <w:b/>
          <w:bCs/>
          <w:sz w:val="30"/>
          <w:u w:val="single"/>
        </w:rPr>
        <w:t xml:space="preserve">       张兴         </w:t>
      </w:r>
    </w:p>
    <w:p w14:paraId="1D62907A" w14:textId="77777777" w:rsidR="00D46586" w:rsidRDefault="00D46586">
      <w:pPr>
        <w:ind w:leftChars="0" w:left="0"/>
        <w:rPr>
          <w:rFonts w:ascii="宋体" w:hAnsi="宋体" w:hint="eastAsia"/>
          <w:b/>
          <w:bCs/>
          <w:sz w:val="20"/>
        </w:rPr>
      </w:pPr>
    </w:p>
    <w:p w14:paraId="694D4846" w14:textId="77777777" w:rsidR="00D46586" w:rsidRDefault="00000000">
      <w:pPr>
        <w:ind w:left="442"/>
        <w:jc w:val="center"/>
        <w:rPr>
          <w:rFonts w:ascii="宋体" w:hAnsi="宋体" w:hint="eastAsia"/>
          <w:b/>
          <w:bCs/>
          <w:sz w:val="28"/>
        </w:rPr>
      </w:pPr>
      <w:r>
        <w:rPr>
          <w:rFonts w:ascii="宋体" w:hAnsi="宋体" w:hint="eastAsia"/>
          <w:b/>
          <w:bCs/>
          <w:sz w:val="28"/>
        </w:rPr>
        <w:t>2026 年 6 月 1 日</w:t>
      </w:r>
    </w:p>
    <w:p w14:paraId="54DA88DC" w14:textId="77777777" w:rsidR="00D46586" w:rsidRDefault="00D46586">
      <w:pPr>
        <w:ind w:left="442"/>
        <w:rPr>
          <w:rFonts w:ascii="宋体" w:hAnsi="宋体" w:hint="eastAsia"/>
          <w:b/>
          <w:bCs/>
          <w:sz w:val="28"/>
        </w:rPr>
      </w:pPr>
    </w:p>
    <w:p w14:paraId="5EC13B2F" w14:textId="77777777" w:rsidR="00D46586" w:rsidRDefault="00D46586">
      <w:pPr>
        <w:ind w:left="442"/>
        <w:rPr>
          <w:rFonts w:ascii="宋体" w:hAnsi="宋体" w:hint="eastAsia"/>
          <w:b/>
          <w:bCs/>
          <w:sz w:val="28"/>
        </w:rPr>
        <w:sectPr w:rsidR="00D46586">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418" w:left="1701" w:header="851" w:footer="851" w:gutter="0"/>
          <w:pgNumType w:fmt="upperRoman" w:start="1"/>
          <w:cols w:space="0"/>
          <w:docGrid w:type="linesAndChars" w:linePitch="428" w:charSpace="-3842"/>
        </w:sectPr>
      </w:pPr>
    </w:p>
    <w:p w14:paraId="36085D0E" w14:textId="77777777" w:rsidR="00D46586" w:rsidRDefault="00000000">
      <w:pPr>
        <w:ind w:left="442"/>
        <w:jc w:val="center"/>
        <w:rPr>
          <w:b/>
          <w:bCs/>
          <w:spacing w:val="60"/>
          <w:sz w:val="44"/>
          <w:szCs w:val="44"/>
        </w:rPr>
      </w:pPr>
      <w:r>
        <w:rPr>
          <w:rFonts w:hint="eastAsia"/>
          <w:b/>
          <w:bCs/>
          <w:spacing w:val="60"/>
          <w:sz w:val="44"/>
          <w:szCs w:val="44"/>
        </w:rPr>
        <w:lastRenderedPageBreak/>
        <w:t>桂林理工大学</w:t>
      </w:r>
    </w:p>
    <w:p w14:paraId="79E6B9E6" w14:textId="77777777" w:rsidR="00D46586" w:rsidRDefault="00000000">
      <w:pPr>
        <w:spacing w:beforeLines="50" w:before="214"/>
        <w:ind w:left="442"/>
        <w:jc w:val="center"/>
        <w:rPr>
          <w:b/>
          <w:bCs/>
          <w:sz w:val="44"/>
          <w:szCs w:val="44"/>
        </w:rPr>
      </w:pPr>
      <w:r>
        <w:rPr>
          <w:rFonts w:hint="eastAsia"/>
          <w:b/>
          <w:bCs/>
          <w:sz w:val="44"/>
          <w:szCs w:val="44"/>
        </w:rPr>
        <w:t>毕业设计（论文）独创性声明</w:t>
      </w:r>
    </w:p>
    <w:p w14:paraId="2376A843" w14:textId="77777777" w:rsidR="00D46586" w:rsidRDefault="00000000">
      <w:pPr>
        <w:pStyle w:val="aa"/>
        <w:ind w:left="442" w:firstLine="522"/>
      </w:pPr>
      <w:r>
        <w:rPr>
          <w:rFonts w:hint="eastAsia"/>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桂林理工大学或其它教育机构的学位或证书而使用过的材料。对设计（论文）的研究成果做出贡献的个人和集体，均已作了明确的标明。本人完全意识到本声明的法律后果由本人承担。</w:t>
      </w:r>
    </w:p>
    <w:p w14:paraId="1A21E7FC" w14:textId="77777777" w:rsidR="00D46586" w:rsidRDefault="00000000">
      <w:pPr>
        <w:spacing w:line="480" w:lineRule="auto"/>
        <w:ind w:left="442" w:firstLineChars="500" w:firstLine="1106"/>
      </w:pPr>
      <w:r>
        <w:rPr>
          <w:rFonts w:hint="eastAsia"/>
        </w:rPr>
        <w:t>设计（论文）作者签名：</w:t>
      </w:r>
      <w:r>
        <w:rPr>
          <w:rFonts w:hint="eastAsia"/>
        </w:rPr>
        <w:t xml:space="preserve">           </w:t>
      </w:r>
      <w:r>
        <w:rPr>
          <w:rFonts w:hint="eastAsia"/>
        </w:rPr>
        <w:t>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21CD79A1" w14:textId="77777777" w:rsidR="00D46586" w:rsidRDefault="00000000">
      <w:pPr>
        <w:spacing w:afterLines="50" w:after="214" w:line="240" w:lineRule="auto"/>
        <w:ind w:left="442"/>
        <w:jc w:val="center"/>
        <w:rPr>
          <w:b/>
          <w:bCs/>
          <w:spacing w:val="60"/>
          <w:sz w:val="44"/>
          <w:szCs w:val="44"/>
        </w:rPr>
      </w:pPr>
      <w:r>
        <w:rPr>
          <w:rFonts w:hint="eastAsia"/>
          <w:b/>
          <w:bCs/>
          <w:spacing w:val="60"/>
          <w:sz w:val="44"/>
          <w:szCs w:val="44"/>
        </w:rPr>
        <w:t>桂林理工大学</w:t>
      </w:r>
    </w:p>
    <w:p w14:paraId="62BFC91D" w14:textId="77777777" w:rsidR="00D46586" w:rsidRDefault="00000000">
      <w:pPr>
        <w:spacing w:beforeLines="50" w:before="214"/>
        <w:ind w:left="442"/>
        <w:jc w:val="center"/>
        <w:rPr>
          <w:sz w:val="44"/>
          <w:szCs w:val="44"/>
        </w:rPr>
      </w:pPr>
      <w:r>
        <w:rPr>
          <w:rFonts w:hint="eastAsia"/>
          <w:b/>
          <w:bCs/>
          <w:sz w:val="44"/>
          <w:szCs w:val="44"/>
        </w:rPr>
        <w:t>设计（论文）使用授权声明</w:t>
      </w:r>
    </w:p>
    <w:p w14:paraId="72933D24" w14:textId="77777777" w:rsidR="00D46586" w:rsidRDefault="00000000">
      <w:pPr>
        <w:pStyle w:val="aa"/>
        <w:ind w:left="442" w:firstLine="522"/>
      </w:pPr>
      <w:r>
        <w:rPr>
          <w:rFonts w:hint="eastAsia"/>
        </w:rPr>
        <w:t>本设计（论文）作者完全了解学校有关保留、使用设计（论文）的规定，同意学校保留并向国家有关部门或机构送交设计（论文）的复印件和电子版，允许设计（论文）被查阅或借阅。本人授权桂林理工大学可以将本设计（论文）的全部或部分内容编入有关数据库进行检索，可以采用影印、缩印或扫描等复制手段保存和汇编本设计（论文）。</w:t>
      </w:r>
    </w:p>
    <w:p w14:paraId="159D8597" w14:textId="77777777" w:rsidR="00D46586" w:rsidRDefault="00000000">
      <w:pPr>
        <w:spacing w:line="720" w:lineRule="exact"/>
        <w:ind w:left="442" w:firstLineChars="500" w:firstLine="1106"/>
      </w:pPr>
      <w:r>
        <w:rPr>
          <w:rFonts w:hint="eastAsia"/>
        </w:rPr>
        <w:t>设计</w:t>
      </w:r>
      <w:r>
        <w:rPr>
          <w:rFonts w:hint="eastAsia"/>
        </w:rPr>
        <w:t>(</w:t>
      </w:r>
      <w:r>
        <w:rPr>
          <w:rFonts w:hint="eastAsia"/>
        </w:rPr>
        <w:t>论文</w:t>
      </w:r>
      <w:r>
        <w:rPr>
          <w:rFonts w:hint="eastAsia"/>
        </w:rPr>
        <w:t>)</w:t>
      </w:r>
      <w:r>
        <w:rPr>
          <w:rFonts w:hint="eastAsia"/>
        </w:rPr>
        <w:t>作者签名：</w:t>
      </w:r>
      <w:r>
        <w:rPr>
          <w:rFonts w:hint="eastAsia"/>
        </w:rPr>
        <w:t xml:space="preserve">             </w:t>
      </w:r>
      <w:r>
        <w:rPr>
          <w:rFonts w:hint="eastAsia"/>
        </w:rPr>
        <w:t>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571AC0E7" w14:textId="77777777" w:rsidR="00D46586" w:rsidRDefault="00000000">
      <w:pPr>
        <w:spacing w:line="720" w:lineRule="exact"/>
        <w:ind w:left="442" w:firstLineChars="500" w:firstLine="1106"/>
      </w:pPr>
      <w:r>
        <w:rPr>
          <w:rFonts w:hint="eastAsia"/>
        </w:rPr>
        <w:t>指</w:t>
      </w:r>
      <w:r>
        <w:rPr>
          <w:rFonts w:hint="eastAsia"/>
        </w:rPr>
        <w:t xml:space="preserve"> </w:t>
      </w:r>
      <w:r>
        <w:rPr>
          <w:rFonts w:hint="eastAsia"/>
        </w:rPr>
        <w:t>导</w:t>
      </w:r>
      <w:r>
        <w:rPr>
          <w:rFonts w:hint="eastAsia"/>
        </w:rPr>
        <w:t xml:space="preserve"> </w:t>
      </w:r>
      <w:r>
        <w:rPr>
          <w:rFonts w:hint="eastAsia"/>
        </w:rPr>
        <w:t>教</w:t>
      </w:r>
      <w:r>
        <w:rPr>
          <w:rFonts w:hint="eastAsia"/>
        </w:rPr>
        <w:t xml:space="preserve"> </w:t>
      </w:r>
      <w:r>
        <w:rPr>
          <w:rFonts w:hint="eastAsia"/>
        </w:rPr>
        <w:t>师</w:t>
      </w:r>
      <w:r>
        <w:rPr>
          <w:rFonts w:hint="eastAsia"/>
        </w:rPr>
        <w:t xml:space="preserve"> </w:t>
      </w:r>
      <w:r>
        <w:rPr>
          <w:rFonts w:hint="eastAsia"/>
        </w:rPr>
        <w:t>签</w:t>
      </w:r>
      <w:r>
        <w:rPr>
          <w:rFonts w:hint="eastAsia"/>
        </w:rPr>
        <w:t xml:space="preserve"> </w:t>
      </w:r>
      <w:r>
        <w:rPr>
          <w:rFonts w:hint="eastAsia"/>
        </w:rPr>
        <w:t>名：</w:t>
      </w:r>
      <w:r>
        <w:rPr>
          <w:rFonts w:hint="eastAsia"/>
        </w:rPr>
        <w:t xml:space="preserve">             </w:t>
      </w:r>
      <w:r>
        <w:rPr>
          <w:rFonts w:hint="eastAsia"/>
        </w:rPr>
        <w:t>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38674FF6" w14:textId="77777777" w:rsidR="00D46586" w:rsidRDefault="00D46586">
      <w:pPr>
        <w:ind w:left="442"/>
        <w:rPr>
          <w:rFonts w:asciiTheme="majorEastAsia" w:eastAsiaTheme="majorEastAsia" w:hAnsiTheme="majorEastAsia" w:cstheme="majorEastAsia" w:hint="eastAsia"/>
          <w:b/>
          <w:bCs/>
        </w:rPr>
        <w:sectPr w:rsidR="00D46586">
          <w:footerReference w:type="default" r:id="rId14"/>
          <w:pgSz w:w="11906" w:h="16838"/>
          <w:pgMar w:top="1701" w:right="1134" w:bottom="1418" w:left="1701" w:header="851" w:footer="851" w:gutter="0"/>
          <w:pgNumType w:fmt="upperRoman" w:start="1"/>
          <w:cols w:space="0"/>
          <w:docGrid w:type="linesAndChars" w:linePitch="428" w:charSpace="-3842"/>
        </w:sectPr>
      </w:pPr>
    </w:p>
    <w:p w14:paraId="6E735560" w14:textId="77777777" w:rsidR="00D46586" w:rsidRDefault="00000000">
      <w:pPr>
        <w:spacing w:before="40" w:after="40" w:line="288" w:lineRule="auto"/>
        <w:ind w:left="480"/>
        <w:jc w:val="center"/>
        <w:outlineLvl w:val="0"/>
        <w:rPr>
          <w:b/>
          <w:bCs/>
          <w:sz w:val="30"/>
          <w:szCs w:val="30"/>
        </w:rPr>
      </w:pPr>
      <w:bookmarkStart w:id="2" w:name="_Toc230693466"/>
      <w:bookmarkStart w:id="3" w:name="_Toc23126"/>
      <w:bookmarkStart w:id="4" w:name="_Toc230815643"/>
      <w:r>
        <w:rPr>
          <w:rFonts w:hint="eastAsia"/>
          <w:b/>
          <w:bCs/>
          <w:sz w:val="30"/>
          <w:szCs w:val="30"/>
        </w:rPr>
        <w:lastRenderedPageBreak/>
        <w:t>摘要</w:t>
      </w:r>
      <w:bookmarkEnd w:id="2"/>
      <w:bookmarkEnd w:id="3"/>
      <w:bookmarkEnd w:id="4"/>
    </w:p>
    <w:p w14:paraId="599F28E1" w14:textId="77777777" w:rsidR="00D46586" w:rsidRDefault="00000000">
      <w:pPr>
        <w:spacing w:before="40" w:after="40" w:line="288" w:lineRule="auto"/>
        <w:ind w:left="480" w:firstLineChars="200" w:firstLine="480"/>
      </w:pPr>
      <w:r>
        <w:rPr>
          <w:rFonts w:hint="eastAsia"/>
        </w:rPr>
        <w:t>生态环境的好坏，直接关系到人类社会的可持续发展，对区域内的生态环境质量进行科学的评价，能为生态保护与修复提供重要依据。三北防护林工程是一项为防治风沙灾害、水土流失等生态问题而实施的大型人工林业生态工程，走过了</w:t>
      </w:r>
      <w:r>
        <w:rPr>
          <w:rFonts w:hint="eastAsia"/>
        </w:rPr>
        <w:t>40</w:t>
      </w:r>
      <w:r>
        <w:rPr>
          <w:rFonts w:hint="eastAsia"/>
        </w:rPr>
        <w:t>余年的建设历程，在我国北方已经构筑起了重要的生态屏障。吉林省东北防护林建设区作为三北防护林体系的关键组成部分，区域内天然林场与人工防护林并存，生态地位突出。本研究以吉林省东北防护林建设区为对象，选取了</w:t>
      </w:r>
      <w:r>
        <w:rPr>
          <w:rFonts w:hint="eastAsia"/>
        </w:rPr>
        <w:t>1985</w:t>
      </w:r>
      <w:r>
        <w:rPr>
          <w:rFonts w:hint="eastAsia"/>
        </w:rPr>
        <w:t>—</w:t>
      </w:r>
      <w:r>
        <w:rPr>
          <w:rFonts w:hint="eastAsia"/>
        </w:rPr>
        <w:t>2020</w:t>
      </w:r>
      <w:r>
        <w:rPr>
          <w:rFonts w:hint="eastAsia"/>
        </w:rPr>
        <w:t>年间七期</w:t>
      </w:r>
      <w:r>
        <w:rPr>
          <w:rFonts w:hint="eastAsia"/>
        </w:rPr>
        <w:t>Landsat</w:t>
      </w:r>
      <w:r>
        <w:rPr>
          <w:rFonts w:hint="eastAsia"/>
        </w:rPr>
        <w:t>系列遥感影像，借助</w:t>
      </w:r>
      <w:r>
        <w:rPr>
          <w:rFonts w:hint="eastAsia"/>
        </w:rPr>
        <w:t>ENVI5.6</w:t>
      </w:r>
      <w:r>
        <w:rPr>
          <w:rFonts w:hint="eastAsia"/>
        </w:rPr>
        <w:t>和</w:t>
      </w:r>
      <w:r>
        <w:rPr>
          <w:rFonts w:hint="eastAsia"/>
        </w:rPr>
        <w:t>ArcGIS10.8</w:t>
      </w:r>
      <w:r>
        <w:rPr>
          <w:rFonts w:hint="eastAsia"/>
        </w:rPr>
        <w:t>软件平台，把遥感生态指数（</w:t>
      </w:r>
      <w:r>
        <w:rPr>
          <w:rFonts w:hint="eastAsia"/>
        </w:rPr>
        <w:t>RSEI</w:t>
      </w:r>
      <w:r>
        <w:rPr>
          <w:rFonts w:hint="eastAsia"/>
        </w:rPr>
        <w:t>）作为评价方法，综合绿度、湿度、热度、干度四项指标，通过主成分分析法来构建</w:t>
      </w:r>
      <w:r>
        <w:rPr>
          <w:rFonts w:hint="eastAsia"/>
        </w:rPr>
        <w:t>RSEI</w:t>
      </w:r>
      <w:r>
        <w:rPr>
          <w:rFonts w:hint="eastAsia"/>
        </w:rPr>
        <w:t>指数，对研究区</w:t>
      </w:r>
      <w:r>
        <w:rPr>
          <w:rFonts w:hint="eastAsia"/>
        </w:rPr>
        <w:t>35</w:t>
      </w:r>
      <w:r>
        <w:rPr>
          <w:rFonts w:hint="eastAsia"/>
        </w:rPr>
        <w:t>年来的生态环境质量进行综合评价与动态分析。</w:t>
      </w:r>
    </w:p>
    <w:p w14:paraId="49F013E2" w14:textId="77777777" w:rsidR="00D46586" w:rsidRDefault="00000000">
      <w:pPr>
        <w:spacing w:before="40" w:after="40" w:line="288" w:lineRule="auto"/>
        <w:ind w:left="480" w:firstLineChars="200" w:firstLine="480"/>
      </w:pPr>
      <w:r>
        <w:rPr>
          <w:rFonts w:hint="eastAsia"/>
        </w:rPr>
        <w:t>研究结果显示，研究区七期</w:t>
      </w:r>
      <w:r>
        <w:rPr>
          <w:rFonts w:hint="eastAsia"/>
        </w:rPr>
        <w:t>RSEI</w:t>
      </w:r>
      <w:r>
        <w:rPr>
          <w:rFonts w:hint="eastAsia"/>
        </w:rPr>
        <w:t>均值分别为</w:t>
      </w:r>
      <w:r>
        <w:rPr>
          <w:rFonts w:hint="eastAsia"/>
        </w:rPr>
        <w:t>0.742</w:t>
      </w:r>
      <w:r>
        <w:rPr>
          <w:rFonts w:hint="eastAsia"/>
        </w:rPr>
        <w:t>、</w:t>
      </w:r>
      <w:r>
        <w:rPr>
          <w:rFonts w:hint="eastAsia"/>
        </w:rPr>
        <w:t>0.582</w:t>
      </w:r>
      <w:r>
        <w:rPr>
          <w:rFonts w:hint="eastAsia"/>
        </w:rPr>
        <w:t>、</w:t>
      </w:r>
      <w:r>
        <w:rPr>
          <w:rFonts w:hint="eastAsia"/>
        </w:rPr>
        <w:t>0.598</w:t>
      </w:r>
      <w:r>
        <w:rPr>
          <w:rFonts w:hint="eastAsia"/>
        </w:rPr>
        <w:t>、</w:t>
      </w:r>
      <w:r>
        <w:rPr>
          <w:rFonts w:hint="eastAsia"/>
        </w:rPr>
        <w:t>0.719</w:t>
      </w:r>
      <w:r>
        <w:rPr>
          <w:rFonts w:hint="eastAsia"/>
        </w:rPr>
        <w:t>、</w:t>
      </w:r>
      <w:r>
        <w:rPr>
          <w:rFonts w:hint="eastAsia"/>
        </w:rPr>
        <w:t>0.637</w:t>
      </w:r>
      <w:r>
        <w:rPr>
          <w:rFonts w:hint="eastAsia"/>
        </w:rPr>
        <w:t>，总体呈现先下降后上升趋势，表明经过城市大建设后国家对生态环境的态度愈发重视生态环境质量不断改善。从</w:t>
      </w:r>
      <w:r>
        <w:rPr>
          <w:rFonts w:hint="eastAsia"/>
        </w:rPr>
        <w:t>RSEI</w:t>
      </w:r>
      <w:r>
        <w:rPr>
          <w:rFonts w:hint="eastAsia"/>
        </w:rPr>
        <w:t>分级统计来看，生态质量“优”和“良”等级所占比重逐步提高，“一般”“较差”和“差”等级面积有所减少，说明防护林工程建设对区域生态环境起到了积极的改善作用。主要是在第四期工程之后，得到了大幅度改善，整体呈现下降趋势。结合以上分析，研究区的总体生态质量状况较为良好，在第四级别的“良”较多。所以防护林的建设还是对生态环境起到了正向作用，改变了地区风沙灾害和水土流失的负面影像。结合时空变化分析研究区大兴安岭、松嫩平原等区域的生态质量稳步向好，防护林体系在防风固沙、水土保持和生物多样性保护等方面发挥了显著的生态效益。本研究可为吉林省东北防护林建设区的后续规划与科学管护提供数据支撑和决策参考。</w:t>
      </w:r>
    </w:p>
    <w:p w14:paraId="1A379E45" w14:textId="77777777" w:rsidR="00D46586" w:rsidRDefault="00000000">
      <w:pPr>
        <w:spacing w:before="40" w:after="40" w:line="288" w:lineRule="auto"/>
        <w:ind w:left="480"/>
        <w:rPr>
          <w:rFonts w:ascii="宋体" w:hAnsi="宋体" w:cs="宋体" w:hint="eastAsia"/>
        </w:rPr>
      </w:pPr>
      <w:r>
        <w:rPr>
          <w:rFonts w:ascii="宋体" w:hAnsi="宋体" w:cs="宋体" w:hint="eastAsia"/>
          <w:b/>
          <w:bCs/>
        </w:rPr>
        <w:t>关键词：</w:t>
      </w:r>
      <w:r>
        <w:rPr>
          <w:rFonts w:ascii="宋体" w:hAnsi="宋体" w:cs="宋体" w:hint="eastAsia"/>
        </w:rPr>
        <w:t>生态环境质量；遥感生态指数；防护林；综合评价；吉林省</w:t>
      </w:r>
    </w:p>
    <w:p w14:paraId="62BF7662" w14:textId="77777777" w:rsidR="00D46586" w:rsidRDefault="00D46586">
      <w:pPr>
        <w:spacing w:before="40" w:after="40" w:line="288" w:lineRule="auto"/>
        <w:ind w:left="480"/>
        <w:rPr>
          <w:rFonts w:ascii="宋体" w:hAnsi="宋体" w:cs="宋体" w:hint="eastAsia"/>
        </w:rPr>
      </w:pPr>
    </w:p>
    <w:p w14:paraId="662D8C14" w14:textId="77777777" w:rsidR="00D46586" w:rsidRDefault="00D46586">
      <w:pPr>
        <w:ind w:left="480"/>
        <w:sectPr w:rsidR="00D46586">
          <w:pgSz w:w="11906" w:h="16838"/>
          <w:pgMar w:top="1440" w:right="1800" w:bottom="1440" w:left="1800" w:header="851" w:footer="992" w:gutter="0"/>
          <w:cols w:space="425"/>
          <w:docGrid w:type="lines" w:linePitch="312"/>
        </w:sectPr>
      </w:pPr>
    </w:p>
    <w:p w14:paraId="7C63CC7B" w14:textId="77777777" w:rsidR="00D46586" w:rsidRDefault="00000000">
      <w:pPr>
        <w:ind w:left="480"/>
        <w:jc w:val="center"/>
        <w:rPr>
          <w:b/>
          <w:bCs/>
          <w:sz w:val="30"/>
          <w:szCs w:val="30"/>
        </w:rPr>
      </w:pPr>
      <w:r>
        <w:rPr>
          <w:b/>
          <w:bCs/>
          <w:sz w:val="30"/>
          <w:szCs w:val="30"/>
        </w:rPr>
        <w:lastRenderedPageBreak/>
        <w:t>Comprehensive Evaluation of Ecological Environment in the Northeast Shelterbelt Forest Construction Area of Jilin Province</w:t>
      </w:r>
    </w:p>
    <w:p w14:paraId="1BA87622" w14:textId="77777777" w:rsidR="00D46586" w:rsidRDefault="00000000">
      <w:pPr>
        <w:ind w:left="480"/>
        <w:jc w:val="center"/>
        <w:rPr>
          <w:b/>
          <w:bCs/>
          <w:sz w:val="30"/>
          <w:szCs w:val="30"/>
        </w:rPr>
      </w:pPr>
      <w:r>
        <w:rPr>
          <w:rFonts w:hint="eastAsia"/>
          <w:b/>
          <w:bCs/>
          <w:sz w:val="30"/>
          <w:szCs w:val="30"/>
        </w:rPr>
        <w:t>China</w:t>
      </w:r>
    </w:p>
    <w:p w14:paraId="28C8BC1D" w14:textId="77777777" w:rsidR="00D46586" w:rsidRDefault="00000000">
      <w:pPr>
        <w:ind w:left="480"/>
        <w:jc w:val="center"/>
        <w:rPr>
          <w:sz w:val="28"/>
          <w:szCs w:val="28"/>
        </w:rPr>
      </w:pPr>
      <w:r>
        <w:rPr>
          <w:sz w:val="28"/>
          <w:szCs w:val="28"/>
        </w:rPr>
        <w:t>Student: LIANG Pin-Qian</w:t>
      </w:r>
      <w:r>
        <w:rPr>
          <w:rFonts w:hint="eastAsia"/>
          <w:sz w:val="28"/>
          <w:szCs w:val="28"/>
        </w:rPr>
        <w:t xml:space="preserve"> </w:t>
      </w:r>
      <w:r>
        <w:rPr>
          <w:sz w:val="28"/>
          <w:szCs w:val="28"/>
        </w:rPr>
        <w:t>Teacher: ZHANG Xing</w:t>
      </w:r>
    </w:p>
    <w:p w14:paraId="37E55C22" w14:textId="77777777" w:rsidR="00D46586" w:rsidRDefault="00000000">
      <w:pPr>
        <w:ind w:left="480"/>
        <w:outlineLvl w:val="0"/>
        <w:rPr>
          <w:b/>
          <w:bCs/>
          <w:sz w:val="28"/>
          <w:szCs w:val="28"/>
        </w:rPr>
      </w:pPr>
      <w:bookmarkStart w:id="5" w:name="_Toc13833"/>
      <w:bookmarkStart w:id="6" w:name="_Toc230693467"/>
      <w:bookmarkStart w:id="7" w:name="_Toc230815644"/>
      <w:r>
        <w:rPr>
          <w:b/>
          <w:bCs/>
          <w:sz w:val="28"/>
          <w:szCs w:val="28"/>
        </w:rPr>
        <w:t>Abstract</w:t>
      </w:r>
      <w:r>
        <w:rPr>
          <w:rFonts w:hint="eastAsia"/>
          <w:b/>
          <w:bCs/>
          <w:sz w:val="28"/>
          <w:szCs w:val="28"/>
        </w:rPr>
        <w:t>:</w:t>
      </w:r>
      <w:bookmarkEnd w:id="5"/>
      <w:bookmarkEnd w:id="6"/>
      <w:bookmarkEnd w:id="7"/>
    </w:p>
    <w:p w14:paraId="750C55A5" w14:textId="77777777" w:rsidR="00D46586" w:rsidRDefault="00000000">
      <w:pPr>
        <w:ind w:left="480" w:firstLineChars="200" w:firstLine="480"/>
      </w:pPr>
      <w:r>
        <w:t>Eco-environmental quality lies at the foundation of sustainable human development, and a scientifically sound assessment of regional eco-environmental conditions has become a crucial prerequisite for ecological protection and restoration efforts. The Three-North Shelterbelt Forest Program (TNSFP) is a large-scale artificial forestry project that China has implemented to combat aeolian desertification, soil erosion, and a range of related ecological problems; after more than 40 years of sustained construction, a vital ecological barrier has been firmly established across the northern reaches of the country. The Northeast China Shelterbelt Forest Construction Area in Jilin Province, as a key component of the TNSFP, encompasses both natural forest farms and planted shelterbelts and occupies a particularly prominent ecological position. Taking this area as the research object, the present study draws on seven periods of Landsat series remote sensing images covering the years from 1985 to 2020, utilizes the ENVI 5.6 and ArcGIS 10.8 software platforms, and adopts the Remote Sensing Ecological Index (RSEI) method; four indicators — greenness, wetness, heat, and dryness — are integrated, and principal component analysis (PCA) is applied to construct the RSEI, through which a comprehensive evaluation and dynamic analysis of the eco-environmental quality in the study area over the past 35 years has been conducted.</w:t>
      </w:r>
    </w:p>
    <w:p w14:paraId="753E9E36" w14:textId="77777777" w:rsidR="00D46586" w:rsidRDefault="00000000">
      <w:pPr>
        <w:ind w:left="480" w:firstLineChars="200" w:firstLine="480"/>
      </w:pPr>
      <w:r>
        <w:t xml:space="preserve">The results show that the mean RSEI values for the seven periods stand at 0.742, 0.582, 0.598, 0.719, and 0.637, respectively, exhibiting an overall trend of </w:t>
      </w:r>
      <w:r>
        <w:lastRenderedPageBreak/>
        <w:t xml:space="preserve">first declining and then rising. This pattern suggests that, after a phase of large-scale urban construction, the growing national emphasis on the ecological environment has gradually translated into continuous improvements in eco-environmental quality. Based on the RSEI classification statistics, the proportions of areas rated as "excellent" and "good" have been steadily expanding, while those classified as "fair," "poor," and "bad" have correspondingly diminished — a clear indication that the shelterbelt forest project has played a demonstrably positive role in improving the regional eco-environment. Notably, significant improvement has been observed particularly after the fourth phase of the project, with lower-quality areas following an overall declining trajectory. Taken together, the overall ecological quality of the study area can be considered relatively favorable, with the "good" (level four) category having consistently accounted for a rather high proportion. The construction of shelterbelts has therefore exerted a positive influence on the ecological environment, effectively reversing the negative impacts of aeolian desertification and soil erosion across the region. Further spatiotemporal change analysis reveals that the ecological quality in areas such as the Greater Khingan Range and the </w:t>
      </w:r>
      <w:proofErr w:type="spellStart"/>
      <w:r>
        <w:t>Songnen</w:t>
      </w:r>
      <w:proofErr w:type="spellEnd"/>
      <w:r>
        <w:t xml:space="preserve"> Plain within the study area has improved in a relatively steady manner over time; the shelterbelt system has fulfilled a significant ecological role in windbreak and sand fixation, soil and water conservation, and biodiversity protection. This study is expected to offer data support and decision-making references that can inform the future planning and scientifically grounded management of the Northeast China Shelterbelt Forest Construction Area in Jilin Province.</w:t>
      </w:r>
    </w:p>
    <w:p w14:paraId="7E4886CF" w14:textId="77777777" w:rsidR="00D46586" w:rsidRDefault="00D46586">
      <w:pPr>
        <w:ind w:left="480"/>
      </w:pPr>
    </w:p>
    <w:p w14:paraId="3F68A384" w14:textId="77777777" w:rsidR="00D46586" w:rsidRDefault="00000000">
      <w:pPr>
        <w:ind w:left="480"/>
      </w:pPr>
      <w:r>
        <w:t>Keywords: eco-environmental quality; remote sensing ecological index (RSEI); shelterbelt forest; comprehensive evaluation; Jilin Province...</w:t>
      </w:r>
    </w:p>
    <w:p w14:paraId="2C55E395" w14:textId="77777777" w:rsidR="00D46586" w:rsidRDefault="00D46586">
      <w:pPr>
        <w:ind w:left="480"/>
      </w:pPr>
    </w:p>
    <w:p w14:paraId="7608A2CB" w14:textId="77777777" w:rsidR="00D46586" w:rsidRDefault="00D46586">
      <w:pPr>
        <w:ind w:leftChars="0" w:left="0"/>
        <w:sectPr w:rsidR="00D46586">
          <w:pgSz w:w="11906" w:h="16838"/>
          <w:pgMar w:top="1440" w:right="1800" w:bottom="1440" w:left="1800" w:header="851" w:footer="992" w:gutter="0"/>
          <w:cols w:space="425"/>
          <w:docGrid w:type="lines" w:linePitch="312"/>
        </w:sectPr>
      </w:pPr>
    </w:p>
    <w:p w14:paraId="6BBDFA76" w14:textId="62312F67" w:rsidR="0035488F" w:rsidRDefault="0035488F">
      <w:pPr>
        <w:pStyle w:val="TOC1"/>
        <w:tabs>
          <w:tab w:val="right" w:leader="dot" w:pos="8296"/>
        </w:tabs>
        <w:ind w:left="480"/>
        <w:rPr>
          <w:rFonts w:asciiTheme="minorHAnsi" w:eastAsiaTheme="minorEastAsia" w:hAnsiTheme="minorHAnsi" w:hint="eastAsia"/>
          <w:noProof/>
          <w:sz w:val="22"/>
          <w14:ligatures w14:val="standardContextual"/>
        </w:rPr>
      </w:pPr>
      <w:r>
        <w:lastRenderedPageBreak/>
        <w:fldChar w:fldCharType="begin"/>
      </w:r>
      <w:r>
        <w:instrText xml:space="preserve"> TOC \o "1-3" \h \z \u </w:instrText>
      </w:r>
      <w:r>
        <w:fldChar w:fldCharType="separate"/>
      </w:r>
      <w:hyperlink w:anchor="_Toc230815643" w:history="1">
        <w:r w:rsidRPr="00E43FB7">
          <w:rPr>
            <w:rStyle w:val="af5"/>
            <w:b/>
            <w:bCs/>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23E7F1E" w14:textId="21C3334C" w:rsidR="0035488F" w:rsidRDefault="0035488F">
      <w:pPr>
        <w:pStyle w:val="TOC1"/>
        <w:tabs>
          <w:tab w:val="right" w:leader="dot" w:pos="8296"/>
        </w:tabs>
        <w:ind w:left="480"/>
        <w:rPr>
          <w:rFonts w:asciiTheme="minorHAnsi" w:eastAsiaTheme="minorEastAsia" w:hAnsiTheme="minorHAnsi" w:hint="eastAsia"/>
          <w:noProof/>
          <w:sz w:val="22"/>
          <w14:ligatures w14:val="standardContextual"/>
        </w:rPr>
      </w:pPr>
      <w:hyperlink w:anchor="_Toc230815644" w:history="1">
        <w:r w:rsidRPr="00E43FB7">
          <w:rPr>
            <w:rStyle w:val="af5"/>
            <w:b/>
            <w:bCs/>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29FA4A6" w14:textId="32835F66" w:rsidR="0035488F" w:rsidRDefault="0035488F">
      <w:pPr>
        <w:pStyle w:val="TOC1"/>
        <w:tabs>
          <w:tab w:val="right" w:leader="dot" w:pos="8296"/>
        </w:tabs>
        <w:ind w:left="480"/>
        <w:rPr>
          <w:rFonts w:asciiTheme="minorHAnsi" w:eastAsiaTheme="minorEastAsia" w:hAnsiTheme="minorHAnsi" w:hint="eastAsia"/>
          <w:noProof/>
          <w:sz w:val="22"/>
          <w14:ligatures w14:val="standardContextual"/>
        </w:rPr>
      </w:pPr>
      <w:hyperlink w:anchor="_Toc230815645" w:history="1">
        <w:r w:rsidRPr="00E43FB7">
          <w:rPr>
            <w:rStyle w:val="af5"/>
            <w:noProof/>
          </w:rPr>
          <w:t xml:space="preserve">1 </w:t>
        </w:r>
        <w:r w:rsidRPr="00E43FB7">
          <w:rPr>
            <w:rStyle w:val="af5"/>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17C4CCC" w14:textId="2588D8B9"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46" w:history="1">
        <w:r w:rsidRPr="00E43FB7">
          <w:rPr>
            <w:rStyle w:val="af5"/>
            <w:noProof/>
          </w:rPr>
          <w:t>1.1</w:t>
        </w:r>
        <w:r w:rsidRPr="00E43FB7">
          <w:rPr>
            <w:rStyle w:val="af5"/>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89AF571" w14:textId="2442F728"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47" w:history="1">
        <w:r w:rsidRPr="00E43FB7">
          <w:rPr>
            <w:rStyle w:val="af5"/>
            <w:noProof/>
          </w:rPr>
          <w:t>1.2</w:t>
        </w:r>
        <w:r w:rsidRPr="00E43FB7">
          <w:rPr>
            <w:rStyle w:val="af5"/>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BC6C6E5" w14:textId="6D2689E0"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48" w:history="1">
        <w:r w:rsidRPr="00E43FB7">
          <w:rPr>
            <w:rStyle w:val="af5"/>
            <w:noProof/>
          </w:rPr>
          <w:t xml:space="preserve">1.2.1 </w:t>
        </w:r>
        <w:r w:rsidRPr="00E43FB7">
          <w:rPr>
            <w:rStyle w:val="af5"/>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3C906AD" w14:textId="3D3D3417"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49" w:history="1">
        <w:r w:rsidRPr="00E43FB7">
          <w:rPr>
            <w:rStyle w:val="af5"/>
            <w:noProof/>
          </w:rPr>
          <w:t xml:space="preserve">1.2.2 </w:t>
        </w:r>
        <w:r w:rsidRPr="00E43FB7">
          <w:rPr>
            <w:rStyle w:val="af5"/>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211D943" w14:textId="68DFA0AF"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50" w:history="1">
        <w:r w:rsidRPr="00E43FB7">
          <w:rPr>
            <w:rStyle w:val="af5"/>
            <w:noProof/>
          </w:rPr>
          <w:t xml:space="preserve">1.3 </w:t>
        </w:r>
        <w:r w:rsidRPr="00E43FB7">
          <w:rPr>
            <w:rStyle w:val="af5"/>
            <w:noProof/>
          </w:rPr>
          <w:t>研究思路与内容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1C8C4F2" w14:textId="1767A914"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51" w:history="1">
        <w:r w:rsidRPr="00E43FB7">
          <w:rPr>
            <w:rStyle w:val="af5"/>
            <w:noProof/>
          </w:rPr>
          <w:t xml:space="preserve">1.3.1 </w:t>
        </w:r>
        <w:r w:rsidRPr="00E43FB7">
          <w:rPr>
            <w:rStyle w:val="af5"/>
            <w:noProof/>
          </w:rPr>
          <w:t>本文的研究内容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E383714" w14:textId="4326E90F"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52" w:history="1">
        <w:r w:rsidRPr="00E43FB7">
          <w:rPr>
            <w:rStyle w:val="af5"/>
            <w:noProof/>
          </w:rPr>
          <w:t xml:space="preserve">1.3.2 </w:t>
        </w:r>
        <w:r w:rsidRPr="00E43FB7">
          <w:rPr>
            <w:rStyle w:val="af5"/>
            <w:noProof/>
          </w:rPr>
          <w:t>生态环境质量评价流程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DA5D8D4" w14:textId="7699FD09" w:rsidR="0035488F" w:rsidRDefault="0035488F">
      <w:pPr>
        <w:pStyle w:val="TOC1"/>
        <w:tabs>
          <w:tab w:val="right" w:leader="dot" w:pos="8296"/>
        </w:tabs>
        <w:ind w:left="480"/>
        <w:rPr>
          <w:rFonts w:asciiTheme="minorHAnsi" w:eastAsiaTheme="minorEastAsia" w:hAnsiTheme="minorHAnsi" w:hint="eastAsia"/>
          <w:noProof/>
          <w:sz w:val="22"/>
          <w14:ligatures w14:val="standardContextual"/>
        </w:rPr>
      </w:pPr>
      <w:hyperlink w:anchor="_Toc230815653" w:history="1">
        <w:r w:rsidRPr="00E43FB7">
          <w:rPr>
            <w:rStyle w:val="af5"/>
            <w:noProof/>
          </w:rPr>
          <w:t xml:space="preserve">2  </w:t>
        </w:r>
        <w:r w:rsidRPr="00E43FB7">
          <w:rPr>
            <w:rStyle w:val="af5"/>
            <w:noProof/>
          </w:rPr>
          <w:t>生态环境质量评价原理及方法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E7BF955" w14:textId="2258AC6A"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54" w:history="1">
        <w:r w:rsidRPr="00E43FB7">
          <w:rPr>
            <w:rStyle w:val="af5"/>
            <w:noProof/>
          </w:rPr>
          <w:t xml:space="preserve">2.1 </w:t>
        </w:r>
        <w:r w:rsidRPr="00E43FB7">
          <w:rPr>
            <w:rStyle w:val="af5"/>
            <w:noProof/>
          </w:rPr>
          <w:t>生态环境质量评价方法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5191430" w14:textId="75DA9BE1"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55" w:history="1">
        <w:r w:rsidRPr="00E43FB7">
          <w:rPr>
            <w:rStyle w:val="af5"/>
            <w:noProof/>
          </w:rPr>
          <w:t xml:space="preserve">2.2 </w:t>
        </w:r>
        <w:r w:rsidRPr="00E43FB7">
          <w:rPr>
            <w:rStyle w:val="af5"/>
            <w:noProof/>
          </w:rPr>
          <w:t>遥感生态指数</w:t>
        </w:r>
        <w:r w:rsidRPr="00E43FB7">
          <w:rPr>
            <w:rStyle w:val="af5"/>
            <w:noProof/>
          </w:rPr>
          <w:t>RSEI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E2834E7" w14:textId="7AD0CF9B"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56" w:history="1">
        <w:r w:rsidRPr="00E43FB7">
          <w:rPr>
            <w:rStyle w:val="af5"/>
            <w:noProof/>
          </w:rPr>
          <w:t xml:space="preserve">2.2.1 </w:t>
        </w:r>
        <w:r w:rsidRPr="00E43FB7">
          <w:rPr>
            <w:rStyle w:val="af5"/>
            <w:noProof/>
          </w:rPr>
          <w:t>绿度指标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78255FD" w14:textId="5CC84DA6"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57" w:history="1">
        <w:r w:rsidRPr="00E43FB7">
          <w:rPr>
            <w:rStyle w:val="af5"/>
            <w:noProof/>
          </w:rPr>
          <w:t xml:space="preserve">2.2.2 </w:t>
        </w:r>
        <w:r w:rsidRPr="00E43FB7">
          <w:rPr>
            <w:rStyle w:val="af5"/>
            <w:noProof/>
          </w:rPr>
          <w:t>湿度指标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E299D1B" w14:textId="3E4406D4"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58" w:history="1">
        <w:r w:rsidRPr="00E43FB7">
          <w:rPr>
            <w:rStyle w:val="af5"/>
            <w:noProof/>
          </w:rPr>
          <w:t xml:space="preserve">2.2.3 </w:t>
        </w:r>
        <w:r w:rsidRPr="00E43FB7">
          <w:rPr>
            <w:rStyle w:val="af5"/>
            <w:noProof/>
          </w:rPr>
          <w:t>热度指标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D7CF89D" w14:textId="31150F11"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59" w:history="1">
        <w:r w:rsidRPr="00E43FB7">
          <w:rPr>
            <w:rStyle w:val="af5"/>
            <w:rFonts w:asciiTheme="minorEastAsia" w:hAnsiTheme="minorEastAsia" w:cs="Times New Roman"/>
            <w:bCs/>
            <w:noProof/>
          </w:rPr>
          <w:t>2.2.4 干度指标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E5A76C7" w14:textId="7CDE7D38"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60" w:history="1">
        <w:r w:rsidRPr="00E43FB7">
          <w:rPr>
            <w:rStyle w:val="af5"/>
            <w:noProof/>
          </w:rPr>
          <w:t xml:space="preserve">2.3 </w:t>
        </w:r>
        <w:r w:rsidRPr="00E43FB7">
          <w:rPr>
            <w:rStyle w:val="af5"/>
            <w:noProof/>
          </w:rPr>
          <w:t>主成分分析法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F8B7EAC" w14:textId="2FA11B0F"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61" w:history="1">
        <w:r w:rsidRPr="00E43FB7">
          <w:rPr>
            <w:rStyle w:val="af5"/>
            <w:noProof/>
          </w:rPr>
          <w:t xml:space="preserve">2.3.1 </w:t>
        </w:r>
        <w:r w:rsidRPr="00E43FB7">
          <w:rPr>
            <w:rStyle w:val="af5"/>
            <w:noProof/>
          </w:rPr>
          <w:t>主成分分析法的基本原理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5873FCF" w14:textId="24A0DFA2"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62" w:history="1">
        <w:r w:rsidRPr="00E43FB7">
          <w:rPr>
            <w:rStyle w:val="af5"/>
            <w:noProof/>
          </w:rPr>
          <w:t xml:space="preserve">2.3.2 </w:t>
        </w:r>
        <w:r w:rsidRPr="00E43FB7">
          <w:rPr>
            <w:rStyle w:val="af5"/>
            <w:noProof/>
          </w:rPr>
          <w:t>主成分分析法的计算模型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0A7D24C" w14:textId="5D1A8B3D"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63" w:history="1">
        <w:r w:rsidRPr="00E43FB7">
          <w:rPr>
            <w:rStyle w:val="af5"/>
            <w:noProof/>
          </w:rPr>
          <w:t xml:space="preserve">2.4 </w:t>
        </w:r>
        <w:r w:rsidRPr="00E43FB7">
          <w:rPr>
            <w:rStyle w:val="af5"/>
            <w:noProof/>
          </w:rPr>
          <w:t>地理探测器模型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3B8F3E" w14:textId="1D793792"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64" w:history="1">
        <w:r w:rsidRPr="00E43FB7">
          <w:rPr>
            <w:rStyle w:val="af5"/>
            <w:noProof/>
          </w:rPr>
          <w:t xml:space="preserve">2.5 </w:t>
        </w:r>
        <w:r w:rsidRPr="00E43FB7">
          <w:rPr>
            <w:rStyle w:val="af5"/>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4F30B01" w14:textId="45CB3177" w:rsidR="0035488F" w:rsidRDefault="0035488F">
      <w:pPr>
        <w:pStyle w:val="TOC1"/>
        <w:tabs>
          <w:tab w:val="right" w:leader="dot" w:pos="8296"/>
        </w:tabs>
        <w:ind w:left="480"/>
        <w:rPr>
          <w:rFonts w:asciiTheme="minorHAnsi" w:eastAsiaTheme="minorEastAsia" w:hAnsiTheme="minorHAnsi" w:hint="eastAsia"/>
          <w:noProof/>
          <w:sz w:val="22"/>
          <w14:ligatures w14:val="standardContextual"/>
        </w:rPr>
      </w:pPr>
      <w:hyperlink w:anchor="_Toc230815665" w:history="1">
        <w:r w:rsidRPr="00E43FB7">
          <w:rPr>
            <w:rStyle w:val="af5"/>
            <w:noProof/>
          </w:rPr>
          <w:t xml:space="preserve">3  </w:t>
        </w:r>
        <w:r w:rsidRPr="00E43FB7">
          <w:rPr>
            <w:rStyle w:val="af5"/>
            <w:noProof/>
          </w:rPr>
          <w:t>研究区域概况及主要研究方法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AF9D1CB" w14:textId="645DF3C2"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66" w:history="1">
        <w:r w:rsidRPr="00E43FB7">
          <w:rPr>
            <w:rStyle w:val="af5"/>
            <w:noProof/>
          </w:rPr>
          <w:t xml:space="preserve">3.1 </w:t>
        </w:r>
        <w:r w:rsidRPr="00E43FB7">
          <w:rPr>
            <w:rStyle w:val="af5"/>
            <w:noProof/>
          </w:rPr>
          <w:t>地理及气候概况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CF24DEF" w14:textId="2B91A490"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67" w:history="1">
        <w:r w:rsidRPr="00E43FB7">
          <w:rPr>
            <w:rStyle w:val="af5"/>
            <w:noProof/>
          </w:rPr>
          <w:t xml:space="preserve">3.1.1 </w:t>
        </w:r>
        <w:r w:rsidRPr="00E43FB7">
          <w:rPr>
            <w:rStyle w:val="af5"/>
            <w:noProof/>
          </w:rPr>
          <w:t>地理概况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6A4A6F6" w14:textId="271A8916"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68" w:history="1">
        <w:r w:rsidRPr="00E43FB7">
          <w:rPr>
            <w:rStyle w:val="af5"/>
            <w:noProof/>
          </w:rPr>
          <w:t xml:space="preserve">3.1.2 </w:t>
        </w:r>
        <w:r w:rsidRPr="00E43FB7">
          <w:rPr>
            <w:rStyle w:val="af5"/>
            <w:noProof/>
          </w:rPr>
          <w:t>气候水文概况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5A5FCBE" w14:textId="571583F7"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69" w:history="1">
        <w:r w:rsidRPr="00E43FB7">
          <w:rPr>
            <w:rStyle w:val="af5"/>
            <w:noProof/>
          </w:rPr>
          <w:t xml:space="preserve">3.1.3 </w:t>
        </w:r>
        <w:r w:rsidRPr="00E43FB7">
          <w:rPr>
            <w:rStyle w:val="af5"/>
            <w:noProof/>
          </w:rPr>
          <w:t>自然资源概况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BDDC28A" w14:textId="6210520E"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70" w:history="1">
        <w:r w:rsidRPr="00E43FB7">
          <w:rPr>
            <w:rStyle w:val="af5"/>
            <w:noProof/>
          </w:rPr>
          <w:t xml:space="preserve">3.2 </w:t>
        </w:r>
        <w:r w:rsidRPr="00E43FB7">
          <w:rPr>
            <w:rStyle w:val="af5"/>
            <w:noProof/>
          </w:rPr>
          <w:t>生态环境现状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57D06D8" w14:textId="619C997E"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71" w:history="1">
        <w:r w:rsidRPr="00E43FB7">
          <w:rPr>
            <w:rStyle w:val="af5"/>
            <w:noProof/>
          </w:rPr>
          <w:t xml:space="preserve">3.3 </w:t>
        </w:r>
        <w:r w:rsidRPr="00E43FB7">
          <w:rPr>
            <w:rStyle w:val="af5"/>
            <w:noProof/>
          </w:rPr>
          <w:t>遥感数据介绍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87C56B8" w14:textId="13FD2136"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72" w:history="1">
        <w:r w:rsidRPr="00E43FB7">
          <w:rPr>
            <w:rStyle w:val="af5"/>
            <w:noProof/>
          </w:rPr>
          <w:t xml:space="preserve">3.4 </w:t>
        </w:r>
        <w:r w:rsidRPr="00E43FB7">
          <w:rPr>
            <w:rStyle w:val="af5"/>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517D145" w14:textId="3877A26E"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73" w:history="1">
        <w:r w:rsidRPr="00E43FB7">
          <w:rPr>
            <w:rStyle w:val="af5"/>
            <w:noProof/>
          </w:rPr>
          <w:t xml:space="preserve">3.5 </w:t>
        </w:r>
        <w:r w:rsidRPr="00E43FB7">
          <w:rPr>
            <w:rStyle w:val="af5"/>
            <w:noProof/>
          </w:rPr>
          <w:t>遥感数据处理及计算方法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DC42ACC" w14:textId="5205CAAB"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74" w:history="1">
        <w:r w:rsidRPr="00E43FB7">
          <w:rPr>
            <w:rStyle w:val="af5"/>
            <w:noProof/>
          </w:rPr>
          <w:t xml:space="preserve">3.5.1 </w:t>
        </w:r>
        <w:r w:rsidRPr="00E43FB7">
          <w:rPr>
            <w:rStyle w:val="af5"/>
            <w:noProof/>
          </w:rPr>
          <w:t>遥感影像预处理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9AA88B6" w14:textId="0FAA0B3C"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75" w:history="1">
        <w:r w:rsidRPr="00E43FB7">
          <w:rPr>
            <w:rStyle w:val="af5"/>
            <w:noProof/>
          </w:rPr>
          <w:t xml:space="preserve">3.5.2 </w:t>
        </w:r>
        <w:r w:rsidRPr="00E43FB7">
          <w:rPr>
            <w:rStyle w:val="af5"/>
            <w:noProof/>
          </w:rPr>
          <w:t>各指标归一化处理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E4B7539" w14:textId="358FC2B9"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76" w:history="1">
        <w:r w:rsidRPr="00E43FB7">
          <w:rPr>
            <w:rStyle w:val="af5"/>
            <w:noProof/>
          </w:rPr>
          <w:t xml:space="preserve">3.5.3 </w:t>
        </w:r>
        <w:r w:rsidRPr="00E43FB7">
          <w:rPr>
            <w:rStyle w:val="af5"/>
            <w:noProof/>
          </w:rPr>
          <w:t>主成分分析及变换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FDCF403" w14:textId="6CB1974A"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77" w:history="1">
        <w:r w:rsidRPr="00E43FB7">
          <w:rPr>
            <w:rStyle w:val="af5"/>
            <w:noProof/>
          </w:rPr>
          <w:t xml:space="preserve">3.6 </w:t>
        </w:r>
        <w:r w:rsidRPr="00E43FB7">
          <w:rPr>
            <w:rStyle w:val="af5"/>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A89C493" w14:textId="1E903C82" w:rsidR="0035488F" w:rsidRDefault="0035488F">
      <w:pPr>
        <w:pStyle w:val="TOC1"/>
        <w:tabs>
          <w:tab w:val="right" w:leader="dot" w:pos="8296"/>
        </w:tabs>
        <w:ind w:left="480"/>
        <w:rPr>
          <w:rFonts w:asciiTheme="minorHAnsi" w:eastAsiaTheme="minorEastAsia" w:hAnsiTheme="minorHAnsi" w:hint="eastAsia"/>
          <w:noProof/>
          <w:sz w:val="22"/>
          <w14:ligatures w14:val="standardContextual"/>
        </w:rPr>
      </w:pPr>
      <w:hyperlink w:anchor="_Toc230815678" w:history="1">
        <w:r w:rsidRPr="00E43FB7">
          <w:rPr>
            <w:rStyle w:val="af5"/>
            <w:noProof/>
          </w:rPr>
          <w:t xml:space="preserve">4  </w:t>
        </w:r>
        <w:r w:rsidRPr="00E43FB7">
          <w:rPr>
            <w:rStyle w:val="af5"/>
            <w:noProof/>
          </w:rPr>
          <w:t>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246F8B3" w14:textId="7C379D0F"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79" w:history="1">
        <w:r w:rsidRPr="00E43FB7">
          <w:rPr>
            <w:rStyle w:val="af5"/>
            <w:noProof/>
          </w:rPr>
          <w:t xml:space="preserve">4.1 </w:t>
        </w:r>
        <w:r w:rsidRPr="00E43FB7">
          <w:rPr>
            <w:rStyle w:val="af5"/>
            <w:noProof/>
          </w:rPr>
          <w:t>遥感生态指数（</w:t>
        </w:r>
        <w:r w:rsidRPr="00E43FB7">
          <w:rPr>
            <w:rStyle w:val="af5"/>
            <w:noProof/>
          </w:rPr>
          <w:t>RSEI</w:t>
        </w:r>
        <w:r w:rsidRPr="00E43FB7">
          <w:rPr>
            <w:rStyle w:val="af5"/>
            <w:noProof/>
          </w:rPr>
          <w:t>）构建与验证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7BF8E77" w14:textId="6C8BC130"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80" w:history="1">
        <w:r w:rsidRPr="00E43FB7">
          <w:rPr>
            <w:rStyle w:val="af5"/>
            <w:noProof/>
          </w:rPr>
          <w:t xml:space="preserve">4.1.1 </w:t>
        </w:r>
        <w:r w:rsidRPr="00E43FB7">
          <w:rPr>
            <w:rStyle w:val="af5"/>
            <w:noProof/>
          </w:rPr>
          <w:t>主成分分析结果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AC96837" w14:textId="55EA877B"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81" w:history="1">
        <w:r w:rsidRPr="00E43FB7">
          <w:rPr>
            <w:rStyle w:val="af5"/>
            <w:noProof/>
          </w:rPr>
          <w:t xml:space="preserve">4.1.2  RSEI </w:t>
        </w:r>
        <w:r w:rsidRPr="00E43FB7">
          <w:rPr>
            <w:rStyle w:val="af5"/>
            <w:noProof/>
          </w:rPr>
          <w:t>与各因子相关性验证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BAFCFA2" w14:textId="6F86DBA2"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82" w:history="1">
        <w:r w:rsidRPr="00E43FB7">
          <w:rPr>
            <w:rStyle w:val="af5"/>
            <w:noProof/>
          </w:rPr>
          <w:t xml:space="preserve">4.2 </w:t>
        </w:r>
        <w:r w:rsidRPr="00E43FB7">
          <w:rPr>
            <w:rStyle w:val="af5"/>
            <w:noProof/>
          </w:rPr>
          <w:t>生态环境质量整体时空变化特征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BD68E5" w14:textId="01847926"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83" w:history="1">
        <w:r w:rsidRPr="00E43FB7">
          <w:rPr>
            <w:rStyle w:val="af5"/>
            <w:noProof/>
          </w:rPr>
          <w:t xml:space="preserve">4.2.1 </w:t>
        </w:r>
        <w:r w:rsidRPr="00E43FB7">
          <w:rPr>
            <w:rStyle w:val="af5"/>
            <w:noProof/>
          </w:rPr>
          <w:t>全域统计特征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76DFA86" w14:textId="73865205"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84" w:history="1">
        <w:r w:rsidRPr="00E43FB7">
          <w:rPr>
            <w:rStyle w:val="af5"/>
            <w:noProof/>
          </w:rPr>
          <w:t xml:space="preserve">4.2.2 </w:t>
        </w:r>
        <w:r w:rsidRPr="00E43FB7">
          <w:rPr>
            <w:rStyle w:val="af5"/>
            <w:noProof/>
          </w:rPr>
          <w:t>阶段性演变规律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130BEA5" w14:textId="07A666E5"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85" w:history="1">
        <w:r w:rsidRPr="00E43FB7">
          <w:rPr>
            <w:rStyle w:val="af5"/>
            <w:noProof/>
          </w:rPr>
          <w:t xml:space="preserve">4.3 </w:t>
        </w:r>
        <w:r w:rsidRPr="00E43FB7">
          <w:rPr>
            <w:rStyle w:val="af5"/>
            <w:noProof/>
          </w:rPr>
          <w:t>生态质量等级结构演变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60EA339" w14:textId="68B90A73"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86" w:history="1">
        <w:r w:rsidRPr="00E43FB7">
          <w:rPr>
            <w:rStyle w:val="af5"/>
            <w:noProof/>
          </w:rPr>
          <w:t xml:space="preserve">4.3.1 </w:t>
        </w:r>
        <w:r w:rsidRPr="00E43FB7">
          <w:rPr>
            <w:rStyle w:val="af5"/>
            <w:noProof/>
          </w:rPr>
          <w:t>等级面积占比变化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A988F09" w14:textId="3DAD66FA"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87" w:history="1">
        <w:r w:rsidRPr="00E43FB7">
          <w:rPr>
            <w:rStyle w:val="af5"/>
            <w:noProof/>
          </w:rPr>
          <w:t xml:space="preserve">4.3.2 </w:t>
        </w:r>
        <w:r w:rsidRPr="00E43FB7">
          <w:rPr>
            <w:rStyle w:val="af5"/>
            <w:noProof/>
          </w:rPr>
          <w:t>等级转换特征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9B41120" w14:textId="00E57DE1"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88" w:history="1">
        <w:r w:rsidRPr="00E43FB7">
          <w:rPr>
            <w:rStyle w:val="af5"/>
            <w:noProof/>
          </w:rPr>
          <w:t xml:space="preserve">4.4 </w:t>
        </w:r>
        <w:r w:rsidRPr="00E43FB7">
          <w:rPr>
            <w:rStyle w:val="af5"/>
            <w:noProof/>
          </w:rPr>
          <w:t>生态环境质量变化幅度分析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3C01F60E" w14:textId="437A1196"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89" w:history="1">
        <w:r w:rsidRPr="00E43FB7">
          <w:rPr>
            <w:rStyle w:val="af5"/>
            <w:noProof/>
          </w:rPr>
          <w:t xml:space="preserve">4.4.1 </w:t>
        </w:r>
        <w:r w:rsidRPr="00E43FB7">
          <w:rPr>
            <w:rStyle w:val="af5"/>
            <w:noProof/>
          </w:rPr>
          <w:t>全时段变化幅度统计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32495379" w14:textId="7B530800"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90" w:history="1">
        <w:r w:rsidRPr="00E43FB7">
          <w:rPr>
            <w:rStyle w:val="af5"/>
            <w:noProof/>
          </w:rPr>
          <w:t xml:space="preserve">4.4.2 </w:t>
        </w:r>
        <w:r w:rsidRPr="00E43FB7">
          <w:rPr>
            <w:rStyle w:val="af5"/>
            <w:noProof/>
          </w:rPr>
          <w:t>空间分异特征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214215F" w14:textId="73B93DB9"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91" w:history="1">
        <w:r w:rsidRPr="00E43FB7">
          <w:rPr>
            <w:rStyle w:val="af5"/>
            <w:noProof/>
          </w:rPr>
          <w:t xml:space="preserve">4.5 </w:t>
        </w:r>
        <w:r w:rsidRPr="00E43FB7">
          <w:rPr>
            <w:rStyle w:val="af5"/>
            <w:noProof/>
          </w:rPr>
          <w:t>驱动因子地理探测器分析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951203E" w14:textId="25E6072C"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92" w:history="1">
        <w:r w:rsidRPr="00E43FB7">
          <w:rPr>
            <w:rStyle w:val="af5"/>
            <w:noProof/>
          </w:rPr>
          <w:t xml:space="preserve">4.5.1 </w:t>
        </w:r>
        <w:r w:rsidRPr="00E43FB7">
          <w:rPr>
            <w:rStyle w:val="af5"/>
            <w:noProof/>
          </w:rPr>
          <w:t>单因子探测结果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84E9F1F" w14:textId="1EA140AB"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93" w:history="1">
        <w:r w:rsidRPr="00E43FB7">
          <w:rPr>
            <w:rStyle w:val="af5"/>
            <w:noProof/>
          </w:rPr>
          <w:t xml:space="preserve">4.5.2 </w:t>
        </w:r>
        <w:r w:rsidRPr="00E43FB7">
          <w:rPr>
            <w:rStyle w:val="af5"/>
            <w:noProof/>
          </w:rPr>
          <w:t>交互作用探测结果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B3B55BB" w14:textId="023CFABF" w:rsidR="0035488F" w:rsidRDefault="0035488F">
      <w:pPr>
        <w:pStyle w:val="TOC3"/>
        <w:tabs>
          <w:tab w:val="right" w:leader="dot" w:pos="8296"/>
        </w:tabs>
        <w:ind w:left="960"/>
        <w:rPr>
          <w:rFonts w:asciiTheme="minorHAnsi" w:eastAsiaTheme="minorEastAsia" w:hAnsiTheme="minorHAnsi" w:hint="eastAsia"/>
          <w:noProof/>
          <w:sz w:val="22"/>
          <w14:ligatures w14:val="standardContextual"/>
        </w:rPr>
      </w:pPr>
      <w:hyperlink w:anchor="_Toc230815694" w:history="1">
        <w:r w:rsidRPr="00E43FB7">
          <w:rPr>
            <w:rStyle w:val="af5"/>
            <w:rFonts w:ascii="宋体" w:hAnsi="宋体" w:cs="宋体"/>
            <w:noProof/>
          </w:rPr>
          <w:t>4.6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E54CF3D" w14:textId="6A4487A2" w:rsidR="0035488F" w:rsidRDefault="0035488F">
      <w:pPr>
        <w:pStyle w:val="TOC1"/>
        <w:tabs>
          <w:tab w:val="right" w:leader="dot" w:pos="8296"/>
        </w:tabs>
        <w:ind w:left="480"/>
        <w:rPr>
          <w:rFonts w:asciiTheme="minorHAnsi" w:eastAsiaTheme="minorEastAsia" w:hAnsiTheme="minorHAnsi" w:hint="eastAsia"/>
          <w:noProof/>
          <w:sz w:val="22"/>
          <w14:ligatures w14:val="standardContextual"/>
        </w:rPr>
      </w:pPr>
      <w:hyperlink w:anchor="_Toc230815695" w:history="1">
        <w:r w:rsidRPr="00E43FB7">
          <w:rPr>
            <w:rStyle w:val="af5"/>
            <w:noProof/>
          </w:rPr>
          <w:t xml:space="preserve">5  </w:t>
        </w:r>
        <w:r w:rsidRPr="00E43FB7">
          <w:rPr>
            <w:rStyle w:val="af5"/>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69F04A4" w14:textId="40F8B09F"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96" w:history="1">
        <w:r w:rsidRPr="00E43FB7">
          <w:rPr>
            <w:rStyle w:val="af5"/>
            <w:noProof/>
          </w:rPr>
          <w:t xml:space="preserve">5.1 </w:t>
        </w:r>
        <w:r w:rsidRPr="00E43FB7">
          <w:rPr>
            <w:rStyle w:val="af5"/>
            <w:noProof/>
          </w:rPr>
          <w:t>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D81EB3B" w14:textId="53C1CC5C"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97" w:history="1">
        <w:r w:rsidRPr="00E43FB7">
          <w:rPr>
            <w:rStyle w:val="af5"/>
            <w:noProof/>
          </w:rPr>
          <w:t xml:space="preserve">5.2 </w:t>
        </w:r>
        <w:r w:rsidRPr="00E43FB7">
          <w:rPr>
            <w:rStyle w:val="af5"/>
            <w:noProof/>
          </w:rPr>
          <w:t>对策及建议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C2A2699" w14:textId="76BA90F8" w:rsidR="0035488F" w:rsidRDefault="0035488F">
      <w:pPr>
        <w:pStyle w:val="TOC2"/>
        <w:tabs>
          <w:tab w:val="right" w:leader="dot" w:pos="8296"/>
        </w:tabs>
        <w:ind w:left="480"/>
        <w:rPr>
          <w:rFonts w:asciiTheme="minorHAnsi" w:eastAsiaTheme="minorEastAsia" w:hAnsiTheme="minorHAnsi" w:hint="eastAsia"/>
          <w:noProof/>
          <w:sz w:val="22"/>
          <w14:ligatures w14:val="standardContextual"/>
        </w:rPr>
      </w:pPr>
      <w:hyperlink w:anchor="_Toc230815698" w:history="1">
        <w:r w:rsidRPr="00E43FB7">
          <w:rPr>
            <w:rStyle w:val="af5"/>
            <w:rFonts w:asciiTheme="majorEastAsia" w:eastAsiaTheme="majorEastAsia" w:hAnsiTheme="majorEastAsia" w:cs="Times New Roman"/>
            <w:bCs/>
            <w:noProof/>
          </w:rPr>
          <w:t>5.3</w:t>
        </w:r>
        <w:r w:rsidRPr="00E43FB7">
          <w:rPr>
            <w:rStyle w:val="af5"/>
            <w:rFonts w:cs="Times New Roman"/>
            <w:bCs/>
            <w:noProof/>
          </w:rPr>
          <w:t xml:space="preserve"> </w:t>
        </w:r>
        <w:r w:rsidRPr="00E43FB7">
          <w:rPr>
            <w:rStyle w:val="af5"/>
            <w:rFonts w:cs="Times New Roman"/>
            <w:bCs/>
            <w:noProof/>
          </w:rPr>
          <w:t>研究不足和展望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817B8A2" w14:textId="51E2D82B" w:rsidR="0035488F" w:rsidRDefault="0035488F">
      <w:pPr>
        <w:pStyle w:val="TOC1"/>
        <w:tabs>
          <w:tab w:val="right" w:leader="dot" w:pos="8296"/>
        </w:tabs>
        <w:ind w:left="480"/>
        <w:rPr>
          <w:rFonts w:asciiTheme="minorHAnsi" w:eastAsiaTheme="minorEastAsia" w:hAnsiTheme="minorHAnsi" w:hint="eastAsia"/>
          <w:noProof/>
          <w:sz w:val="22"/>
          <w14:ligatures w14:val="standardContextual"/>
        </w:rPr>
      </w:pPr>
      <w:hyperlink w:anchor="_Toc230815699" w:history="1">
        <w:r w:rsidRPr="00E43FB7">
          <w:rPr>
            <w:rStyle w:val="af5"/>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41132533" w14:textId="3B9F8E7D" w:rsidR="0035488F" w:rsidRDefault="0035488F">
      <w:pPr>
        <w:pStyle w:val="TOC1"/>
        <w:tabs>
          <w:tab w:val="right" w:leader="dot" w:pos="8296"/>
        </w:tabs>
        <w:ind w:left="480"/>
        <w:rPr>
          <w:rFonts w:asciiTheme="minorHAnsi" w:eastAsiaTheme="minorEastAsia" w:hAnsiTheme="minorHAnsi" w:hint="eastAsia"/>
          <w:noProof/>
          <w:sz w:val="22"/>
          <w14:ligatures w14:val="standardContextual"/>
        </w:rPr>
      </w:pPr>
      <w:hyperlink w:anchor="_Toc230815700" w:history="1">
        <w:r w:rsidRPr="00E43FB7">
          <w:rPr>
            <w:rStyle w:val="af5"/>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_Toc230815700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0BD10D75" w14:textId="1686E33B" w:rsidR="00D46586" w:rsidRDefault="0035488F" w:rsidP="0035488F">
      <w:pPr>
        <w:ind w:leftChars="0" w:left="0"/>
      </w:pPr>
      <w:r>
        <w:lastRenderedPageBreak/>
        <w:fldChar w:fldCharType="end"/>
      </w:r>
    </w:p>
    <w:p w14:paraId="6DFDEE75" w14:textId="77777777" w:rsidR="00D46586" w:rsidRDefault="00000000">
      <w:pPr>
        <w:pStyle w:val="1"/>
        <w:spacing w:before="312" w:after="312"/>
        <w:ind w:left="480"/>
      </w:pPr>
      <w:bookmarkStart w:id="8" w:name="_Toc9194"/>
      <w:bookmarkStart w:id="9" w:name="_Toc230693468"/>
      <w:bookmarkStart w:id="10" w:name="_Toc230815645"/>
      <w:r>
        <w:rPr>
          <w:rFonts w:hint="eastAsia"/>
        </w:rPr>
        <w:t xml:space="preserve">1 </w:t>
      </w:r>
      <w:r>
        <w:rPr>
          <w:rFonts w:hint="eastAsia"/>
        </w:rPr>
        <w:t>绪论</w:t>
      </w:r>
      <w:bookmarkStart w:id="11" w:name="_Toc26894"/>
      <w:bookmarkEnd w:id="8"/>
      <w:bookmarkEnd w:id="9"/>
      <w:bookmarkEnd w:id="10"/>
    </w:p>
    <w:p w14:paraId="41B1FE1B" w14:textId="77777777" w:rsidR="00D46586" w:rsidRDefault="00000000">
      <w:pPr>
        <w:pStyle w:val="2"/>
        <w:spacing w:before="156" w:after="156"/>
        <w:ind w:left="480"/>
      </w:pPr>
      <w:bookmarkStart w:id="12" w:name="_Toc230693469"/>
      <w:bookmarkStart w:id="13" w:name="_Toc230815646"/>
      <w:r>
        <w:t>1.1</w:t>
      </w:r>
      <w:r>
        <w:t>研究背景及意义</w:t>
      </w:r>
      <w:bookmarkEnd w:id="11"/>
      <w:bookmarkEnd w:id="12"/>
      <w:bookmarkEnd w:id="13"/>
    </w:p>
    <w:p w14:paraId="646E3889" w14:textId="77777777" w:rsidR="00D46586" w:rsidRDefault="00000000">
      <w:pPr>
        <w:pStyle w:val="a3"/>
        <w:ind w:left="480" w:firstLine="480"/>
        <w:rPr>
          <w:shd w:val="clear" w:color="auto" w:fill="FFFFFF"/>
        </w:rPr>
      </w:pPr>
      <w:r>
        <w:rPr>
          <w:shd w:val="clear" w:color="auto" w:fill="FFFFFF"/>
        </w:rPr>
        <w:t>社会经济在快速发展，自然环境这一块暴露出来的问题也日益突出，生态保护与修复便成了国家发展战略里无法回避的重要内容；党的十七大报告首次把</w:t>
      </w:r>
      <w:r>
        <w:rPr>
          <w:shd w:val="clear" w:color="auto" w:fill="FFFFFF"/>
        </w:rPr>
        <w:t>“</w:t>
      </w:r>
      <w:r>
        <w:rPr>
          <w:shd w:val="clear" w:color="auto" w:fill="FFFFFF"/>
        </w:rPr>
        <w:t>生态文明</w:t>
      </w:r>
      <w:r>
        <w:rPr>
          <w:shd w:val="clear" w:color="auto" w:fill="FFFFFF"/>
        </w:rPr>
        <w:t>”</w:t>
      </w:r>
      <w:r>
        <w:rPr>
          <w:shd w:val="clear" w:color="auto" w:fill="FFFFFF"/>
        </w:rPr>
        <w:t>写了进去，这标志着我国生态保护与建设工作进入到了系统化和常态化的发展阶段，相关的实践探索和理论研究也一直在不断深化推进</w:t>
      </w:r>
      <w:r>
        <w:rPr>
          <w:shd w:val="clear" w:color="auto" w:fill="FFFFFF"/>
        </w:rPr>
        <w:t>[1]</w:t>
      </w:r>
      <w:r>
        <w:rPr>
          <w:shd w:val="clear" w:color="auto" w:fill="FFFFFF"/>
        </w:rPr>
        <w:t>。在此之后，党的十八大和十九大又进一步把生态文明建设纳入到</w:t>
      </w:r>
      <w:r>
        <w:rPr>
          <w:shd w:val="clear" w:color="auto" w:fill="FFFFFF"/>
        </w:rPr>
        <w:t>“</w:t>
      </w:r>
      <w:r>
        <w:rPr>
          <w:shd w:val="clear" w:color="auto" w:fill="FFFFFF"/>
        </w:rPr>
        <w:t>五位一体</w:t>
      </w:r>
      <w:r>
        <w:rPr>
          <w:shd w:val="clear" w:color="auto" w:fill="FFFFFF"/>
        </w:rPr>
        <w:t>”</w:t>
      </w:r>
      <w:r>
        <w:rPr>
          <w:shd w:val="clear" w:color="auto" w:fill="FFFFFF"/>
        </w:rPr>
        <w:t>总体布局当中，并且明确提出了</w:t>
      </w:r>
      <w:r>
        <w:rPr>
          <w:shd w:val="clear" w:color="auto" w:fill="FFFFFF"/>
        </w:rPr>
        <w:t>“</w:t>
      </w:r>
      <w:r>
        <w:rPr>
          <w:shd w:val="clear" w:color="auto" w:fill="FFFFFF"/>
        </w:rPr>
        <w:t>绿水青山就是金山银山</w:t>
      </w:r>
      <w:r>
        <w:rPr>
          <w:shd w:val="clear" w:color="auto" w:fill="FFFFFF"/>
        </w:rPr>
        <w:t>”</w:t>
      </w:r>
      <w:r>
        <w:rPr>
          <w:shd w:val="clear" w:color="auto" w:fill="FFFFFF"/>
        </w:rPr>
        <w:t>的理念，从而推动生态保护从过去的末端治理转向源头预防和系统治理；国家统计局公布的数据显示，</w:t>
      </w:r>
      <w:r>
        <w:rPr>
          <w:shd w:val="clear" w:color="auto" w:fill="FFFFFF"/>
        </w:rPr>
        <w:t>2020</w:t>
      </w:r>
      <w:r>
        <w:rPr>
          <w:shd w:val="clear" w:color="auto" w:fill="FFFFFF"/>
        </w:rPr>
        <w:t>年我国在生态保护与修复领域的财政支出，比起</w:t>
      </w:r>
      <w:r>
        <w:rPr>
          <w:shd w:val="clear" w:color="auto" w:fill="FFFFFF"/>
        </w:rPr>
        <w:t>2000</w:t>
      </w:r>
      <w:r>
        <w:rPr>
          <w:shd w:val="clear" w:color="auto" w:fill="FFFFFF"/>
        </w:rPr>
        <w:t>年增长了近</w:t>
      </w:r>
      <w:r>
        <w:rPr>
          <w:shd w:val="clear" w:color="auto" w:fill="FFFFFF"/>
        </w:rPr>
        <w:t>15</w:t>
      </w:r>
      <w:r>
        <w:rPr>
          <w:shd w:val="clear" w:color="auto" w:fill="FFFFFF"/>
        </w:rPr>
        <w:t>倍，这从侧面反映出了国家在生态环境治理上持续投入的力度和坚定的决心。</w:t>
      </w:r>
    </w:p>
    <w:p w14:paraId="737BBABB" w14:textId="77777777" w:rsidR="00D46586" w:rsidRDefault="00000000">
      <w:pPr>
        <w:pStyle w:val="a3"/>
        <w:ind w:left="480" w:firstLine="480"/>
        <w:rPr>
          <w:shd w:val="clear" w:color="auto" w:fill="FFFFFF"/>
        </w:rPr>
      </w:pPr>
      <w:r>
        <w:rPr>
          <w:shd w:val="clear" w:color="auto" w:fill="FFFFFF"/>
        </w:rPr>
        <w:t>我国的森林资源在过去曾遭到相当严重的破坏，其中自然环境本就相对脆弱的东北地区，生态环境的恶化就更加明显了；一个典型的例子是，</w:t>
      </w:r>
      <w:r>
        <w:rPr>
          <w:shd w:val="clear" w:color="auto" w:fill="FFFFFF"/>
        </w:rPr>
        <w:t>20</w:t>
      </w:r>
      <w:r>
        <w:rPr>
          <w:shd w:val="clear" w:color="auto" w:fill="FFFFFF"/>
        </w:rPr>
        <w:t>世纪</w:t>
      </w:r>
      <w:r>
        <w:rPr>
          <w:shd w:val="clear" w:color="auto" w:fill="FFFFFF"/>
        </w:rPr>
        <w:t>50</w:t>
      </w:r>
      <w:r>
        <w:rPr>
          <w:shd w:val="clear" w:color="auto" w:fill="FFFFFF"/>
        </w:rPr>
        <w:t>至</w:t>
      </w:r>
      <w:r>
        <w:rPr>
          <w:shd w:val="clear" w:color="auto" w:fill="FFFFFF"/>
        </w:rPr>
        <w:t>70</w:t>
      </w:r>
      <w:r>
        <w:rPr>
          <w:shd w:val="clear" w:color="auto" w:fill="FFFFFF"/>
        </w:rPr>
        <w:t>年代，大小兴安岭林区因为大规模采伐和农田开垦，森林覆盖率从初期的</w:t>
      </w:r>
      <w:r>
        <w:rPr>
          <w:shd w:val="clear" w:color="auto" w:fill="FFFFFF"/>
        </w:rPr>
        <w:t>70%</w:t>
      </w:r>
      <w:r>
        <w:rPr>
          <w:shd w:val="clear" w:color="auto" w:fill="FFFFFF"/>
        </w:rPr>
        <w:t>以上骤降到了不足</w:t>
      </w:r>
      <w:r>
        <w:rPr>
          <w:shd w:val="clear" w:color="auto" w:fill="FFFFFF"/>
        </w:rPr>
        <w:t>50%</w:t>
      </w:r>
      <w:r>
        <w:rPr>
          <w:shd w:val="clear" w:color="auto" w:fill="FFFFFF"/>
        </w:rPr>
        <w:t>，水土流失随之加剧，生物多样性也锐减。与此同时，随着经济社会的不断发展，我国对林业资源的需求量在逐年攀升，木材年消耗量，从改革开放初期大约</w:t>
      </w:r>
      <w:r>
        <w:rPr>
          <w:shd w:val="clear" w:color="auto" w:fill="FFFFFF"/>
        </w:rPr>
        <w:t>5000</w:t>
      </w:r>
      <w:r>
        <w:rPr>
          <w:shd w:val="clear" w:color="auto" w:fill="FFFFFF"/>
        </w:rPr>
        <w:t>万立方米，增加到了现在的近</w:t>
      </w:r>
      <w:r>
        <w:rPr>
          <w:shd w:val="clear" w:color="auto" w:fill="FFFFFF"/>
        </w:rPr>
        <w:t>2</w:t>
      </w:r>
      <w:r>
        <w:rPr>
          <w:shd w:val="clear" w:color="auto" w:fill="FFFFFF"/>
        </w:rPr>
        <w:t>亿立方米。面对这样的状况，党和国家把生态环境保护与治理摆在了突出位置，做出了实施</w:t>
      </w:r>
      <w:r>
        <w:rPr>
          <w:shd w:val="clear" w:color="auto" w:fill="FFFFFF"/>
        </w:rPr>
        <w:t>“</w:t>
      </w:r>
      <w:r>
        <w:rPr>
          <w:shd w:val="clear" w:color="auto" w:fill="FFFFFF"/>
        </w:rPr>
        <w:t>三北</w:t>
      </w:r>
      <w:r>
        <w:rPr>
          <w:shd w:val="clear" w:color="auto" w:fill="FFFFFF"/>
        </w:rPr>
        <w:t>”</w:t>
      </w:r>
      <w:r>
        <w:rPr>
          <w:shd w:val="clear" w:color="auto" w:fill="FFFFFF"/>
        </w:rPr>
        <w:t>防护林工程建设的重大战略决策，其根本目的，就是为了有效应对越来越严峻的生态环境问题，同时满足经济发展对林业资源的需求，并带动区域经济社会实现协同发展</w:t>
      </w:r>
      <w:r>
        <w:rPr>
          <w:shd w:val="clear" w:color="auto" w:fill="FFFFFF"/>
        </w:rPr>
        <w:t>[2]</w:t>
      </w:r>
      <w:r>
        <w:rPr>
          <w:shd w:val="clear" w:color="auto" w:fill="FFFFFF"/>
        </w:rPr>
        <w:t>。三北防护林工程，是在西北、华北和东北地区部署建设的一项大型人工林业生态工程</w:t>
      </w:r>
      <w:r>
        <w:rPr>
          <w:shd w:val="clear" w:color="auto" w:fill="FFFFFF"/>
        </w:rPr>
        <w:t>[3]</w:t>
      </w:r>
      <w:r>
        <w:rPr>
          <w:shd w:val="clear" w:color="auto" w:fill="FFFFFF"/>
        </w:rPr>
        <w:t>，自</w:t>
      </w:r>
      <w:r>
        <w:rPr>
          <w:shd w:val="clear" w:color="auto" w:fill="FFFFFF"/>
        </w:rPr>
        <w:t>1978</w:t>
      </w:r>
      <w:r>
        <w:rPr>
          <w:shd w:val="clear" w:color="auto" w:fill="FFFFFF"/>
        </w:rPr>
        <w:t>年被列为国家重点工程项目以来，它规划的建设周期长达</w:t>
      </w:r>
      <w:r>
        <w:rPr>
          <w:shd w:val="clear" w:color="auto" w:fill="FFFFFF"/>
        </w:rPr>
        <w:t>70</w:t>
      </w:r>
      <w:r>
        <w:rPr>
          <w:shd w:val="clear" w:color="auto" w:fill="FFFFFF"/>
        </w:rPr>
        <w:t>年，分七个时期逐步推进，目前已经顺利转入新的阶段；截至</w:t>
      </w:r>
      <w:r>
        <w:rPr>
          <w:shd w:val="clear" w:color="auto" w:fill="FFFFFF"/>
        </w:rPr>
        <w:t>2020</w:t>
      </w:r>
      <w:r>
        <w:rPr>
          <w:shd w:val="clear" w:color="auto" w:fill="FFFFFF"/>
        </w:rPr>
        <w:t>年，工程累计投</w:t>
      </w:r>
      <w:r>
        <w:rPr>
          <w:shd w:val="clear" w:color="auto" w:fill="FFFFFF"/>
        </w:rPr>
        <w:lastRenderedPageBreak/>
        <w:t>资超过了</w:t>
      </w:r>
      <w:r>
        <w:rPr>
          <w:shd w:val="clear" w:color="auto" w:fill="FFFFFF"/>
        </w:rPr>
        <w:t>500</w:t>
      </w:r>
      <w:r>
        <w:rPr>
          <w:shd w:val="clear" w:color="auto" w:fill="FFFFFF"/>
        </w:rPr>
        <w:t>亿元，完成造林保存面积超过</w:t>
      </w:r>
      <w:r>
        <w:rPr>
          <w:shd w:val="clear" w:color="auto" w:fill="FFFFFF"/>
        </w:rPr>
        <w:t>3000</w:t>
      </w:r>
      <w:r>
        <w:rPr>
          <w:shd w:val="clear" w:color="auto" w:fill="FFFFFF"/>
        </w:rPr>
        <w:t>万公顷，是全球范围里规模最大、持续时间最长的生态修复工程之一。</w:t>
      </w:r>
    </w:p>
    <w:p w14:paraId="6CB78567" w14:textId="77777777" w:rsidR="00D46586" w:rsidRDefault="00000000">
      <w:pPr>
        <w:pStyle w:val="a3"/>
        <w:ind w:left="480" w:firstLine="480"/>
        <w:rPr>
          <w:shd w:val="clear" w:color="auto" w:fill="FFFFFF"/>
        </w:rPr>
      </w:pPr>
      <w:r>
        <w:rPr>
          <w:shd w:val="clear" w:color="auto" w:fill="FFFFFF"/>
        </w:rPr>
        <w:t>东北地区的生态格局比较独特，这里既分布着大兴安岭、小兴安岭等大面积的天然林场，又涵盖了像三江平原、松嫩平原这样的黑土农耕区；不过，该区域的生态脆弱性同样很突出，松嫩平原西部的沙地正以每年</w:t>
      </w:r>
      <w:r>
        <w:rPr>
          <w:shd w:val="clear" w:color="auto" w:fill="FFFFFF"/>
        </w:rPr>
        <w:t>1.5%</w:t>
      </w:r>
      <w:r>
        <w:rPr>
          <w:shd w:val="clear" w:color="auto" w:fill="FFFFFF"/>
        </w:rPr>
        <w:t>的速度持续扩张，辽宁北部的农田又受到科尔沁沙地侵蚀的影响，再加上每年</w:t>
      </w:r>
      <w:r>
        <w:rPr>
          <w:shd w:val="clear" w:color="auto" w:fill="FFFFFF"/>
        </w:rPr>
        <w:t>20</w:t>
      </w:r>
      <w:r>
        <w:rPr>
          <w:shd w:val="clear" w:color="auto" w:fill="FFFFFF"/>
        </w:rPr>
        <w:t>到</w:t>
      </w:r>
      <w:r>
        <w:rPr>
          <w:shd w:val="clear" w:color="auto" w:fill="FFFFFF"/>
        </w:rPr>
        <w:t>40</w:t>
      </w:r>
      <w:r>
        <w:rPr>
          <w:shd w:val="clear" w:color="auto" w:fill="FFFFFF"/>
        </w:rPr>
        <w:t>天的大风天气，风沙危害一年比一年严重，对区域生态安全和农业生产构成了实实在在的威胁。以辽宁省彰武县为例，这个县位于科尔沁沙地南缘，</w:t>
      </w:r>
      <w:r>
        <w:rPr>
          <w:shd w:val="clear" w:color="auto" w:fill="FFFFFF"/>
        </w:rPr>
        <w:t>20</w:t>
      </w:r>
      <w:r>
        <w:rPr>
          <w:shd w:val="clear" w:color="auto" w:fill="FFFFFF"/>
        </w:rPr>
        <w:t>世纪</w:t>
      </w:r>
      <w:r>
        <w:rPr>
          <w:shd w:val="clear" w:color="auto" w:fill="FFFFFF"/>
        </w:rPr>
        <w:t>80</w:t>
      </w:r>
      <w:r>
        <w:rPr>
          <w:shd w:val="clear" w:color="auto" w:fill="FFFFFF"/>
        </w:rPr>
        <w:t>年代初期，沙漠化土地面积占到了全县总面积的</w:t>
      </w:r>
      <w:r>
        <w:rPr>
          <w:shd w:val="clear" w:color="auto" w:fill="FFFFFF"/>
        </w:rPr>
        <w:t>96%</w:t>
      </w:r>
      <w:r>
        <w:rPr>
          <w:shd w:val="clear" w:color="auto" w:fill="FFFFFF"/>
        </w:rPr>
        <w:t>，每年有将近</w:t>
      </w:r>
      <w:r>
        <w:rPr>
          <w:shd w:val="clear" w:color="auto" w:fill="FFFFFF"/>
        </w:rPr>
        <w:t>70%</w:t>
      </w:r>
      <w:r>
        <w:rPr>
          <w:shd w:val="clear" w:color="auto" w:fill="FFFFFF"/>
        </w:rPr>
        <w:t>的农田遭受风沙危害，粮食亩产还不到</w:t>
      </w:r>
      <w:r>
        <w:rPr>
          <w:shd w:val="clear" w:color="auto" w:fill="FFFFFF"/>
        </w:rPr>
        <w:t>100</w:t>
      </w:r>
      <w:r>
        <w:rPr>
          <w:shd w:val="clear" w:color="auto" w:fill="FFFFFF"/>
        </w:rPr>
        <w:t>公斤。三北防护林工程通过构建</w:t>
      </w:r>
      <w:r>
        <w:rPr>
          <w:shd w:val="clear" w:color="auto" w:fill="FFFFFF"/>
        </w:rPr>
        <w:t>“</w:t>
      </w:r>
      <w:r>
        <w:rPr>
          <w:shd w:val="clear" w:color="auto" w:fill="FFFFFF"/>
        </w:rPr>
        <w:t>带、片、网</w:t>
      </w:r>
      <w:r>
        <w:rPr>
          <w:shd w:val="clear" w:color="auto" w:fill="FFFFFF"/>
        </w:rPr>
        <w:t>”</w:t>
      </w:r>
      <w:r>
        <w:rPr>
          <w:shd w:val="clear" w:color="auto" w:fill="FFFFFF"/>
        </w:rPr>
        <w:t>相结合的综合防护林体系，在防风固沙、保障松花江和辽河流域水资源安全、保护</w:t>
      </w:r>
      <w:r>
        <w:rPr>
          <w:shd w:val="clear" w:color="auto" w:fill="FFFFFF"/>
        </w:rPr>
        <w:t>1.2</w:t>
      </w:r>
      <w:r>
        <w:rPr>
          <w:shd w:val="clear" w:color="auto" w:fill="FFFFFF"/>
        </w:rPr>
        <w:t>亿亩农田生态环境，以及改善区域整体生态质量等方面，都起到了不可替代的重要作用；中国林科院的研究结果表明，三北防护林能够把工程区的风速降低</w:t>
      </w:r>
      <w:r>
        <w:rPr>
          <w:shd w:val="clear" w:color="auto" w:fill="FFFFFF"/>
        </w:rPr>
        <w:t>20%</w:t>
      </w:r>
      <w:r>
        <w:rPr>
          <w:shd w:val="clear" w:color="auto" w:fill="FFFFFF"/>
        </w:rPr>
        <w:t>到</w:t>
      </w:r>
      <w:r>
        <w:rPr>
          <w:shd w:val="clear" w:color="auto" w:fill="FFFFFF"/>
        </w:rPr>
        <w:t>30%</w:t>
      </w:r>
      <w:r>
        <w:rPr>
          <w:shd w:val="clear" w:color="auto" w:fill="FFFFFF"/>
        </w:rPr>
        <w:t>，相对湿度提高</w:t>
      </w:r>
      <w:r>
        <w:rPr>
          <w:shd w:val="clear" w:color="auto" w:fill="FFFFFF"/>
        </w:rPr>
        <w:t>5%</w:t>
      </w:r>
      <w:r>
        <w:rPr>
          <w:shd w:val="clear" w:color="auto" w:fill="FFFFFF"/>
        </w:rPr>
        <w:t>到</w:t>
      </w:r>
      <w:r>
        <w:rPr>
          <w:shd w:val="clear" w:color="auto" w:fill="FFFFFF"/>
        </w:rPr>
        <w:t>10%</w:t>
      </w:r>
      <w:r>
        <w:rPr>
          <w:shd w:val="clear" w:color="auto" w:fill="FFFFFF"/>
        </w:rPr>
        <w:t>，有效遏制住了土地沙化继续蔓延的势头。</w:t>
      </w:r>
    </w:p>
    <w:p w14:paraId="5785A8CB" w14:textId="77777777" w:rsidR="00D46586" w:rsidRDefault="00000000">
      <w:pPr>
        <w:pStyle w:val="a3"/>
        <w:ind w:left="480" w:firstLine="480"/>
        <w:rPr>
          <w:shd w:val="clear" w:color="auto" w:fill="FFFFFF"/>
        </w:rPr>
      </w:pPr>
      <w:r>
        <w:rPr>
          <w:shd w:val="clear" w:color="auto" w:fill="FFFFFF"/>
        </w:rPr>
        <w:t>经过</w:t>
      </w:r>
      <w:r>
        <w:rPr>
          <w:shd w:val="clear" w:color="auto" w:fill="FFFFFF"/>
        </w:rPr>
        <w:t>40</w:t>
      </w:r>
      <w:r>
        <w:rPr>
          <w:shd w:val="clear" w:color="auto" w:fill="FFFFFF"/>
        </w:rPr>
        <w:t>余年的持续建设，三北防护林工程取得了显著成效，累计造林面积达到</w:t>
      </w:r>
      <w:r>
        <w:rPr>
          <w:shd w:val="clear" w:color="auto" w:fill="FFFFFF"/>
        </w:rPr>
        <w:t>2918.5</w:t>
      </w:r>
      <w:r>
        <w:rPr>
          <w:shd w:val="clear" w:color="auto" w:fill="FFFFFF"/>
        </w:rPr>
        <w:t>万公顷，工程区的森林覆盖率也从最初的</w:t>
      </w:r>
      <w:r>
        <w:rPr>
          <w:shd w:val="clear" w:color="auto" w:fill="FFFFFF"/>
        </w:rPr>
        <w:t>5.05%</w:t>
      </w:r>
      <w:r>
        <w:rPr>
          <w:shd w:val="clear" w:color="auto" w:fill="FFFFFF"/>
        </w:rPr>
        <w:t>提升到了</w:t>
      </w:r>
      <w:r>
        <w:rPr>
          <w:shd w:val="clear" w:color="auto" w:fill="FFFFFF"/>
        </w:rPr>
        <w:t>13.02%</w:t>
      </w:r>
      <w:r>
        <w:rPr>
          <w:shd w:val="clear" w:color="auto" w:fill="FFFFFF"/>
        </w:rPr>
        <w:t>，森林蓄积量由</w:t>
      </w:r>
      <w:r>
        <w:rPr>
          <w:shd w:val="clear" w:color="auto" w:fill="FFFFFF"/>
        </w:rPr>
        <w:t>7.2</w:t>
      </w:r>
      <w:r>
        <w:rPr>
          <w:shd w:val="clear" w:color="auto" w:fill="FFFFFF"/>
        </w:rPr>
        <w:t>亿立方米增长到</w:t>
      </w:r>
      <w:r>
        <w:rPr>
          <w:shd w:val="clear" w:color="auto" w:fill="FFFFFF"/>
        </w:rPr>
        <w:t>20.98</w:t>
      </w:r>
      <w:r>
        <w:rPr>
          <w:shd w:val="clear" w:color="auto" w:fill="FFFFFF"/>
        </w:rPr>
        <w:t>亿立方米，这就在我国北方地区构筑起了一道坚实的生态安全屏障，有力推动了区域经济社会与生态环境的协调发展。从具体案例来看，陕西榆林沙区的森林覆盖率由</w:t>
      </w:r>
      <w:r>
        <w:rPr>
          <w:shd w:val="clear" w:color="auto" w:fill="FFFFFF"/>
        </w:rPr>
        <w:t>0.9%</w:t>
      </w:r>
      <w:r>
        <w:rPr>
          <w:shd w:val="clear" w:color="auto" w:fill="FFFFFF"/>
        </w:rPr>
        <w:t>提高到了</w:t>
      </w:r>
      <w:r>
        <w:rPr>
          <w:shd w:val="clear" w:color="auto" w:fill="FFFFFF"/>
        </w:rPr>
        <w:t>33%</w:t>
      </w:r>
      <w:r>
        <w:rPr>
          <w:shd w:val="clear" w:color="auto" w:fill="FFFFFF"/>
        </w:rPr>
        <w:t>，毛乌素沙地几乎要从陕西版图上</w:t>
      </w:r>
      <w:r>
        <w:rPr>
          <w:shd w:val="clear" w:color="auto" w:fill="FFFFFF"/>
        </w:rPr>
        <w:t>“</w:t>
      </w:r>
      <w:r>
        <w:rPr>
          <w:shd w:val="clear" w:color="auto" w:fill="FFFFFF"/>
        </w:rPr>
        <w:t>消失</w:t>
      </w:r>
      <w:r>
        <w:rPr>
          <w:shd w:val="clear" w:color="auto" w:fill="FFFFFF"/>
        </w:rPr>
        <w:t>”</w:t>
      </w:r>
      <w:r>
        <w:rPr>
          <w:shd w:val="clear" w:color="auto" w:fill="FFFFFF"/>
        </w:rPr>
        <w:t>了；黑龙江垦区的农田防护林，使粮食平均增产</w:t>
      </w:r>
      <w:r>
        <w:rPr>
          <w:shd w:val="clear" w:color="auto" w:fill="FFFFFF"/>
        </w:rPr>
        <w:t>15%</w:t>
      </w:r>
      <w:r>
        <w:rPr>
          <w:shd w:val="clear" w:color="auto" w:fill="FFFFFF"/>
        </w:rPr>
        <w:t>到</w:t>
      </w:r>
      <w:r>
        <w:rPr>
          <w:shd w:val="clear" w:color="auto" w:fill="FFFFFF"/>
        </w:rPr>
        <w:t>20%</w:t>
      </w:r>
      <w:r>
        <w:rPr>
          <w:shd w:val="clear" w:color="auto" w:fill="FFFFFF"/>
        </w:rPr>
        <w:t>，每年减少的土壤流失量大约为</w:t>
      </w:r>
      <w:r>
        <w:rPr>
          <w:shd w:val="clear" w:color="auto" w:fill="FFFFFF"/>
        </w:rPr>
        <w:t>2</w:t>
      </w:r>
      <w:r>
        <w:rPr>
          <w:shd w:val="clear" w:color="auto" w:fill="FFFFFF"/>
        </w:rPr>
        <w:t>亿吨，这些实证数据充分表明，防护林工程不光改善了生态环境，也带来了可观的经济社会效益。</w:t>
      </w:r>
    </w:p>
    <w:p w14:paraId="3DA94EA2" w14:textId="77777777" w:rsidR="00D46586" w:rsidRDefault="00000000">
      <w:pPr>
        <w:pStyle w:val="a3"/>
        <w:ind w:left="480" w:firstLine="480"/>
        <w:rPr>
          <w:shd w:val="clear" w:color="auto" w:fill="FFFFFF"/>
        </w:rPr>
      </w:pPr>
      <w:r>
        <w:rPr>
          <w:shd w:val="clear" w:color="auto" w:fill="FFFFFF"/>
        </w:rPr>
        <w:t>为了让林业管理在精细化和智能化方面再上一个台阶，</w:t>
      </w:r>
      <w:r>
        <w:rPr>
          <w:shd w:val="clear" w:color="auto" w:fill="FFFFFF"/>
        </w:rPr>
        <w:t>2001</w:t>
      </w:r>
      <w:r>
        <w:rPr>
          <w:shd w:val="clear" w:color="auto" w:fill="FFFFFF"/>
        </w:rPr>
        <w:t>年我国正式启动了</w:t>
      </w:r>
      <w:r>
        <w:rPr>
          <w:shd w:val="clear" w:color="auto" w:fill="FFFFFF"/>
        </w:rPr>
        <w:t>“</w:t>
      </w:r>
      <w:r>
        <w:rPr>
          <w:shd w:val="clear" w:color="auto" w:fill="FFFFFF"/>
        </w:rPr>
        <w:t>数字林业</w:t>
      </w:r>
      <w:r>
        <w:rPr>
          <w:shd w:val="clear" w:color="auto" w:fill="FFFFFF"/>
        </w:rPr>
        <w:t>”</w:t>
      </w:r>
      <w:r>
        <w:rPr>
          <w:shd w:val="clear" w:color="auto" w:fill="FFFFFF"/>
        </w:rPr>
        <w:t>计划，综合运用地理信息系统（</w:t>
      </w:r>
      <w:r>
        <w:rPr>
          <w:shd w:val="clear" w:color="auto" w:fill="FFFFFF"/>
        </w:rPr>
        <w:t>GIS</w:t>
      </w:r>
      <w:r>
        <w:rPr>
          <w:shd w:val="clear" w:color="auto" w:fill="FFFFFF"/>
        </w:rPr>
        <w:t>）、遥感（</w:t>
      </w:r>
      <w:r>
        <w:rPr>
          <w:shd w:val="clear" w:color="auto" w:fill="FFFFFF"/>
        </w:rPr>
        <w:t>RS</w:t>
      </w:r>
      <w:r>
        <w:rPr>
          <w:shd w:val="clear" w:color="auto" w:fill="FFFFFF"/>
        </w:rPr>
        <w:t>）、多媒体及虚拟仿真等先进技术，来实现林业资源的自动采集、动态监测与科学辅助决策。拿河北省塞罕坝机械林场来说，</w:t>
      </w:r>
      <w:r>
        <w:rPr>
          <w:shd w:val="clear" w:color="auto" w:fill="FFFFFF"/>
        </w:rPr>
        <w:t>GIS</w:t>
      </w:r>
      <w:r>
        <w:rPr>
          <w:shd w:val="clear" w:color="auto" w:fill="FFFFFF"/>
        </w:rPr>
        <w:t>和遥感技术被用在了林分结构优化和防火监测上，使森林火灾的预警准确率提高了</w:t>
      </w:r>
      <w:r>
        <w:rPr>
          <w:shd w:val="clear" w:color="auto" w:fill="FFFFFF"/>
        </w:rPr>
        <w:t>30%</w:t>
      </w:r>
      <w:r>
        <w:rPr>
          <w:shd w:val="clear" w:color="auto" w:fill="FFFFFF"/>
        </w:rPr>
        <w:t>以上；针对三</w:t>
      </w:r>
      <w:r>
        <w:rPr>
          <w:shd w:val="clear" w:color="auto" w:fill="FFFFFF"/>
        </w:rPr>
        <w:lastRenderedPageBreak/>
        <w:t>北地区特殊的自然地理条件和生态环境特征，</w:t>
      </w:r>
      <w:r>
        <w:rPr>
          <w:shd w:val="clear" w:color="auto" w:fill="FFFFFF"/>
        </w:rPr>
        <w:t>GIS</w:t>
      </w:r>
      <w:r>
        <w:rPr>
          <w:shd w:val="clear" w:color="auto" w:fill="FFFFFF"/>
        </w:rPr>
        <w:t>和遥感技术凭借大范围、快速、动态监测的突出优势，在吉林防护林工程管理中显现出了独特的价值，现在已经成为工程实施和成效评估的重要技术支撑。</w:t>
      </w:r>
    </w:p>
    <w:p w14:paraId="233A835B" w14:textId="77777777" w:rsidR="00D46586" w:rsidRDefault="00000000">
      <w:pPr>
        <w:pStyle w:val="a3"/>
        <w:ind w:left="480" w:firstLine="480"/>
        <w:rPr>
          <w:shd w:val="clear" w:color="auto" w:fill="FFFFFF"/>
        </w:rPr>
      </w:pPr>
      <w:r>
        <w:rPr>
          <w:shd w:val="clear" w:color="auto" w:fill="FFFFFF"/>
        </w:rPr>
        <w:t>生态环境评价，是生态保护与管理的一项基础性工作；</w:t>
      </w:r>
      <w:r>
        <w:rPr>
          <w:shd w:val="clear" w:color="auto" w:fill="FFFFFF"/>
        </w:rPr>
        <w:t>2006</w:t>
      </w:r>
      <w:r>
        <w:rPr>
          <w:shd w:val="clear" w:color="auto" w:fill="FFFFFF"/>
        </w:rPr>
        <w:t>年原国家环保总局发布了《生态环境状况评价技术规范（试行）》（</w:t>
      </w:r>
      <w:r>
        <w:rPr>
          <w:shd w:val="clear" w:color="auto" w:fill="FFFFFF"/>
        </w:rPr>
        <w:t>HJ/T192—2006</w:t>
      </w:r>
      <w:r>
        <w:rPr>
          <w:shd w:val="clear" w:color="auto" w:fill="FFFFFF"/>
        </w:rPr>
        <w:t>），提出了生态环境指数（</w:t>
      </w:r>
      <w:r>
        <w:rPr>
          <w:shd w:val="clear" w:color="auto" w:fill="FFFFFF"/>
        </w:rPr>
        <w:t>EI</w:t>
      </w:r>
      <w:r>
        <w:rPr>
          <w:shd w:val="clear" w:color="auto" w:fill="FFFFFF"/>
        </w:rPr>
        <w:t>），这个指数集成了</w:t>
      </w:r>
      <w:r>
        <w:rPr>
          <w:shd w:val="clear" w:color="auto" w:fill="FFFFFF"/>
        </w:rPr>
        <w:t>5</w:t>
      </w:r>
      <w:r>
        <w:rPr>
          <w:shd w:val="clear" w:color="auto" w:fill="FFFFFF"/>
        </w:rPr>
        <w:t>个评价指数和</w:t>
      </w:r>
      <w:r>
        <w:rPr>
          <w:shd w:val="clear" w:color="auto" w:fill="FFFFFF"/>
        </w:rPr>
        <w:t>1</w:t>
      </w:r>
      <w:r>
        <w:rPr>
          <w:shd w:val="clear" w:color="auto" w:fill="FFFFFF"/>
        </w:rPr>
        <w:t>个约束性指标，兼顾了自然因素与人为活动的影响，但在实际应用里，存在着数据获取难度大、操作繁琐等问题</w:t>
      </w:r>
      <w:r>
        <w:rPr>
          <w:shd w:val="clear" w:color="auto" w:fill="FFFFFF"/>
        </w:rPr>
        <w:t>[4]</w:t>
      </w:r>
      <w:r>
        <w:rPr>
          <w:shd w:val="clear" w:color="auto" w:fill="FFFFFF"/>
        </w:rPr>
        <w:t>。传统的遥感生态评价方法种类不少，主要包括指数法</w:t>
      </w:r>
      <w:r>
        <w:rPr>
          <w:shd w:val="clear" w:color="auto" w:fill="FFFFFF"/>
        </w:rPr>
        <w:t>[5]</w:t>
      </w:r>
      <w:r>
        <w:rPr>
          <w:shd w:val="clear" w:color="auto" w:fill="FFFFFF"/>
        </w:rPr>
        <w:t>、主成分分析法、层次分析法</w:t>
      </w:r>
      <w:r>
        <w:rPr>
          <w:shd w:val="clear" w:color="auto" w:fill="FFFFFF"/>
        </w:rPr>
        <w:t>[6]</w:t>
      </w:r>
      <w:r>
        <w:rPr>
          <w:shd w:val="clear" w:color="auto" w:fill="FFFFFF"/>
        </w:rPr>
        <w:t>、灰色</w:t>
      </w:r>
      <w:proofErr w:type="gramStart"/>
      <w:r>
        <w:rPr>
          <w:shd w:val="clear" w:color="auto" w:fill="FFFFFF"/>
        </w:rPr>
        <w:t>关联度法</w:t>
      </w:r>
      <w:proofErr w:type="gramEnd"/>
      <w:r>
        <w:rPr>
          <w:shd w:val="clear" w:color="auto" w:fill="FFFFFF"/>
        </w:rPr>
        <w:t>[7]</w:t>
      </w:r>
      <w:r>
        <w:rPr>
          <w:shd w:val="clear" w:color="auto" w:fill="FFFFFF"/>
        </w:rPr>
        <w:t>等，它们为区域生态评价提供了多种思路，不过普遍都有评价维度单一、效率不高或主观性较强这样的局限；例如，层次分析法需要依靠专家打分，不同评价者得出来的结果可能会存在显著差异，而单一植被指数法又无法反映地表湿度、温度等多要素的综合影响。</w:t>
      </w:r>
      <w:r>
        <w:rPr>
          <w:shd w:val="clear" w:color="auto" w:fill="FFFFFF"/>
        </w:rPr>
        <w:t>2013</w:t>
      </w:r>
      <w:r>
        <w:rPr>
          <w:shd w:val="clear" w:color="auto" w:fill="FFFFFF"/>
        </w:rPr>
        <w:t>年，徐涵秋</w:t>
      </w:r>
      <w:r>
        <w:rPr>
          <w:shd w:val="clear" w:color="auto" w:fill="FFFFFF"/>
        </w:rPr>
        <w:t>[8]</w:t>
      </w:r>
      <w:r>
        <w:rPr>
          <w:shd w:val="clear" w:color="auto" w:fill="FFFFFF"/>
        </w:rPr>
        <w:t>提出的遥感生态指数（</w:t>
      </w:r>
      <w:r>
        <w:rPr>
          <w:shd w:val="clear" w:color="auto" w:fill="FFFFFF"/>
        </w:rPr>
        <w:t>RSEI</w:t>
      </w:r>
      <w:r>
        <w:rPr>
          <w:shd w:val="clear" w:color="auto" w:fill="FFFFFF"/>
        </w:rPr>
        <w:t>），让生态环境质量评价的手段向着多元化的方向发展了，它有效克服了传统方法中主观性强、数据依赖程度高以及难以反映时空动态变化这些不足，其中</w:t>
      </w:r>
      <w:proofErr w:type="spellStart"/>
      <w:r>
        <w:rPr>
          <w:shd w:val="clear" w:color="auto" w:fill="FFFFFF"/>
        </w:rPr>
        <w:t>RSEI</w:t>
      </w:r>
      <w:proofErr w:type="spellEnd"/>
      <w:r>
        <w:rPr>
          <w:shd w:val="clear" w:color="auto" w:fill="FFFFFF"/>
        </w:rPr>
        <w:t>因为能够客观地把与人类活动息息相关的湿度、绿度、干度、热度等指标整合到一起，便被广泛地应用到了区域生态环境质量评估中</w:t>
      </w:r>
      <w:r>
        <w:rPr>
          <w:shd w:val="clear" w:color="auto" w:fill="FFFFFF"/>
        </w:rPr>
        <w:t>[9]</w:t>
      </w:r>
      <w:r>
        <w:rPr>
          <w:shd w:val="clear" w:color="auto" w:fill="FFFFFF"/>
        </w:rPr>
        <w:t>。该指数集成了湿度（</w:t>
      </w:r>
      <w:r>
        <w:rPr>
          <w:shd w:val="clear" w:color="auto" w:fill="FFFFFF"/>
        </w:rPr>
        <w:t>WET</w:t>
      </w:r>
      <w:r>
        <w:rPr>
          <w:shd w:val="clear" w:color="auto" w:fill="FFFFFF"/>
        </w:rPr>
        <w:t>）、绿度（</w:t>
      </w:r>
      <w:r>
        <w:rPr>
          <w:shd w:val="clear" w:color="auto" w:fill="FFFFFF"/>
        </w:rPr>
        <w:t>NDVI</w:t>
      </w:r>
      <w:r>
        <w:rPr>
          <w:shd w:val="clear" w:color="auto" w:fill="FFFFFF"/>
        </w:rPr>
        <w:t>）、热度（</w:t>
      </w:r>
      <w:r>
        <w:rPr>
          <w:shd w:val="clear" w:color="auto" w:fill="FFFFFF"/>
        </w:rPr>
        <w:t>LST</w:t>
      </w:r>
      <w:r>
        <w:rPr>
          <w:shd w:val="clear" w:color="auto" w:fill="FFFFFF"/>
        </w:rPr>
        <w:t>）、干度（</w:t>
      </w:r>
      <w:r>
        <w:rPr>
          <w:shd w:val="clear" w:color="auto" w:fill="FFFFFF"/>
        </w:rPr>
        <w:t>NDBSI</w:t>
      </w:r>
      <w:r>
        <w:rPr>
          <w:shd w:val="clear" w:color="auto" w:fill="FFFFFF"/>
        </w:rPr>
        <w:t>）四个核心指标，再结合主成分分析方法，就能高效地实现区域生态质量的量化评估、空间可视化呈现、时空动态演变分析以及建模预测，为生态环境评价工作提供了</w:t>
      </w:r>
      <w:proofErr w:type="gramStart"/>
      <w:r>
        <w:rPr>
          <w:shd w:val="clear" w:color="auto" w:fill="FFFFFF"/>
        </w:rPr>
        <w:t>多维且</w:t>
      </w:r>
      <w:proofErr w:type="gramEnd"/>
      <w:r>
        <w:rPr>
          <w:shd w:val="clear" w:color="auto" w:fill="FFFFFF"/>
        </w:rPr>
        <w:t>高效的技术支撑；已有的研究表明，</w:t>
      </w:r>
      <w:r>
        <w:rPr>
          <w:shd w:val="clear" w:color="auto" w:fill="FFFFFF"/>
        </w:rPr>
        <w:t>RSEI</w:t>
      </w:r>
      <w:r>
        <w:rPr>
          <w:shd w:val="clear" w:color="auto" w:fill="FFFFFF"/>
        </w:rPr>
        <w:t>在三江源生态工程、黄土高原退耕还林等区域的应用中，能够有</w:t>
      </w:r>
      <w:proofErr w:type="gramStart"/>
      <w:r>
        <w:rPr>
          <w:shd w:val="clear" w:color="auto" w:fill="FFFFFF"/>
        </w:rPr>
        <w:t>效区</w:t>
      </w:r>
      <w:proofErr w:type="gramEnd"/>
      <w:r>
        <w:rPr>
          <w:shd w:val="clear" w:color="auto" w:fill="FFFFFF"/>
        </w:rPr>
        <w:t>分出不同生态恢复措施的效果，表现出了良好的适用性和一致性。</w:t>
      </w:r>
    </w:p>
    <w:p w14:paraId="16CE001F" w14:textId="77777777" w:rsidR="00D46586" w:rsidRDefault="00000000">
      <w:pPr>
        <w:pStyle w:val="a3"/>
        <w:ind w:left="480" w:firstLine="480"/>
        <w:rPr>
          <w:shd w:val="clear" w:color="auto" w:fill="FFFFFF"/>
        </w:rPr>
      </w:pPr>
      <w:r>
        <w:rPr>
          <w:shd w:val="clear" w:color="auto" w:fill="FFFFFF"/>
        </w:rPr>
        <w:t>东北吉林防护林建设区兼有人工防护林与天然林场，生态系统复杂多样，遥感技术能够有效识别出林网破碎化、树种单一化等生态结构上的风险，并且可以做到提前预警。举个例子，基于</w:t>
      </w:r>
      <w:r>
        <w:rPr>
          <w:shd w:val="clear" w:color="auto" w:fill="FFFFFF"/>
        </w:rPr>
        <w:t>Landsat</w:t>
      </w:r>
      <w:r>
        <w:rPr>
          <w:shd w:val="clear" w:color="auto" w:fill="FFFFFF"/>
        </w:rPr>
        <w:t>时序影像的分析发现，黑龙江部分农田防护林</w:t>
      </w:r>
      <w:proofErr w:type="gramStart"/>
      <w:r>
        <w:rPr>
          <w:shd w:val="clear" w:color="auto" w:fill="FFFFFF"/>
        </w:rPr>
        <w:t>带因为</w:t>
      </w:r>
      <w:proofErr w:type="gramEnd"/>
      <w:r>
        <w:rPr>
          <w:shd w:val="clear" w:color="auto" w:fill="FFFFFF"/>
        </w:rPr>
        <w:t>老化、断带，导致了防护功能下降了</w:t>
      </w:r>
      <w:r>
        <w:rPr>
          <w:shd w:val="clear" w:color="auto" w:fill="FFFFFF"/>
        </w:rPr>
        <w:t>20%</w:t>
      </w:r>
      <w:r>
        <w:rPr>
          <w:shd w:val="clear" w:color="auto" w:fill="FFFFFF"/>
        </w:rPr>
        <w:t>到</w:t>
      </w:r>
      <w:r>
        <w:rPr>
          <w:shd w:val="clear" w:color="auto" w:fill="FFFFFF"/>
        </w:rPr>
        <w:t>30%</w:t>
      </w:r>
      <w:r>
        <w:rPr>
          <w:shd w:val="clear" w:color="auto" w:fill="FFFFFF"/>
        </w:rPr>
        <w:t>，这就为及时开展补植修复提供了科学依据；借助卫星影像数据，人们能连续追踪</w:t>
      </w:r>
      <w:r>
        <w:rPr>
          <w:shd w:val="clear" w:color="auto" w:fill="FFFFFF"/>
        </w:rPr>
        <w:t>40</w:t>
      </w:r>
      <w:r>
        <w:rPr>
          <w:shd w:val="clear" w:color="auto" w:fill="FFFFFF"/>
        </w:rPr>
        <w:t>年来防护林的面积变化、空间分布演变以及保存率等关键信息，有</w:t>
      </w:r>
      <w:r>
        <w:rPr>
          <w:shd w:val="clear" w:color="auto" w:fill="FFFFFF"/>
        </w:rPr>
        <w:lastRenderedPageBreak/>
        <w:t>效弥补了传统地面调查覆盖面有限、耗时耗力的短板。多时相、多光谱遥感数据（如</w:t>
      </w:r>
      <w:r>
        <w:rPr>
          <w:shd w:val="clear" w:color="auto" w:fill="FFFFFF"/>
        </w:rPr>
        <w:t>Landsat</w:t>
      </w:r>
      <w:r>
        <w:rPr>
          <w:shd w:val="clear" w:color="auto" w:fill="FFFFFF"/>
        </w:rPr>
        <w:t>、</w:t>
      </w:r>
      <w:r>
        <w:rPr>
          <w:shd w:val="clear" w:color="auto" w:fill="FFFFFF"/>
        </w:rPr>
        <w:t>Sentinel</w:t>
      </w:r>
      <w:r>
        <w:rPr>
          <w:shd w:val="clear" w:color="auto" w:fill="FFFFFF"/>
        </w:rPr>
        <w:t>系列卫星数据）则可以实现大范围、高频次的生态监测，把植被覆盖度、生物量、土壤湿度等核心生态指标精准地量化出来；如果再结合热红外与雷达数据，还能科学评估防护林的防风固沙效能</w:t>
      </w:r>
      <w:proofErr w:type="gramStart"/>
      <w:r>
        <w:rPr>
          <w:shd w:val="clear" w:color="auto" w:fill="FFFFFF"/>
        </w:rPr>
        <w:t>与碳汇能力</w:t>
      </w:r>
      <w:proofErr w:type="gramEnd"/>
      <w:r>
        <w:rPr>
          <w:shd w:val="clear" w:color="auto" w:fill="FFFFFF"/>
        </w:rPr>
        <w:t>。</w:t>
      </w:r>
    </w:p>
    <w:p w14:paraId="77E7525E" w14:textId="77777777" w:rsidR="00D46586" w:rsidRDefault="00000000">
      <w:pPr>
        <w:pStyle w:val="a3"/>
        <w:ind w:left="480" w:firstLine="480"/>
        <w:rPr>
          <w:shd w:val="clear" w:color="auto" w:fill="FFFFFF"/>
        </w:rPr>
      </w:pPr>
      <w:r>
        <w:rPr>
          <w:shd w:val="clear" w:color="auto" w:fill="FFFFFF"/>
        </w:rPr>
        <w:t>RSEI</w:t>
      </w:r>
      <w:r>
        <w:rPr>
          <w:shd w:val="clear" w:color="auto" w:fill="FFFFFF"/>
        </w:rPr>
        <w:t>指数具备快速获取大范围、长时序生态数据的突出优势，现已被广泛应用到了各类生态工程的成效评价当中。本研究区覆盖了吉林大部分区域，需要对</w:t>
      </w:r>
      <w:r>
        <w:rPr>
          <w:shd w:val="clear" w:color="auto" w:fill="FFFFFF"/>
        </w:rPr>
        <w:t>1985—2020</w:t>
      </w:r>
      <w:r>
        <w:rPr>
          <w:shd w:val="clear" w:color="auto" w:fill="FFFFFF"/>
        </w:rPr>
        <w:t>年五个时期吉林省防护林工程建设的生态成效进行系统分析，</w:t>
      </w:r>
      <w:r>
        <w:rPr>
          <w:shd w:val="clear" w:color="auto" w:fill="FFFFFF"/>
        </w:rPr>
        <w:t>RSEI</w:t>
      </w:r>
      <w:r>
        <w:rPr>
          <w:shd w:val="clear" w:color="auto" w:fill="FFFFFF"/>
        </w:rPr>
        <w:t>指数的技术优势，使其成为了本研究的核心评价方法；同时，该指数整合了植被、湿度、地表温度、建筑指数等多源遥感指标，能够较为全面和客观地反映出区域生态质量的整体状况与变化特征。本研究通过分析研究区的土地利用结构、类型变化及动态度特征，构建起基于遥感技术的生态指数（</w:t>
      </w:r>
      <w:r>
        <w:rPr>
          <w:shd w:val="clear" w:color="auto" w:fill="FFFFFF"/>
        </w:rPr>
        <w:t>RSEI</w:t>
      </w:r>
      <w:r>
        <w:rPr>
          <w:shd w:val="clear" w:color="auto" w:fill="FFFFFF"/>
        </w:rPr>
        <w:t>），系统评估了研究区生态环境的时空演变趋势，并且基于土地利用与生态环境的耦合协调关系，为国土空间规划的优化、生态保护修复工程的实施，提供科学依据和有针对性的决策建议；例如，通过耦合分析能够识别出哪些土地利用类型（比如耕地扩张、退耕还林）对生态改善的贡献最大，从而指导未来的防护林布局和农业结构调整，推动生态效益与经济效益实现协同提升</w:t>
      </w:r>
      <w:r>
        <w:rPr>
          <w:rFonts w:hint="eastAsia"/>
          <w:shd w:val="clear" w:color="auto" w:fill="FFFFFF"/>
        </w:rPr>
        <w:t>。</w:t>
      </w:r>
      <w:bookmarkStart w:id="14" w:name="_Toc30783"/>
    </w:p>
    <w:p w14:paraId="004FC754" w14:textId="77777777" w:rsidR="00D46586" w:rsidRDefault="00000000">
      <w:pPr>
        <w:pStyle w:val="2"/>
        <w:spacing w:before="156" w:after="156"/>
        <w:ind w:left="480"/>
      </w:pPr>
      <w:bookmarkStart w:id="15" w:name="_Toc230693470"/>
      <w:bookmarkStart w:id="16" w:name="_Toc230815647"/>
      <w:r>
        <w:t>1.2</w:t>
      </w:r>
      <w:r>
        <w:t>国内外研究现状</w:t>
      </w:r>
      <w:bookmarkStart w:id="17" w:name="_Toc19968"/>
      <w:bookmarkEnd w:id="14"/>
      <w:bookmarkEnd w:id="15"/>
      <w:bookmarkEnd w:id="16"/>
    </w:p>
    <w:p w14:paraId="0F9E99A4" w14:textId="77777777" w:rsidR="00D46586" w:rsidRDefault="00000000">
      <w:pPr>
        <w:pStyle w:val="3"/>
        <w:spacing w:before="78" w:after="78"/>
        <w:ind w:left="480"/>
      </w:pPr>
      <w:bookmarkStart w:id="18" w:name="_Toc230693471"/>
      <w:bookmarkStart w:id="19" w:name="_Toc230815648"/>
      <w:r>
        <w:rPr>
          <w:rFonts w:hint="eastAsia"/>
        </w:rPr>
        <w:t xml:space="preserve">1.2.1 </w:t>
      </w:r>
      <w:r>
        <w:rPr>
          <w:rFonts w:hint="eastAsia"/>
        </w:rPr>
        <w:t>国内研究现状</w:t>
      </w:r>
      <w:bookmarkEnd w:id="17"/>
      <w:bookmarkEnd w:id="18"/>
      <w:bookmarkEnd w:id="19"/>
    </w:p>
    <w:p w14:paraId="5278DDED" w14:textId="77777777" w:rsidR="00D46586" w:rsidRDefault="00000000">
      <w:pPr>
        <w:pStyle w:val="a3"/>
        <w:ind w:left="480" w:firstLine="480"/>
      </w:pPr>
      <w:bookmarkStart w:id="20" w:name="_Toc9517"/>
      <w:r>
        <w:t>高志强等</w:t>
      </w:r>
      <w:r>
        <w:t>[10]</w:t>
      </w:r>
      <w:r>
        <w:t>以数字环境建模技术为基础，运用层次分析法（</w:t>
      </w:r>
      <w:r>
        <w:t>AHP</w:t>
      </w:r>
      <w:r>
        <w:t>），对中国土地资源的生态环境质量开展了系统性评价。层次分析法能把复杂问题分解成多层级的指标，并通过专家打分来确定权重，在结构化方面优势比较明显；不过这种方法对专家经验的依赖程度偏高，不同专家群体得出的权重可能会有显著差异。比如评价同一片森林时，生态学家可能给植被覆盖度赋予较高的权重，而地理学家更关注土壤侵蚀因子，这就影响到评价结果在不同研究之间的可比性。</w:t>
      </w:r>
      <w:proofErr w:type="gramStart"/>
      <w:r>
        <w:t>叶亚平等</w:t>
      </w:r>
      <w:proofErr w:type="gramEnd"/>
      <w:r>
        <w:t>[11]</w:t>
      </w:r>
      <w:r>
        <w:t>针对省级行政区，构建了一套覆盖生</w:t>
      </w:r>
      <w:r>
        <w:lastRenderedPageBreak/>
        <w:t>态本底状况、人类活动干扰强度及区域发展适配需求的综合评价体系，采用的是相对指标法赋权，该方法的优势在于能反映出各省份在特定时段内生态的相对优劣关系；但由于当时全国尚未建立统一的生态环境评价标准，各指标的量纲、基准值和阈值都缺乏统一规范，最终结果只能用于同</w:t>
      </w:r>
      <w:proofErr w:type="gramStart"/>
      <w:r>
        <w:t>一评价</w:t>
      </w:r>
      <w:proofErr w:type="gramEnd"/>
      <w:r>
        <w:t>体系下的相对排序，而无法实现不同省份间生态质量的绝对值对比。比如江苏省与云南省在湿润指数、植被覆盖基数等方面天然差异较大，相对指标法很难将自然禀赋差异与人为干扰贡献剥离开来，</w:t>
      </w:r>
      <w:proofErr w:type="gramStart"/>
      <w:r>
        <w:t>查勇等</w:t>
      </w:r>
      <w:proofErr w:type="gramEnd"/>
      <w:r>
        <w:t>[12]</w:t>
      </w:r>
      <w:r>
        <w:t>通过遥感影像自动提取城镇用地，这种方法速度更快、客观性也更强，相较于传统目视解译和非监督分类方法具有明显优势。目视解译依赖解译人员的专业经验，效率低且主观性高；非监督分类虽然自动化程度较高，却容易把光谱相似的地物（像裸地与建筑用地）混为一谈，</w:t>
      </w:r>
      <w:proofErr w:type="gramStart"/>
      <w:r>
        <w:t>查勇等</w:t>
      </w:r>
      <w:proofErr w:type="gramEnd"/>
      <w:r>
        <w:t>的方法通过引入纹理、形状等空间特征，显著提高了城镇用地的识别精度，这项研究推动了建筑物提取技术的进步，也为后来的城市扩张监测、</w:t>
      </w:r>
      <w:proofErr w:type="gramStart"/>
      <w:r>
        <w:t>不</w:t>
      </w:r>
      <w:proofErr w:type="gramEnd"/>
      <w:r>
        <w:t>透水面制图等应用打下了技术基础。</w:t>
      </w:r>
    </w:p>
    <w:p w14:paraId="01E6C1E5" w14:textId="77777777" w:rsidR="00D46586" w:rsidRDefault="00000000">
      <w:pPr>
        <w:pStyle w:val="a3"/>
        <w:ind w:left="480" w:firstLine="480"/>
      </w:pPr>
      <w:r>
        <w:t>徐涵秋</w:t>
      </w:r>
      <w:r>
        <w:t>[13]</w:t>
      </w:r>
      <w:r>
        <w:t>提出了改进的归一化差异水体指数（</w:t>
      </w:r>
      <w:r>
        <w:t>MNDWI</w:t>
      </w:r>
      <w:r>
        <w:t>），这个指数有效消除了水体对建筑信息的干扰，提取精度更高，同时能更好地区分阴影与真实水体，解决了传统水体指数（如</w:t>
      </w:r>
      <w:r>
        <w:t>NDWI</w:t>
      </w:r>
      <w:r>
        <w:t>）在水体提取中长期存在的阴影误判问题。在实际应用中，比如南方丘陵区，由于地形阴影与水体的光谱特征很相似，传统方法的误提率常常超过</w:t>
      </w:r>
      <w:r>
        <w:t>20%</w:t>
      </w:r>
      <w:r>
        <w:t>，而</w:t>
      </w:r>
      <w:r>
        <w:t>MNDWI</w:t>
      </w:r>
      <w:proofErr w:type="gramStart"/>
      <w:r>
        <w:t>能将误提</w:t>
      </w:r>
      <w:proofErr w:type="gramEnd"/>
      <w:r>
        <w:t>率降到</w:t>
      </w:r>
      <w:r>
        <w:t>5%</w:t>
      </w:r>
      <w:r>
        <w:t>以下，水体信息的可信度因此显著提升。</w:t>
      </w:r>
    </w:p>
    <w:p w14:paraId="0CA9305B" w14:textId="77777777" w:rsidR="00D46586" w:rsidRDefault="00000000">
      <w:pPr>
        <w:pStyle w:val="a3"/>
        <w:ind w:left="480" w:firstLine="480"/>
      </w:pPr>
      <w:proofErr w:type="gramStart"/>
      <w:r>
        <w:t>李洪义等</w:t>
      </w:r>
      <w:proofErr w:type="gramEnd"/>
      <w:r>
        <w:t>[14]</w:t>
      </w:r>
      <w:r>
        <w:t>基于</w:t>
      </w:r>
      <w:r>
        <w:t>ETM</w:t>
      </w:r>
      <w:r>
        <w:t>遥感数据，构建了涵盖植被指数、土壤亮度、湿度、热度等多个指标的福建地区环境质量综合评价体系，并通过因子相关性分析验证了指标设置的科学性。研究显示，该方法与地面同步监测结果高度一致，</w:t>
      </w:r>
      <w:r>
        <w:t>R²</w:t>
      </w:r>
      <w:r>
        <w:t>达到</w:t>
      </w:r>
      <w:r>
        <w:t>0.89</w:t>
      </w:r>
      <w:r>
        <w:t>以上，证实了用遥感指标替代传统地面监测的可行性；该体系具备大范围、高效、动态评估的能力，尤其适合地形复杂、通达性差的南方山地丘陵区。例如在福建武夷山自然保护区，该方法成功识别出部分山谷因人为活动导致的湿度下降和热岛增强趋势，为早期预警提供了有力依据。岳文泽</w:t>
      </w:r>
      <w:r>
        <w:t>[15]</w:t>
      </w:r>
      <w:r>
        <w:t>利用地表温度与植被指数研究了上海市土地利用的生态环境效应，发现城市建成区的地表温度显著高于周边郊区，植被</w:t>
      </w:r>
      <w:proofErr w:type="gramStart"/>
      <w:r>
        <w:t>覆盖度每增加</w:t>
      </w:r>
      <w:proofErr w:type="gramEnd"/>
      <w:r>
        <w:t>10%</w:t>
      </w:r>
      <w:r>
        <w:t>，地表温度便可降低约</w:t>
      </w:r>
      <w:r>
        <w:t>0.8℃</w:t>
      </w:r>
      <w:r>
        <w:t>，这一量化关系为城市绿化布局的优化提</w:t>
      </w:r>
      <w:r>
        <w:lastRenderedPageBreak/>
        <w:t>供了直接支撑，例如在上海浦东新区的规划中，研究建议</w:t>
      </w:r>
      <w:proofErr w:type="gramStart"/>
      <w:r>
        <w:t>沿快速</w:t>
      </w:r>
      <w:proofErr w:type="gramEnd"/>
      <w:r>
        <w:t>路和河道构建带状绿地，能将夏季热岛强度降低约</w:t>
      </w:r>
      <w:r>
        <w:t>1.5℃</w:t>
      </w:r>
      <w:r>
        <w:t>。在遥感生态指数（</w:t>
      </w:r>
      <w:r>
        <w:t>RSEI</w:t>
      </w:r>
      <w:r>
        <w:t>）的应用方面，</w:t>
      </w:r>
      <w:r>
        <w:t>Hu</w:t>
      </w:r>
      <w:r>
        <w:t>等</w:t>
      </w:r>
      <w:r>
        <w:t>[16]</w:t>
      </w:r>
      <w:r>
        <w:t>把</w:t>
      </w:r>
      <w:r>
        <w:t>RSEI</w:t>
      </w:r>
      <w:r>
        <w:t>与压力</w:t>
      </w:r>
      <w:r>
        <w:t>-</w:t>
      </w:r>
      <w:r>
        <w:t>状态</w:t>
      </w:r>
      <w:r>
        <w:t>-</w:t>
      </w:r>
      <w:r>
        <w:t>响应（</w:t>
      </w:r>
      <w:r>
        <w:t>PSR</w:t>
      </w:r>
      <w:r>
        <w:t>）框架结合起来，发现研究区外围因建设活动导致了生态退化，而中心城区则通过城市绿化提升了环境质量。以广州市为例，外围新区的开发导致</w:t>
      </w:r>
      <w:r>
        <w:t>RSEI</w:t>
      </w:r>
      <w:r>
        <w:t>下降了</w:t>
      </w:r>
      <w:r>
        <w:t>0.12</w:t>
      </w:r>
      <w:r>
        <w:t>，而老城区通过增加公园绿地和屋顶绿化，</w:t>
      </w:r>
      <w:r>
        <w:t>RSEI</w:t>
      </w:r>
      <w:r>
        <w:t>提升了</w:t>
      </w:r>
      <w:r>
        <w:t>0.08</w:t>
      </w:r>
      <w:r>
        <w:t>，表明城市生态改善具有显著的空间异质性。陈宇骏等</w:t>
      </w:r>
      <w:r>
        <w:t>[17]</w:t>
      </w:r>
      <w:r>
        <w:t>基于</w:t>
      </w:r>
      <w:r>
        <w:t>RSEI</w:t>
      </w:r>
      <w:r>
        <w:t>监测了杭州湾大湾区</w:t>
      </w:r>
      <w:r>
        <w:t>1995—2020</w:t>
      </w:r>
      <w:r>
        <w:t>年生态质量的时空变化，并结合土地利用</w:t>
      </w:r>
      <w:r>
        <w:t>/</w:t>
      </w:r>
      <w:r>
        <w:t>覆被变化的数据，揭示了生态质量与土地类型转化之间的定量关系。研究发现，耕地转为建设用地会导致</w:t>
      </w:r>
      <w:r>
        <w:t>RSEI</w:t>
      </w:r>
      <w:r>
        <w:t>下降约</w:t>
      </w:r>
      <w:r>
        <w:t>0.15</w:t>
      </w:r>
      <w:r>
        <w:t>，而退耕还林或湿地恢复则能使</w:t>
      </w:r>
      <w:r>
        <w:t>RSEI</w:t>
      </w:r>
      <w:r>
        <w:t>提升</w:t>
      </w:r>
      <w:r>
        <w:t>0.20</w:t>
      </w:r>
      <w:r>
        <w:t>以上，这一发现为国土空间规划中</w:t>
      </w:r>
      <w:r>
        <w:t>“</w:t>
      </w:r>
      <w:r>
        <w:t>宜林则林、宜湿则湿</w:t>
      </w:r>
      <w:r>
        <w:t>”</w:t>
      </w:r>
      <w:r>
        <w:t>的差异化管</w:t>
      </w:r>
      <w:proofErr w:type="gramStart"/>
      <w:r>
        <w:t>控提供</w:t>
      </w:r>
      <w:proofErr w:type="gramEnd"/>
      <w:r>
        <w:t>了量化依据。宋珂等</w:t>
      </w:r>
      <w:r>
        <w:t>[18]</w:t>
      </w:r>
      <w:r>
        <w:t>以长江经济带江苏段沿江县区为对象，利用</w:t>
      </w:r>
      <w:r>
        <w:t>Landsat</w:t>
      </w:r>
      <w:r>
        <w:t>影像及</w:t>
      </w:r>
      <w:r>
        <w:t>RSEI</w:t>
      </w:r>
      <w:r>
        <w:t>模型，引入了人工</w:t>
      </w:r>
      <w:proofErr w:type="gramStart"/>
      <w:r>
        <w:t>不</w:t>
      </w:r>
      <w:proofErr w:type="gramEnd"/>
      <w:r>
        <w:t>透水</w:t>
      </w:r>
      <w:proofErr w:type="gramStart"/>
      <w:r>
        <w:t>面比例</w:t>
      </w:r>
      <w:proofErr w:type="gramEnd"/>
      <w:r>
        <w:t>与夜间灯光强度等指标，定量分析了人类活动对生态环境造成的影响。结果表明，夜间灯光强度每增加</w:t>
      </w:r>
      <w:r>
        <w:t>10</w:t>
      </w:r>
      <w:r>
        <w:t>个单位，</w:t>
      </w:r>
      <w:r>
        <w:t>RSEI</w:t>
      </w:r>
      <w:r>
        <w:t>平均下降</w:t>
      </w:r>
      <w:r>
        <w:t>0.06</w:t>
      </w:r>
      <w:r>
        <w:t>；而当</w:t>
      </w:r>
      <w:proofErr w:type="gramStart"/>
      <w:r>
        <w:t>不</w:t>
      </w:r>
      <w:proofErr w:type="gramEnd"/>
      <w:r>
        <w:t>透水</w:t>
      </w:r>
      <w:proofErr w:type="gramStart"/>
      <w:r>
        <w:t>面比例</w:t>
      </w:r>
      <w:proofErr w:type="gramEnd"/>
      <w:r>
        <w:t>超过</w:t>
      </w:r>
      <w:r>
        <w:t>35%</w:t>
      </w:r>
      <w:r>
        <w:t>时，生态质量的下降速率会显著加快，基于这一发现，研究建议沿江县区应当把</w:t>
      </w:r>
      <w:proofErr w:type="gramStart"/>
      <w:r>
        <w:t>不</w:t>
      </w:r>
      <w:proofErr w:type="gramEnd"/>
      <w:r>
        <w:t>透水面比例控制在</w:t>
      </w:r>
      <w:r>
        <w:t>30%</w:t>
      </w:r>
      <w:r>
        <w:t>以内，才能维持区域生态的基本稳定。</w:t>
      </w:r>
    </w:p>
    <w:p w14:paraId="51B0D572" w14:textId="77777777" w:rsidR="00D46586" w:rsidRDefault="00000000">
      <w:pPr>
        <w:pStyle w:val="a3"/>
        <w:ind w:left="480" w:firstLine="480"/>
      </w:pPr>
      <w:r>
        <w:t>朱翔等</w:t>
      </w:r>
      <w:r>
        <w:t>[19]</w:t>
      </w:r>
      <w:r>
        <w:t>结合了长时间序列的夜间灯光与</w:t>
      </w:r>
      <w:r>
        <w:t>Landsat</w:t>
      </w:r>
      <w:r>
        <w:t>影像，采用改进的夜间灯光指数来表征城镇化强度，以</w:t>
      </w:r>
      <w:r>
        <w:t>RSEI</w:t>
      </w:r>
      <w:r>
        <w:t>表征生态质量，构建了耦合协调度模型，系统评价了二者之间的协调程度。以长沙市为例，</w:t>
      </w:r>
      <w:r>
        <w:t>2000—2020</w:t>
      </w:r>
      <w:r>
        <w:t>年间城镇化强度增长了</w:t>
      </w:r>
      <w:r>
        <w:t>2.3</w:t>
      </w:r>
      <w:r>
        <w:t>倍，而</w:t>
      </w:r>
      <w:r>
        <w:t>RSEI</w:t>
      </w:r>
      <w:r>
        <w:t>则经历了一个先降后升的过程，协调度从失调逐步转向初级协调，反映出一种</w:t>
      </w:r>
      <w:r>
        <w:t>“</w:t>
      </w:r>
      <w:r>
        <w:t>先污染后治理</w:t>
      </w:r>
      <w:r>
        <w:t>”</w:t>
      </w:r>
      <w:r>
        <w:t>的典型发展路径。研究指出，当城镇化强度的年均增长率超过</w:t>
      </w:r>
      <w:r>
        <w:t>6%</w:t>
      </w:r>
      <w:r>
        <w:t>时，生态滞后的响应时间可达</w:t>
      </w:r>
      <w:r>
        <w:t>5—8</w:t>
      </w:r>
      <w:r>
        <w:t>年，这提示需要加强对开发过程的同步监测与调控。周权平等</w:t>
      </w:r>
      <w:r>
        <w:t>[20]</w:t>
      </w:r>
      <w:r>
        <w:t>利用</w:t>
      </w:r>
      <w:r>
        <w:t>MODIS</w:t>
      </w:r>
      <w:r>
        <w:t>与</w:t>
      </w:r>
      <w:r>
        <w:t>Landsat</w:t>
      </w:r>
      <w:r>
        <w:t>影像，基于</w:t>
      </w:r>
      <w:r>
        <w:t>RSEI</w:t>
      </w:r>
      <w:r>
        <w:t>定量分析了长江经济带</w:t>
      </w:r>
      <w:r>
        <w:t>11</w:t>
      </w:r>
      <w:r>
        <w:t>省（市）的生态环境现状与变化趋势。结果显示，上游地区（如云南、贵州）</w:t>
      </w:r>
      <w:r>
        <w:t>RSEI</w:t>
      </w:r>
      <w:r>
        <w:t>总体较高但波动较大，中游（湖北、湖南）呈现稳步提升的态势，下游（上海、江苏）虽然有所改善但绝对值仍然偏低。例如上海市</w:t>
      </w:r>
      <w:r>
        <w:t>2015—2020</w:t>
      </w:r>
      <w:r>
        <w:t>年</w:t>
      </w:r>
      <w:r>
        <w:t>RSEI</w:t>
      </w:r>
      <w:r>
        <w:t>均值仅为</w:t>
      </w:r>
      <w:r>
        <w:t>0.52</w:t>
      </w:r>
      <w:r>
        <w:t>，而云南省同期均值达到</w:t>
      </w:r>
      <w:r>
        <w:t>0.75</w:t>
      </w:r>
      <w:r>
        <w:t>，这反映了经济发展阶段与生态</w:t>
      </w:r>
      <w:r>
        <w:lastRenderedPageBreak/>
        <w:t>基底的双重影响。由于不同区域的生态结构和环境问题存在明显差异，</w:t>
      </w:r>
      <w:r>
        <w:t>RSEI</w:t>
      </w:r>
      <w:r>
        <w:t>在不同区域应用时需做出适应性调整</w:t>
      </w:r>
      <w:r>
        <w:t>[21]</w:t>
      </w:r>
      <w:r>
        <w:t>。例如在干旱半干旱区，湿度指标的权重就需要适当提高；在喀斯特石漠化区，土壤侵蚀指标则尤为关键。</w:t>
      </w:r>
      <w:proofErr w:type="gramStart"/>
      <w:r>
        <w:t>恒荣兴</w:t>
      </w:r>
      <w:proofErr w:type="gramEnd"/>
      <w:r>
        <w:t>等</w:t>
      </w:r>
      <w:r>
        <w:t>[22]</w:t>
      </w:r>
      <w:r>
        <w:t>在</w:t>
      </w:r>
      <w:r>
        <w:t>RSEI</w:t>
      </w:r>
      <w:r>
        <w:t>的基础上引入了土壤侵蚀模型，构建出改进型遥感生态指数（</w:t>
      </w:r>
      <w:r>
        <w:t>IRSEI</w:t>
      </w:r>
      <w:r>
        <w:t>），用于评价南方红壤丘陵区的生态环境质量，有效反映了该区域水土容易流失的突出特点。在江西赣州地区，</w:t>
      </w:r>
      <w:r>
        <w:t>IRSEI</w:t>
      </w:r>
      <w:r>
        <w:t>比原始</w:t>
      </w:r>
      <w:r>
        <w:t>RSEI</w:t>
      </w:r>
      <w:r>
        <w:t>更能捕捉到陡坡耕作区的土壤流失风险，识别精度提升了约</w:t>
      </w:r>
      <w:r>
        <w:t>25%</w:t>
      </w:r>
      <w:r>
        <w:t>。</w:t>
      </w:r>
    </w:p>
    <w:p w14:paraId="07F964B4" w14:textId="77777777" w:rsidR="00D46586" w:rsidRDefault="00000000">
      <w:pPr>
        <w:pStyle w:val="a3"/>
        <w:ind w:left="480" w:firstLine="480"/>
      </w:pPr>
      <w:r>
        <w:t>Liu</w:t>
      </w:r>
      <w:r>
        <w:t>等</w:t>
      </w:r>
      <w:r>
        <w:t>[23]</w:t>
      </w:r>
      <w:r>
        <w:t>把</w:t>
      </w:r>
      <w:proofErr w:type="spellStart"/>
      <w:r>
        <w:t>InVEST</w:t>
      </w:r>
      <w:proofErr w:type="spellEnd"/>
      <w:r>
        <w:t>模型的生境质量输出整合到</w:t>
      </w:r>
      <w:r>
        <w:t>RSEI</w:t>
      </w:r>
      <w:r>
        <w:t>当中，提出了一种改进的遥感生态指数（</w:t>
      </w:r>
      <w:proofErr w:type="spellStart"/>
      <w:r>
        <w:t>RSEI_InVEST</w:t>
      </w:r>
      <w:proofErr w:type="spellEnd"/>
      <w:r>
        <w:t>），客观反映了大湄公河区域的生物多样性特征。研究发现，原始</w:t>
      </w:r>
      <w:r>
        <w:t>RSEI</w:t>
      </w:r>
      <w:r>
        <w:t>虽能较好地反映植被变化，但对生境破碎化和核心区连通性的变化不够敏感；而</w:t>
      </w:r>
      <w:proofErr w:type="spellStart"/>
      <w:r>
        <w:t>RSEI_InVEST</w:t>
      </w:r>
      <w:proofErr w:type="spellEnd"/>
      <w:r>
        <w:t>可以有效识别出廊道断裂导致的生态功能下降，例如泰国西部森林碎片化导致生境质量指数下降了</w:t>
      </w:r>
      <w:r>
        <w:t>0.18</w:t>
      </w:r>
      <w:r>
        <w:t>，而原始</w:t>
      </w:r>
      <w:r>
        <w:t>RSEI</w:t>
      </w:r>
      <w:r>
        <w:t>仅下降了</w:t>
      </w:r>
      <w:r>
        <w:t>0.04</w:t>
      </w:r>
      <w:r>
        <w:t>，显示出了改进指数的独特优势。在自然保护地生态环境质量评估方面，虽然已有研究将土地利用变化、人口密度、夜间灯光等人为干扰因素纳入了</w:t>
      </w:r>
      <w:r>
        <w:t>RSEI</w:t>
      </w:r>
      <w:r>
        <w:t>的分析框架，但仍缺乏从关键物种生态适宜性的角度，来综合表征生物多样性对区域环境生态质量的关键贡献。当前，已有研究应用了相关分析、回归分析、地理探测器、主成分分析等方法，来分析生态环境质量的多因素交互作用</w:t>
      </w:r>
      <w:r>
        <w:t>[24]</w:t>
      </w:r>
      <w:r>
        <w:t>。</w:t>
      </w:r>
    </w:p>
    <w:p w14:paraId="0598FFF9" w14:textId="77777777" w:rsidR="00D46586" w:rsidRDefault="00000000">
      <w:pPr>
        <w:pStyle w:val="3"/>
        <w:spacing w:before="78" w:after="78"/>
        <w:ind w:left="480"/>
      </w:pPr>
      <w:bookmarkStart w:id="21" w:name="_Toc230693472"/>
      <w:bookmarkStart w:id="22" w:name="_Toc230815649"/>
      <w:r>
        <w:rPr>
          <w:rFonts w:hint="eastAsia"/>
        </w:rPr>
        <w:t xml:space="preserve">1.2.2 </w:t>
      </w:r>
      <w:r>
        <w:rPr>
          <w:rFonts w:hint="eastAsia"/>
        </w:rPr>
        <w:t>国外研究现状</w:t>
      </w:r>
      <w:bookmarkEnd w:id="20"/>
      <w:bookmarkEnd w:id="21"/>
      <w:bookmarkEnd w:id="22"/>
    </w:p>
    <w:p w14:paraId="59A097DF" w14:textId="77777777" w:rsidR="00D46586" w:rsidRDefault="00000000">
      <w:pPr>
        <w:pStyle w:val="a3"/>
        <w:ind w:left="480" w:firstLine="480"/>
      </w:pPr>
      <w:bookmarkStart w:id="23" w:name="_Toc12043"/>
      <w:bookmarkStart w:id="24" w:name="_Toc199366273"/>
      <w:r>
        <w:t>基于聚合遥感手段得到的生态指数，比使用单一指标要明显好出一截，而遥感生态指数（</w:t>
      </w:r>
      <w:r>
        <w:t>RSEI</w:t>
      </w:r>
      <w:r>
        <w:t>）的提出，给全球生态环境质量的评估打开了一个新的观察视角，也带来了不同的思路；近年来，国外学者对</w:t>
      </w:r>
      <w:r>
        <w:t>RSEI</w:t>
      </w:r>
      <w:r>
        <w:t>的适用性和它的模型内涵做了不少持续的探索，基于</w:t>
      </w:r>
      <w:r>
        <w:t>RSEI</w:t>
      </w:r>
      <w:r>
        <w:t>或其改进模型的应用成果也慢慢丰富起来</w:t>
      </w:r>
      <w:r>
        <w:t>[25]</w:t>
      </w:r>
      <w:r>
        <w:t>。</w:t>
      </w:r>
      <w:r>
        <w:t>Yue</w:t>
      </w:r>
      <w:r>
        <w:t>等</w:t>
      </w:r>
      <w:r>
        <w:t>[26]</w:t>
      </w:r>
      <w:r>
        <w:t>选了中国的</w:t>
      </w:r>
      <w:r>
        <w:t>35</w:t>
      </w:r>
      <w:r>
        <w:t>个主要城市来当研究区，通过建立遥感生态指数，去</w:t>
      </w:r>
      <w:proofErr w:type="gramStart"/>
      <w:r>
        <w:t>评价长</w:t>
      </w:r>
      <w:proofErr w:type="gramEnd"/>
      <w:r>
        <w:t>时间、大空间尺度下区域生态环境质量的变化特点；这项研究工作第一次把</w:t>
      </w:r>
      <w:r>
        <w:t>RSEI</w:t>
      </w:r>
      <w:r>
        <w:t>系统地用到中国主要城市的大范围生态质量评估当中</w:t>
      </w:r>
      <w:r>
        <w:t>[27]</w:t>
      </w:r>
      <w:r>
        <w:t>，得到的结果也表明，</w:t>
      </w:r>
      <w:r>
        <w:t>RSEI</w:t>
      </w:r>
      <w:r>
        <w:t>是一种完全依靠遥感数据、不需要人去插手干预，而且很客观，放在一起也能直接对比的技术工具，它</w:t>
      </w:r>
      <w:r>
        <w:lastRenderedPageBreak/>
        <w:t>能够把过去那种很依赖大量统计数据的压力</w:t>
      </w:r>
      <w:proofErr w:type="gramStart"/>
      <w:r>
        <w:t>—</w:t>
      </w:r>
      <w:r>
        <w:t>状态</w:t>
      </w:r>
      <w:proofErr w:type="gramEnd"/>
      <w:r>
        <w:t>—</w:t>
      </w:r>
      <w:r>
        <w:t>响应（</w:t>
      </w:r>
      <w:r>
        <w:t>PSR</w:t>
      </w:r>
      <w:r>
        <w:t>）方法给替代掉，从而给城市生态管理和政策制定提供一种很有效的科学依据。</w:t>
      </w:r>
      <w:proofErr w:type="spellStart"/>
      <w:r>
        <w:t>Firozjaei</w:t>
      </w:r>
      <w:proofErr w:type="spellEnd"/>
      <w:r>
        <w:t>等</w:t>
      </w:r>
      <w:r>
        <w:t>[28]</w:t>
      </w:r>
      <w:r>
        <w:t>在</w:t>
      </w:r>
      <w:r>
        <w:t>RSEI</w:t>
      </w:r>
      <w:r>
        <w:t>的基础上又往前做了一步建模工作，搭起了一个评估地表生态状况的框架，从结果来看，这个框架可以把不同土地利用方式下的地表生态状况准确地反映出来；紧接着，</w:t>
      </w:r>
      <w:proofErr w:type="spellStart"/>
      <w:r>
        <w:t>Firozjaei</w:t>
      </w:r>
      <w:proofErr w:type="spellEnd"/>
      <w:r>
        <w:t>等</w:t>
      </w:r>
      <w:r>
        <w:t>[29]</w:t>
      </w:r>
      <w:r>
        <w:t>又把注意力放到了城市地表贫困区强度这个问题上，他们在遥感生态指数</w:t>
      </w:r>
      <w:r>
        <w:t>—</w:t>
      </w:r>
      <w:proofErr w:type="gramStart"/>
      <w:r>
        <w:t>不</w:t>
      </w:r>
      <w:proofErr w:type="gramEnd"/>
      <w:r>
        <w:t>透水表面百分比（</w:t>
      </w:r>
      <w:r>
        <w:t>RSEI-ISP</w:t>
      </w:r>
      <w:r>
        <w:t>）这个特征空间的基础上，借用线性回归函数，建立起一套可以用来量化城市地表贫困区强度的测算框架。</w:t>
      </w:r>
      <w:proofErr w:type="spellStart"/>
      <w:r>
        <w:t>Ariken</w:t>
      </w:r>
      <w:proofErr w:type="spellEnd"/>
      <w:r>
        <w:t>等</w:t>
      </w:r>
      <w:r>
        <w:t>[30]</w:t>
      </w:r>
      <w:r>
        <w:t>把新疆雁栖盆地的干旱区作为例子，同时用上了</w:t>
      </w:r>
      <w:r>
        <w:t>Landsat</w:t>
      </w:r>
      <w:r>
        <w:t>影像和天宫二号</w:t>
      </w:r>
      <w:r>
        <w:t>WIS</w:t>
      </w:r>
      <w:r>
        <w:t>影像，在它们的基础上搭出了</w:t>
      </w:r>
      <w:r>
        <w:t>RSEI</w:t>
      </w:r>
      <w:r>
        <w:t>耦合协调度模型，去探讨这片区域里生态环境和城镇化之间的耦合协调关系，最终结果也表明，用</w:t>
      </w:r>
      <w:r>
        <w:t>RSEI</w:t>
      </w:r>
      <w:r>
        <w:t>来评估生态环境质量，本身就有客观和全面的研究长处。</w:t>
      </w:r>
      <w:r>
        <w:t>Jing</w:t>
      </w:r>
      <w:r>
        <w:t>等</w:t>
      </w:r>
      <w:r>
        <w:t>[31]</w:t>
      </w:r>
      <w:r>
        <w:t>则是把艾比湖湿地国家级自然保护区作为研究区，借助</w:t>
      </w:r>
      <w:r>
        <w:t>RSEI</w:t>
      </w:r>
      <w:r>
        <w:t>去评价这个保护区的生态环境质量。</w:t>
      </w:r>
      <w:r>
        <w:t>Yang</w:t>
      </w:r>
      <w:r>
        <w:t>等</w:t>
      </w:r>
      <w:r>
        <w:t>[32]</w:t>
      </w:r>
      <w:r>
        <w:t>用粤港澳大湾区来举例，他们把裸土指数、地表土壤湿度、植被覆盖率还有植被健康指数都耦合到一起来对</w:t>
      </w:r>
      <w:r>
        <w:t>RSEI</w:t>
      </w:r>
      <w:r>
        <w:t>做优化，由此建起一个改进型的综合生态环境评价指数（</w:t>
      </w:r>
      <w:r>
        <w:t>CEEI</w:t>
      </w:r>
      <w:r>
        <w:t>），用它来评判生态环境质量。</w:t>
      </w:r>
      <w:proofErr w:type="spellStart"/>
      <w:r>
        <w:t>Karbalaei</w:t>
      </w:r>
      <w:proofErr w:type="spellEnd"/>
      <w:r>
        <w:t>等</w:t>
      </w:r>
      <w:r>
        <w:t>[33]</w:t>
      </w:r>
      <w:r>
        <w:t>做了类似的事情，他们把</w:t>
      </w:r>
      <w:r>
        <w:t>RSEI</w:t>
      </w:r>
      <w:r>
        <w:t>里面的湿度指标换成了地表土壤湿度（</w:t>
      </w:r>
      <w:r>
        <w:t>LSM</w:t>
      </w:r>
      <w:r>
        <w:t>），然后对伊斯法罕都市圈的生态环境质量做出评价，结果发现</w:t>
      </w:r>
      <w:r>
        <w:t>RSEI</w:t>
      </w:r>
      <w:r>
        <w:t>跟全局莫</w:t>
      </w:r>
      <w:proofErr w:type="gramStart"/>
      <w:r>
        <w:t>兰指数</w:t>
      </w:r>
      <w:proofErr w:type="gramEnd"/>
      <w:r>
        <w:t>在变化趋势上是保持一致的，这又进一步证实了</w:t>
      </w:r>
      <w:r>
        <w:t>RSEI</w:t>
      </w:r>
      <w:r>
        <w:t>被放到城市生态环境质量评价里去用，是很有适用性的</w:t>
      </w:r>
      <w:r>
        <w:rPr>
          <w:rFonts w:hint="eastAsia"/>
        </w:rPr>
        <w:t>。</w:t>
      </w:r>
    </w:p>
    <w:p w14:paraId="00EF2A7F" w14:textId="77777777" w:rsidR="00D46586" w:rsidRDefault="00000000">
      <w:pPr>
        <w:pStyle w:val="a3"/>
        <w:ind w:left="480" w:firstLine="480"/>
      </w:pPr>
      <w:r>
        <w:t>在数据处理这一块，近几年发展特别快的谷歌地球引擎（</w:t>
      </w:r>
      <w:r>
        <w:t>Google Earth Engine</w:t>
      </w:r>
      <w:r>
        <w:t>）这个遥感</w:t>
      </w:r>
      <w:proofErr w:type="gramStart"/>
      <w:r>
        <w:t>云计算</w:t>
      </w:r>
      <w:proofErr w:type="gramEnd"/>
      <w:r>
        <w:t>平台，展现出了很明显的长处，比如数据源很多、数据量也大，平台自己带着运行内存，还给提供云上的存储空间，而且各种程序也能被调用起来</w:t>
      </w:r>
      <w:r>
        <w:t>[34]</w:t>
      </w:r>
      <w:r>
        <w:t>；这个遥感</w:t>
      </w:r>
      <w:proofErr w:type="gramStart"/>
      <w:r>
        <w:t>云计算</w:t>
      </w:r>
      <w:proofErr w:type="gramEnd"/>
      <w:r>
        <w:t>平台一旦被推广开来应用，遥感数据的获取就变得更加方便了，数据处理的效率也跟着大大提高，这样一来，就又往前推动了</w:t>
      </w:r>
      <w:r>
        <w:t>RSEI</w:t>
      </w:r>
      <w:r>
        <w:t>的广泛使用。</w:t>
      </w:r>
    </w:p>
    <w:p w14:paraId="723DED80" w14:textId="77777777" w:rsidR="00D46586" w:rsidRDefault="00000000">
      <w:pPr>
        <w:pStyle w:val="2"/>
        <w:spacing w:before="156" w:after="156"/>
        <w:ind w:left="480"/>
      </w:pPr>
      <w:bookmarkStart w:id="25" w:name="_Toc230693473"/>
      <w:bookmarkStart w:id="26" w:name="_Toc230815650"/>
      <w:r>
        <w:rPr>
          <w:rFonts w:hint="eastAsia"/>
        </w:rPr>
        <w:lastRenderedPageBreak/>
        <w:t xml:space="preserve">1.3 </w:t>
      </w:r>
      <w:r>
        <w:rPr>
          <w:rFonts w:hint="eastAsia"/>
        </w:rPr>
        <w:t>研究思路与内容</w:t>
      </w:r>
      <w:bookmarkEnd w:id="23"/>
      <w:bookmarkEnd w:id="24"/>
      <w:bookmarkEnd w:id="25"/>
      <w:bookmarkEnd w:id="26"/>
    </w:p>
    <w:p w14:paraId="4CCD3D83" w14:textId="77777777" w:rsidR="00D46586" w:rsidRDefault="00000000">
      <w:pPr>
        <w:pStyle w:val="3"/>
        <w:spacing w:before="78" w:after="78"/>
        <w:ind w:left="480"/>
      </w:pPr>
      <w:bookmarkStart w:id="27" w:name="_Toc199366274"/>
      <w:bookmarkStart w:id="28" w:name="_Toc230693474"/>
      <w:bookmarkStart w:id="29" w:name="_Toc22833"/>
      <w:bookmarkStart w:id="30" w:name="_Toc230815651"/>
      <w:r>
        <w:rPr>
          <w:rFonts w:hint="eastAsia"/>
        </w:rPr>
        <w:t xml:space="preserve">1.3.1 </w:t>
      </w:r>
      <w:r>
        <w:rPr>
          <w:rFonts w:hint="eastAsia"/>
        </w:rPr>
        <w:t>本文的研究内容</w:t>
      </w:r>
      <w:bookmarkEnd w:id="27"/>
      <w:bookmarkEnd w:id="28"/>
      <w:bookmarkEnd w:id="29"/>
      <w:bookmarkEnd w:id="30"/>
    </w:p>
    <w:p w14:paraId="78BDB343" w14:textId="77777777" w:rsidR="00D46586" w:rsidRDefault="00000000">
      <w:pPr>
        <w:pStyle w:val="a3"/>
        <w:ind w:left="480" w:firstLine="480"/>
      </w:pPr>
      <w:r>
        <w:t>本研究的核心是对吉林省东北防护林建设区的生态环境进行综合评价和动态分析；因为研究区域面积较大，并且需要对</w:t>
      </w:r>
      <w:r>
        <w:t>1985</w:t>
      </w:r>
      <w:r>
        <w:t>年到</w:t>
      </w:r>
      <w:r>
        <w:t>2020</w:t>
      </w:r>
      <w:r>
        <w:t>年长达</w:t>
      </w:r>
      <w:r>
        <w:t>35</w:t>
      </w:r>
      <w:r>
        <w:t>年的七个时期做出系统评估，而传统的地面调查方法存在着效率不高、覆盖范围又很有限的不足，所以这项课题会把遥感生态指数（</w:t>
      </w:r>
      <w:r>
        <w:t>RSEI</w:t>
      </w:r>
      <w:r>
        <w:t>）所具有的独特优势充分利用起来，把它当成主要的评价工具。</w:t>
      </w:r>
    </w:p>
    <w:p w14:paraId="20930807" w14:textId="77777777" w:rsidR="00D46586" w:rsidRDefault="00000000">
      <w:pPr>
        <w:pStyle w:val="a3"/>
        <w:ind w:left="480" w:firstLine="480"/>
      </w:pPr>
      <w:r>
        <w:t>第一步是用</w:t>
      </w:r>
      <w:r>
        <w:t>ENVI5.6</w:t>
      </w:r>
      <w:r>
        <w:t>遥感数据处理软件，从遥感影像当中提取出实验研究需要用到的绿度指数、湿度指数、干度指数和热度指数</w:t>
      </w:r>
      <w:r>
        <w:rPr>
          <w:rFonts w:hint="eastAsia"/>
        </w:rPr>
        <w:t>。</w:t>
      </w:r>
    </w:p>
    <w:p w14:paraId="43A7C398" w14:textId="77777777" w:rsidR="00D46586" w:rsidRDefault="00000000">
      <w:pPr>
        <w:pStyle w:val="a3"/>
        <w:ind w:left="480" w:firstLine="480"/>
      </w:pPr>
      <w:r>
        <w:rPr>
          <w:rFonts w:hint="eastAsia"/>
        </w:rPr>
        <w:t>第二步</w:t>
      </w:r>
      <w:r>
        <w:t>再采用主成分分析的方法，给每个指标客观地分配权重，由此提取出第一主成分（</w:t>
      </w:r>
      <w:r>
        <w:t>PC1</w:t>
      </w:r>
      <w:r>
        <w:t>），并在此基础上把</w:t>
      </w:r>
      <w:r>
        <w:t>RSEI</w:t>
      </w:r>
      <w:r>
        <w:t>指数构建起来；借助</w:t>
      </w:r>
      <w:r>
        <w:t>ArcGIS</w:t>
      </w:r>
      <w:r>
        <w:t>软件平台，本研究对吉林省东北防护林建设区在</w:t>
      </w:r>
      <w:r>
        <w:t>1985—2020</w:t>
      </w:r>
      <w:r>
        <w:t>年间的生态环境展开了综合评价和动态分析，系统地揭示了这个区域</w:t>
      </w:r>
      <w:r>
        <w:t>35</w:t>
      </w:r>
      <w:r>
        <w:t>年来生态质量的演变特征和发展走向，从而为防护林工程的生态效益评估提供了科学层面的依据</w:t>
      </w:r>
      <w:r>
        <w:rPr>
          <w:rFonts w:hint="eastAsia"/>
        </w:rPr>
        <w:t>。</w:t>
      </w:r>
    </w:p>
    <w:p w14:paraId="160769E6" w14:textId="77777777" w:rsidR="00D46586" w:rsidRDefault="00000000">
      <w:pPr>
        <w:pStyle w:val="3"/>
        <w:spacing w:before="78" w:after="78"/>
        <w:ind w:left="480"/>
      </w:pPr>
      <w:bookmarkStart w:id="31" w:name="_Toc25002"/>
      <w:bookmarkStart w:id="32" w:name="_Toc199366275"/>
      <w:bookmarkStart w:id="33" w:name="_Toc230693475"/>
      <w:bookmarkStart w:id="34" w:name="_Toc230815652"/>
      <w:r>
        <w:rPr>
          <w:rFonts w:hint="eastAsia"/>
        </w:rPr>
        <w:t xml:space="preserve">1.3.2 </w:t>
      </w:r>
      <w:r>
        <w:t>生态环境质量评价流程</w:t>
      </w:r>
      <w:bookmarkEnd w:id="31"/>
      <w:bookmarkEnd w:id="32"/>
      <w:bookmarkEnd w:id="33"/>
      <w:bookmarkEnd w:id="34"/>
    </w:p>
    <w:p w14:paraId="35766191" w14:textId="77777777" w:rsidR="00D46586" w:rsidRDefault="00000000">
      <w:pPr>
        <w:spacing w:before="40" w:after="40" w:line="288" w:lineRule="auto"/>
        <w:ind w:left="480" w:firstLineChars="300" w:firstLine="720"/>
        <w:rPr>
          <w:rFonts w:ascii="宋体" w:hAnsi="宋体" w:cs="宋体" w:hint="eastAsia"/>
        </w:rPr>
      </w:pPr>
      <w:r>
        <w:rPr>
          <w:rFonts w:ascii="宋体" w:hAnsi="宋体" w:cs="宋体" w:hint="eastAsia"/>
        </w:rPr>
        <w:t>本研究</w:t>
      </w:r>
      <w:r>
        <w:rPr>
          <w:rFonts w:ascii="宋体" w:hAnsi="宋体" w:cs="宋体"/>
        </w:rPr>
        <w:t>利用ArcGIS软件平台强大的空间分析能力,对1985-2020年吉林省</w:t>
      </w:r>
      <w:r>
        <w:rPr>
          <w:rFonts w:ascii="宋体" w:hAnsi="宋体" w:cs="宋体" w:hint="eastAsia"/>
        </w:rPr>
        <w:t>东</w:t>
      </w:r>
      <w:r>
        <w:rPr>
          <w:rFonts w:ascii="宋体" w:hAnsi="宋体" w:cs="宋体"/>
        </w:rPr>
        <w:t>北防护林工程区的生态环境质量进行时空综合评估</w:t>
      </w:r>
      <w:r>
        <w:rPr>
          <w:rFonts w:ascii="宋体" w:hAnsi="宋体" w:cs="宋体" w:hint="eastAsia"/>
        </w:rPr>
        <w:t>，主要路线图如下</w:t>
      </w:r>
      <w:r>
        <w:rPr>
          <w:rFonts w:ascii="宋体" w:hAnsi="宋体" w:cs="宋体" w:hint="eastAsia"/>
        </w:rPr>
        <w:fldChar w:fldCharType="begin"/>
      </w:r>
      <w:r>
        <w:rPr>
          <w:rFonts w:ascii="宋体" w:hAnsi="宋体" w:cs="宋体" w:hint="eastAsia"/>
        </w:rPr>
        <w:instrText xml:space="preserve"> REF _Ref230788582 \h </w:instrText>
      </w:r>
      <w:r>
        <w:rPr>
          <w:rFonts w:ascii="宋体" w:hAnsi="宋体" w:cs="宋体" w:hint="eastAsia"/>
        </w:rPr>
      </w:r>
      <w:r>
        <w:rPr>
          <w:rFonts w:ascii="宋体" w:hAnsi="宋体" w:cs="宋体" w:hint="eastAsia"/>
        </w:rPr>
        <w:fldChar w:fldCharType="separate"/>
      </w:r>
      <w:r>
        <w:rPr>
          <w:rFonts w:hint="eastAsia"/>
        </w:rPr>
        <w:t>图</w:t>
      </w:r>
      <w:r>
        <w:rPr>
          <w:rFonts w:hint="eastAsia"/>
        </w:rPr>
        <w:t xml:space="preserve">1- </w:t>
      </w:r>
      <w:r>
        <w:t>1</w:t>
      </w:r>
      <w:r>
        <w:rPr>
          <w:rFonts w:ascii="宋体" w:hAnsi="宋体" w:cs="宋体" w:hint="eastAsia"/>
        </w:rPr>
        <w:t>生态环境质量评价流程图</w:t>
      </w:r>
      <w:r>
        <w:rPr>
          <w:rFonts w:ascii="宋体" w:hAnsi="宋体" w:cs="宋体" w:hint="eastAsia"/>
        </w:rPr>
        <w:fldChar w:fldCharType="end"/>
      </w:r>
    </w:p>
    <w:p w14:paraId="1989B652" w14:textId="77777777" w:rsidR="00D46586" w:rsidRDefault="00000000">
      <w:pPr>
        <w:keepNext/>
        <w:spacing w:before="40" w:after="40" w:line="288" w:lineRule="auto"/>
        <w:ind w:left="480" w:firstLineChars="300" w:firstLine="720"/>
      </w:pPr>
      <w:r>
        <w:rPr>
          <w:rFonts w:asciiTheme="minorEastAsia" w:hAnsiTheme="minorEastAsia" w:cstheme="minorEastAsia"/>
          <w:noProof/>
        </w:rPr>
        <w:lastRenderedPageBreak/>
        <w:drawing>
          <wp:inline distT="0" distB="0" distL="114300" distR="114300" wp14:anchorId="7BDF73F1" wp14:editId="466FDBFD">
            <wp:extent cx="4111625" cy="4922520"/>
            <wp:effectExtent l="0" t="0" r="0" b="0"/>
            <wp:docPr id="11" name="图片 11" descr="C:/Users/og/Desktop/论文/照片/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og/Desktop/论文/照片/1.png1"/>
                    <pic:cNvPicPr>
                      <a:picLocks noChangeAspect="1"/>
                    </pic:cNvPicPr>
                  </pic:nvPicPr>
                  <pic:blipFill>
                    <a:blip r:embed="rId15"/>
                    <a:srcRect t="651" b="651"/>
                    <a:stretch>
                      <a:fillRect/>
                    </a:stretch>
                  </pic:blipFill>
                  <pic:spPr>
                    <a:xfrm>
                      <a:off x="0" y="0"/>
                      <a:ext cx="4116012" cy="4927249"/>
                    </a:xfrm>
                    <a:prstGeom prst="rect">
                      <a:avLst/>
                    </a:prstGeom>
                  </pic:spPr>
                </pic:pic>
              </a:graphicData>
            </a:graphic>
          </wp:inline>
        </w:drawing>
      </w:r>
    </w:p>
    <w:p w14:paraId="53241592" w14:textId="77777777" w:rsidR="00D46586" w:rsidRDefault="00000000">
      <w:pPr>
        <w:spacing w:before="40" w:after="40" w:line="288" w:lineRule="auto"/>
        <w:ind w:left="480"/>
        <w:jc w:val="center"/>
        <w:rPr>
          <w:rFonts w:ascii="宋体" w:hAnsi="宋体" w:cs="宋体" w:hint="eastAsia"/>
        </w:rPr>
      </w:pPr>
      <w:bookmarkStart w:id="35" w:name="_Ref230788582"/>
      <w:r>
        <w:rPr>
          <w:rFonts w:hint="eastAsia"/>
        </w:rPr>
        <w:t>图</w:t>
      </w:r>
      <w:r>
        <w:rPr>
          <w:rFonts w:hint="eastAsia"/>
        </w:rPr>
        <w:t xml:space="preserve">1- </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1</w:t>
      </w:r>
      <w:r>
        <w:fldChar w:fldCharType="end"/>
      </w:r>
      <w:r>
        <w:rPr>
          <w:rFonts w:ascii="宋体" w:hAnsi="宋体" w:cs="宋体" w:hint="eastAsia"/>
        </w:rPr>
        <w:t>生态环境质量评价流程图</w:t>
      </w:r>
      <w:bookmarkEnd w:id="35"/>
    </w:p>
    <w:p w14:paraId="2A5C5B35" w14:textId="77777777" w:rsidR="00D46586" w:rsidRDefault="00D46586">
      <w:pPr>
        <w:pStyle w:val="a5"/>
        <w:ind w:left="480"/>
        <w:rPr>
          <w:rFonts w:asciiTheme="minorEastAsia" w:hAnsiTheme="minorEastAsia" w:cstheme="minorEastAsia" w:hint="eastAsia"/>
        </w:rPr>
      </w:pPr>
    </w:p>
    <w:p w14:paraId="3423B993" w14:textId="77777777" w:rsidR="00D46586" w:rsidRDefault="00000000">
      <w:pPr>
        <w:pStyle w:val="1"/>
        <w:spacing w:before="312" w:after="312"/>
        <w:ind w:left="480"/>
      </w:pPr>
      <w:bookmarkStart w:id="36" w:name="_Toc230693476"/>
      <w:bookmarkStart w:id="37" w:name="_Toc22769"/>
      <w:bookmarkStart w:id="38" w:name="_Toc199366276"/>
      <w:bookmarkStart w:id="39" w:name="_Toc230815653"/>
      <w:r>
        <w:rPr>
          <w:rFonts w:hint="eastAsia"/>
        </w:rPr>
        <w:t xml:space="preserve">2  </w:t>
      </w:r>
      <w:r>
        <w:rPr>
          <w:rFonts w:hint="eastAsia"/>
        </w:rPr>
        <w:t>生态环境质量评价原理及方法</w:t>
      </w:r>
      <w:bookmarkEnd w:id="36"/>
      <w:bookmarkEnd w:id="37"/>
      <w:bookmarkEnd w:id="38"/>
      <w:bookmarkEnd w:id="39"/>
    </w:p>
    <w:p w14:paraId="59931484" w14:textId="77777777" w:rsidR="00D46586" w:rsidRDefault="00000000">
      <w:pPr>
        <w:pStyle w:val="2"/>
        <w:spacing w:before="156" w:after="156"/>
        <w:ind w:left="480"/>
      </w:pPr>
      <w:bookmarkStart w:id="40" w:name="_Toc4282"/>
      <w:bookmarkStart w:id="41" w:name="_Toc230693477"/>
      <w:bookmarkStart w:id="42" w:name="_Toc199366277"/>
      <w:bookmarkStart w:id="43" w:name="_Toc230815654"/>
      <w:r>
        <w:rPr>
          <w:rFonts w:hint="eastAsia"/>
        </w:rPr>
        <w:t xml:space="preserve">2.1 </w:t>
      </w:r>
      <w:r>
        <w:rPr>
          <w:rFonts w:hint="eastAsia"/>
        </w:rPr>
        <w:t>生态环境质量评价方法</w:t>
      </w:r>
      <w:bookmarkEnd w:id="40"/>
      <w:bookmarkEnd w:id="41"/>
      <w:bookmarkEnd w:id="42"/>
      <w:bookmarkEnd w:id="43"/>
    </w:p>
    <w:p w14:paraId="7A86FD2B" w14:textId="77777777" w:rsidR="00D46586" w:rsidRDefault="00000000">
      <w:pPr>
        <w:pStyle w:val="a3"/>
        <w:ind w:left="480" w:firstLine="480"/>
      </w:pPr>
      <w:r>
        <w:rPr>
          <w:rFonts w:hint="eastAsia"/>
        </w:rPr>
        <w:t>生态环境的一些基本特征包括了整体性（也可以叫系统性）、区域性、变动性，还有资源性和价值性，而生态环境质量评价说的是通过一套系统且科学的分析方法，对某个特定区域的生态环境现状、功能以及变化趋势进行综合评估的一个过程，这个过程不只是关心当前生态环境的构成和状态是什么样的，同时也会看重它的服务功能发挥到了什么程度，这样一来，生态保护、资源管理以及区域的可持续发展就有了扎实的决策依据可以依靠，随着</w:t>
      </w:r>
      <w:r>
        <w:rPr>
          <w:rFonts w:hint="eastAsia"/>
        </w:rPr>
        <w:lastRenderedPageBreak/>
        <w:t>全球气候变化和人类活动带来的干扰越来越严重，生态环境评价这件事情的重要性也变得越来越明显了——它能够帮着决策者把生态问题背后的主要原因给找出来，对未来可能会发生的演变方向做一个预判，并且制定出有差别的干预办法，从评价的类型上来看，目前的研究和实践主要被分成了两个大类：第一类是对生态环境所处的状态进行评价，第二类是对生态环境所承载的服务功能进行评价，其中状态评价把重点放在了描述生态系统的结构、过程和压力上面，功能评价关心的则是生态系统给人类带来的供给、调节、支持和文化这几类服务，说得再具体一些，比较常见的评价形式有生态安全评价、生态系统稳定性评价、生态环境脆弱性评价、生态退化评价，还有生态系统健康评价等等</w:t>
      </w:r>
      <w:r>
        <w:fldChar w:fldCharType="begin"/>
      </w:r>
      <w:r>
        <w:instrText xml:space="preserve"> </w:instrText>
      </w:r>
      <w:r>
        <w:rPr>
          <w:rFonts w:hint="eastAsia"/>
        </w:rPr>
        <w:instrText>REF _Ref28650 \r \h</w:instrText>
      </w:r>
      <w:r>
        <w:instrText xml:space="preserve"> </w:instrText>
      </w:r>
      <w:r>
        <w:fldChar w:fldCharType="separate"/>
      </w:r>
      <w:r>
        <w:rPr>
          <w:vertAlign w:val="superscript"/>
        </w:rPr>
        <w:t>[35]</w:t>
      </w:r>
      <w:r>
        <w:fldChar w:fldCharType="end"/>
      </w:r>
      <w:r>
        <w:fldChar w:fldCharType="begin"/>
      </w:r>
      <w:r>
        <w:instrText xml:space="preserve"> REF _Ref28640 \r \h </w:instrText>
      </w:r>
      <w:r>
        <w:fldChar w:fldCharType="separate"/>
      </w:r>
      <w:r>
        <w:rPr>
          <w:vertAlign w:val="superscript"/>
        </w:rPr>
        <w:t>[36]</w:t>
      </w:r>
      <w:r>
        <w:fldChar w:fldCharType="end"/>
      </w:r>
      <w:r>
        <w:rPr>
          <w:rFonts w:hint="eastAsia"/>
        </w:rPr>
        <w:t>。</w:t>
      </w:r>
    </w:p>
    <w:p w14:paraId="27AB4612" w14:textId="77777777" w:rsidR="00D46586" w:rsidRDefault="00000000">
      <w:pPr>
        <w:pStyle w:val="a3"/>
        <w:ind w:left="480" w:firstLine="480"/>
      </w:pPr>
      <w:r>
        <w:rPr>
          <w:rFonts w:hint="eastAsia"/>
        </w:rPr>
        <w:t>不同评价方法对指标量化值的评估会带来结果的差异。当前主要的评价方法包括了层次分析法（</w:t>
      </w:r>
      <w:r>
        <w:rPr>
          <w:rFonts w:hint="eastAsia"/>
        </w:rPr>
        <w:t>AHP</w:t>
      </w:r>
      <w:r>
        <w:rPr>
          <w:rFonts w:hint="eastAsia"/>
        </w:rPr>
        <w:t>）、熵值法和主成分分析法（</w:t>
      </w:r>
      <w:r>
        <w:rPr>
          <w:rFonts w:hint="eastAsia"/>
        </w:rPr>
        <w:t>PCA</w:t>
      </w:r>
      <w:r>
        <w:rPr>
          <w:rFonts w:hint="eastAsia"/>
        </w:rPr>
        <w:t>）等，各种方法在权重确定和数据处理方面有着不一样的特点。根据指标权重的赋权方式，生态环境质量评价方法可以划分为主观分析法和客观分析法两种</w:t>
      </w:r>
      <w:r>
        <w:fldChar w:fldCharType="begin"/>
      </w:r>
      <w:r>
        <w:instrText xml:space="preserve"> </w:instrText>
      </w:r>
      <w:r>
        <w:rPr>
          <w:rFonts w:hint="eastAsia"/>
        </w:rPr>
        <w:instrText>REF _Ref28800 \r \h</w:instrText>
      </w:r>
      <w:r>
        <w:instrText xml:space="preserve"> </w:instrText>
      </w:r>
      <w:r>
        <w:fldChar w:fldCharType="separate"/>
      </w:r>
      <w:r>
        <w:rPr>
          <w:vertAlign w:val="superscript"/>
        </w:rPr>
        <w:t>[37]</w:t>
      </w:r>
      <w:r>
        <w:fldChar w:fldCharType="end"/>
      </w:r>
      <w:r>
        <w:rPr>
          <w:rFonts w:hint="eastAsia"/>
        </w:rPr>
        <w:t>。目前国内外常用的评价方法主要包括了综合评价法、模糊评价法、层次分析法（</w:t>
      </w:r>
      <w:r>
        <w:rPr>
          <w:rFonts w:hint="eastAsia"/>
        </w:rPr>
        <w:t>AHP</w:t>
      </w:r>
      <w:r>
        <w:rPr>
          <w:rFonts w:hint="eastAsia"/>
        </w:rPr>
        <w:t>）、熵值法、主成分分析法（</w:t>
      </w:r>
      <w:r>
        <w:rPr>
          <w:rFonts w:hint="eastAsia"/>
        </w:rPr>
        <w:t>PCA</w:t>
      </w:r>
      <w:r>
        <w:rPr>
          <w:rFonts w:hint="eastAsia"/>
        </w:rPr>
        <w:t>）、物元分析评价法、人工神经网络评价法、景观生态法、灰色评价法、</w:t>
      </w:r>
      <w:proofErr w:type="gramStart"/>
      <w:r>
        <w:rPr>
          <w:rFonts w:hint="eastAsia"/>
        </w:rPr>
        <w:t>秩</w:t>
      </w:r>
      <w:proofErr w:type="gramEnd"/>
      <w:r>
        <w:rPr>
          <w:rFonts w:hint="eastAsia"/>
        </w:rPr>
        <w:t>和比法（</w:t>
      </w:r>
      <w:r>
        <w:rPr>
          <w:rFonts w:hint="eastAsia"/>
        </w:rPr>
        <w:t>RSR</w:t>
      </w:r>
      <w:r>
        <w:rPr>
          <w:rFonts w:hint="eastAsia"/>
        </w:rPr>
        <w:t>）等，这些方法在区域生态环境质量评价当中各有各的特点和应用优势。</w:t>
      </w:r>
    </w:p>
    <w:p w14:paraId="70ABE64B" w14:textId="77777777" w:rsidR="00D46586" w:rsidRDefault="00000000">
      <w:pPr>
        <w:pStyle w:val="a3"/>
        <w:ind w:left="480" w:firstLine="480"/>
      </w:pPr>
      <w:r>
        <w:rPr>
          <w:rFonts w:hint="eastAsia"/>
        </w:rPr>
        <w:t>第一点，层次分析法（</w:t>
      </w:r>
      <w:r>
        <w:rPr>
          <w:rFonts w:hint="eastAsia"/>
        </w:rPr>
        <w:t>Analytic Hierarchy Process</w:t>
      </w:r>
      <w:r>
        <w:rPr>
          <w:rFonts w:hint="eastAsia"/>
        </w:rPr>
        <w:t>，</w:t>
      </w:r>
      <w:r>
        <w:rPr>
          <w:rFonts w:hint="eastAsia"/>
        </w:rPr>
        <w:t>AHP</w:t>
      </w:r>
      <w:r>
        <w:rPr>
          <w:rFonts w:hint="eastAsia"/>
        </w:rPr>
        <w:t>）：层次分析法是一种把复杂决策问题做结构化、层次化处理的系统分析方法，其核心步骤包含了以下几个方面——先</w:t>
      </w:r>
      <w:proofErr w:type="gramStart"/>
      <w:r>
        <w:rPr>
          <w:rFonts w:hint="eastAsia"/>
        </w:rPr>
        <w:t>构建递阶层次结构</w:t>
      </w:r>
      <w:proofErr w:type="gramEnd"/>
      <w:r>
        <w:rPr>
          <w:rFonts w:hint="eastAsia"/>
        </w:rPr>
        <w:t>，将决策问题分解为目标层、准则层和指标层等不同层次，形成一个清晰的逻辑框架；然后进行两两比较与判断矩阵的构建，通过专家对同一层次内各指标之间相对重要性进行两两比较，并根据比较的结果来构建判断矩阵；接着是权重计算，计算判断矩阵的特征向量，从而确定出各层次要素的权重，量化其在整体评价中的贡献度；最后做一致性检验，对判断矩阵进行一致性检验，以确保专家判断的逻辑性和合理性，避免主观性过强导致评价结果出现失真</w:t>
      </w:r>
      <w:r>
        <w:fldChar w:fldCharType="begin"/>
      </w:r>
      <w:r>
        <w:instrText xml:space="preserve"> </w:instrText>
      </w:r>
      <w:r>
        <w:rPr>
          <w:rFonts w:hint="eastAsia"/>
        </w:rPr>
        <w:instrText>REF _Ref28705 \r \h</w:instrText>
      </w:r>
      <w:r>
        <w:instrText xml:space="preserve"> </w:instrText>
      </w:r>
      <w:r>
        <w:fldChar w:fldCharType="separate"/>
      </w:r>
      <w:r>
        <w:rPr>
          <w:vertAlign w:val="superscript"/>
        </w:rPr>
        <w:t>[38]</w:t>
      </w:r>
      <w:r>
        <w:fldChar w:fldCharType="end"/>
      </w:r>
      <w:r>
        <w:rPr>
          <w:rFonts w:hint="eastAsia"/>
        </w:rPr>
        <w:t>。</w:t>
      </w:r>
    </w:p>
    <w:p w14:paraId="0DAECF93" w14:textId="77777777" w:rsidR="00D46586" w:rsidRDefault="00000000">
      <w:pPr>
        <w:pStyle w:val="a3"/>
        <w:ind w:left="480" w:firstLine="480"/>
      </w:pPr>
      <w:r>
        <w:rPr>
          <w:rFonts w:hint="eastAsia"/>
        </w:rPr>
        <w:t>第二点，模糊层次分析法（</w:t>
      </w:r>
      <w:r>
        <w:rPr>
          <w:rFonts w:hint="eastAsia"/>
        </w:rPr>
        <w:t>FAHP</w:t>
      </w:r>
      <w:r>
        <w:rPr>
          <w:rFonts w:hint="eastAsia"/>
        </w:rPr>
        <w:t>）、模糊</w:t>
      </w:r>
      <w:proofErr w:type="gramStart"/>
      <w:r>
        <w:rPr>
          <w:rFonts w:hint="eastAsia"/>
        </w:rPr>
        <w:t>熵权分析</w:t>
      </w:r>
      <w:proofErr w:type="gramEnd"/>
      <w:r>
        <w:rPr>
          <w:rFonts w:hint="eastAsia"/>
        </w:rPr>
        <w:t>法（</w:t>
      </w:r>
      <w:r>
        <w:rPr>
          <w:rFonts w:hint="eastAsia"/>
        </w:rPr>
        <w:t>FEWM</w:t>
      </w:r>
      <w:r>
        <w:rPr>
          <w:rFonts w:hint="eastAsia"/>
        </w:rPr>
        <w:t>）和模糊主成分分析法（</w:t>
      </w:r>
      <w:r>
        <w:rPr>
          <w:rFonts w:hint="eastAsia"/>
        </w:rPr>
        <w:t>FPCA</w:t>
      </w:r>
      <w:r>
        <w:rPr>
          <w:rFonts w:hint="eastAsia"/>
        </w:rPr>
        <w:t>）是对传统评价方法做出的一些改进和延伸，传统</w:t>
      </w:r>
      <w:r>
        <w:rPr>
          <w:rFonts w:hint="eastAsia"/>
        </w:rPr>
        <w:lastRenderedPageBreak/>
        <w:t>方法在面对不确定信息和模糊数据的时候常常会遇到一些限制，而这些新方法正是为了解决这些问题才被提出来的，它们把传统方法得到的权重向量跟模糊隶属函数、评语集放在一起，一个模糊综合评价矩阵就这样被搭建了起来，接着再通过矩阵合成运算去算出最后的评价向量，这样一来，对评价对象的模糊综合评判就变得更加全面和准确了，这些经过模糊化处理的步骤</w:t>
      </w:r>
      <w:proofErr w:type="gramStart"/>
      <w:r>
        <w:rPr>
          <w:rFonts w:hint="eastAsia"/>
        </w:rPr>
        <w:t>让评价</w:t>
      </w:r>
      <w:proofErr w:type="gramEnd"/>
      <w:r>
        <w:rPr>
          <w:rFonts w:hint="eastAsia"/>
        </w:rPr>
        <w:t>结果跟实际情况贴得更近，对于那些很难被精确量化或者带有模糊边界的生态环境问题来说，这种方法尤其合适</w:t>
      </w:r>
      <w:r>
        <w:rPr>
          <w:vertAlign w:val="superscript"/>
        </w:rPr>
        <w:fldChar w:fldCharType="begin"/>
      </w:r>
      <w:r>
        <w:rPr>
          <w:vertAlign w:val="superscript"/>
        </w:rPr>
        <w:instrText xml:space="preserve"> </w:instrText>
      </w:r>
      <w:r>
        <w:rPr>
          <w:rFonts w:hint="eastAsia"/>
          <w:vertAlign w:val="superscript"/>
        </w:rPr>
        <w:instrText>REF _Ref28721 \r \h</w:instrText>
      </w:r>
      <w:r>
        <w:rPr>
          <w:vertAlign w:val="superscript"/>
        </w:rPr>
        <w:instrText xml:space="preserve">  \* MERGEFORMAT </w:instrText>
      </w:r>
      <w:r>
        <w:rPr>
          <w:vertAlign w:val="superscript"/>
        </w:rPr>
      </w:r>
      <w:r>
        <w:rPr>
          <w:vertAlign w:val="superscript"/>
        </w:rPr>
        <w:fldChar w:fldCharType="separate"/>
      </w:r>
      <w:r>
        <w:rPr>
          <w:vertAlign w:val="superscript"/>
        </w:rPr>
        <w:t>[39]</w:t>
      </w:r>
      <w:r>
        <w:rPr>
          <w:vertAlign w:val="superscript"/>
        </w:rPr>
        <w:fldChar w:fldCharType="end"/>
      </w:r>
      <w:r>
        <w:rPr>
          <w:rFonts w:hint="eastAsia"/>
        </w:rPr>
        <w:t>。</w:t>
      </w:r>
    </w:p>
    <w:p w14:paraId="065DE57D" w14:textId="77777777" w:rsidR="00D46586" w:rsidRDefault="00000000">
      <w:pPr>
        <w:pStyle w:val="a3"/>
        <w:ind w:left="480" w:firstLine="480"/>
      </w:pPr>
      <w:r>
        <w:rPr>
          <w:rFonts w:hint="eastAsia"/>
        </w:rPr>
        <w:t>第三点，指数分析法是通过把监测数据和标准值进行比值计算来形成基础分指数，然后再在这个基础上做数学方面的整合，从而把环境评价体系构建起来的一种方法，综合指数法是其中最有代表性的那一种，这个方法的特点可以从这样几个方面来看——它的层次性让复杂的环境要素能够被拆分成不同层次的指标来进行评价；综合性也比较强，通过数学整合把很多个分指数综合成一个总指数，生态环境的质量就这样被全面地反映了出来；整体性方面也很注重，生态环境的整体情况和变化趋势都可以在评价结果当中体现出来；同时它还兼顾了直观化和系统化，把复杂的环境要素简化成了可以量化的指数形式，给生态环境质量评估提供了一个标准化且能够进行比较的分析框架，评价结果也因此变得更加直观和容易理解。</w:t>
      </w:r>
    </w:p>
    <w:p w14:paraId="5B39B0E5" w14:textId="77777777" w:rsidR="00D46586" w:rsidRDefault="00000000">
      <w:pPr>
        <w:pStyle w:val="a3"/>
        <w:ind w:left="480" w:firstLine="480"/>
      </w:pPr>
      <w:r>
        <w:rPr>
          <w:rFonts w:hint="eastAsia"/>
        </w:rPr>
        <w:t xml:space="preserve">  </w:t>
      </w:r>
      <w:r>
        <w:rPr>
          <w:rFonts w:hint="eastAsia"/>
        </w:rPr>
        <w:t>第四点，人工神经网络（</w:t>
      </w:r>
      <w:r>
        <w:rPr>
          <w:rFonts w:hint="eastAsia"/>
        </w:rPr>
        <w:t>Artificial Neural Network</w:t>
      </w:r>
      <w:r>
        <w:rPr>
          <w:rFonts w:hint="eastAsia"/>
        </w:rPr>
        <w:t>，</w:t>
      </w:r>
      <w:r>
        <w:rPr>
          <w:rFonts w:hint="eastAsia"/>
        </w:rPr>
        <w:t>ANN</w:t>
      </w:r>
      <w:r>
        <w:rPr>
          <w:rFonts w:hint="eastAsia"/>
        </w:rPr>
        <w:t>）是一种对人脑神经系统的结构和功能进行模拟的智能计算方法，生态环境评价中经常碰到的不确定性和模糊性问题，用这种方法能够被有效地处理掉，传统的数学模型需要先把明确的函数形式预设出来，而人工神经网络跟它不一样，它通过学习那些已知的环境样本数据，自行去提取多个变量之间的非线性映射关系，一个针对复杂环境系统的认知模型就这样建立了起来，接着还能进一步对未知的环境样本进行智能评价，当面对高维度、非线性、耦合程度很强的生态环境系统时，这种方法的分析效果远远超过了传统的评价模型，一条全新的技术路径就这样为生态环境质量评价打开了，李祚泳、</w:t>
      </w:r>
      <w:r>
        <w:rPr>
          <w:rFonts w:hint="eastAsia"/>
        </w:rPr>
        <w:t>Fan</w:t>
      </w:r>
      <w:r>
        <w:rPr>
          <w:vertAlign w:val="superscript"/>
        </w:rPr>
        <w:fldChar w:fldCharType="begin"/>
      </w:r>
      <w:r>
        <w:rPr>
          <w:vertAlign w:val="superscript"/>
        </w:rPr>
        <w:instrText xml:space="preserve"> </w:instrText>
      </w:r>
      <w:r>
        <w:rPr>
          <w:rFonts w:hint="eastAsia"/>
          <w:vertAlign w:val="superscript"/>
        </w:rPr>
        <w:instrText>REF _Ref28744 \r \h</w:instrText>
      </w:r>
      <w:r>
        <w:rPr>
          <w:vertAlign w:val="superscript"/>
        </w:rPr>
        <w:instrText xml:space="preserve">  \* MERGEFORMAT </w:instrText>
      </w:r>
      <w:r>
        <w:rPr>
          <w:vertAlign w:val="superscript"/>
        </w:rPr>
      </w:r>
      <w:r>
        <w:rPr>
          <w:vertAlign w:val="superscript"/>
        </w:rPr>
        <w:fldChar w:fldCharType="separate"/>
      </w:r>
      <w:r>
        <w:rPr>
          <w:vertAlign w:val="superscript"/>
        </w:rPr>
        <w:t>[40]</w:t>
      </w:r>
      <w:r>
        <w:rPr>
          <w:vertAlign w:val="superscript"/>
        </w:rPr>
        <w:fldChar w:fldCharType="end"/>
      </w:r>
      <w:r>
        <w:rPr>
          <w:vertAlign w:val="superscript"/>
        </w:rPr>
        <w:fldChar w:fldCharType="begin"/>
      </w:r>
      <w:r>
        <w:rPr>
          <w:vertAlign w:val="superscript"/>
        </w:rPr>
        <w:instrText xml:space="preserve"> REF _Ref28757 \r \h  \* MERGEFORMAT </w:instrText>
      </w:r>
      <w:r>
        <w:rPr>
          <w:vertAlign w:val="superscript"/>
        </w:rPr>
      </w:r>
      <w:r>
        <w:rPr>
          <w:vertAlign w:val="superscript"/>
        </w:rPr>
        <w:fldChar w:fldCharType="separate"/>
      </w:r>
      <w:r>
        <w:rPr>
          <w:vertAlign w:val="superscript"/>
        </w:rPr>
        <w:t>[41]</w:t>
      </w:r>
      <w:r>
        <w:rPr>
          <w:vertAlign w:val="superscript"/>
        </w:rPr>
        <w:fldChar w:fldCharType="end"/>
      </w:r>
      <w:r>
        <w:rPr>
          <w:rFonts w:hint="eastAsia"/>
        </w:rPr>
        <w:t>等人已经着手把人工神经网络用到环境科学的研究当中，并且尝试在环境质量评价里加入人工神经网络的</w:t>
      </w:r>
      <w:r>
        <w:rPr>
          <w:rFonts w:hint="eastAsia"/>
        </w:rPr>
        <w:t>B-P</w:t>
      </w:r>
      <w:r>
        <w:rPr>
          <w:rFonts w:hint="eastAsia"/>
        </w:rPr>
        <w:t>模型。</w:t>
      </w:r>
    </w:p>
    <w:p w14:paraId="4F441BC7" w14:textId="77777777" w:rsidR="00D46586" w:rsidRDefault="00000000">
      <w:pPr>
        <w:pStyle w:val="2"/>
        <w:spacing w:before="156" w:after="156"/>
        <w:ind w:left="480"/>
      </w:pPr>
      <w:bookmarkStart w:id="44" w:name="_Toc230693478"/>
      <w:bookmarkStart w:id="45" w:name="_Toc199366278"/>
      <w:bookmarkStart w:id="46" w:name="_Toc24945"/>
      <w:bookmarkStart w:id="47" w:name="_Toc230815655"/>
      <w:r>
        <w:rPr>
          <w:rFonts w:hint="eastAsia"/>
        </w:rPr>
        <w:lastRenderedPageBreak/>
        <w:t xml:space="preserve">2.2 </w:t>
      </w:r>
      <w:r>
        <w:rPr>
          <w:rFonts w:hint="eastAsia"/>
        </w:rPr>
        <w:t>遥感生态指数</w:t>
      </w:r>
      <w:r>
        <w:rPr>
          <w:rFonts w:hint="eastAsia"/>
        </w:rPr>
        <w:t>RSEI</w:t>
      </w:r>
      <w:bookmarkEnd w:id="44"/>
      <w:bookmarkEnd w:id="45"/>
      <w:bookmarkEnd w:id="46"/>
      <w:bookmarkEnd w:id="47"/>
    </w:p>
    <w:p w14:paraId="02EA924A" w14:textId="77777777" w:rsidR="00D46586" w:rsidRDefault="00000000">
      <w:pPr>
        <w:pStyle w:val="a3"/>
        <w:ind w:left="480" w:firstLine="480"/>
      </w:pPr>
      <w:r>
        <w:t>遥感生态指数（</w:t>
      </w:r>
      <w:r>
        <w:t>Remote Sensing Based Ecological Index</w:t>
      </w:r>
      <w:r>
        <w:t>，</w:t>
      </w:r>
      <w:r>
        <w:t>RSEI</w:t>
      </w:r>
      <w:r>
        <w:t>）是由徐涵秋</w:t>
      </w:r>
      <w:r>
        <w:rPr>
          <w:vertAlign w:val="superscript"/>
        </w:rPr>
        <w:fldChar w:fldCharType="begin"/>
      </w:r>
      <w:r>
        <w:rPr>
          <w:vertAlign w:val="superscript"/>
        </w:rPr>
        <w:instrText xml:space="preserve"> REF _Ref28970 \r \h  \* MERGEFORMAT </w:instrText>
      </w:r>
      <w:r>
        <w:rPr>
          <w:vertAlign w:val="superscript"/>
        </w:rPr>
      </w:r>
      <w:r>
        <w:rPr>
          <w:vertAlign w:val="superscript"/>
        </w:rPr>
        <w:fldChar w:fldCharType="separate"/>
      </w:r>
      <w:r>
        <w:rPr>
          <w:vertAlign w:val="superscript"/>
        </w:rPr>
        <w:t>[42]</w:t>
      </w:r>
      <w:r>
        <w:rPr>
          <w:vertAlign w:val="superscript"/>
        </w:rPr>
        <w:fldChar w:fldCharType="end"/>
      </w:r>
      <w:r>
        <w:t>提出的一种新型指数，它的基础是遥感技术，自然因子在这个指数中起到了主导作用，城市生态状况的快速监测与评价通过遥感技术被实现了，</w:t>
      </w:r>
      <w:r>
        <w:t>RSEI</w:t>
      </w:r>
      <w:r>
        <w:t>能够成为本研究的关键方法，是因为它的综合性和高效性都比较出色</w:t>
      </w:r>
      <w:r>
        <w:t>——</w:t>
      </w:r>
      <w:r>
        <w:t>它把多个关键的遥感指标整合到了一起，这些指标包括了用来反映植被生长情况的绿度指数（</w:t>
      </w:r>
      <w:r>
        <w:t>NDVI</w:t>
      </w:r>
      <w:r>
        <w:t>）、表示地表湿润程度的湿度指数（</w:t>
      </w:r>
      <w:r>
        <w:t>WET</w:t>
      </w:r>
      <w:r>
        <w:t>）、指示地表温度变化的热度指数（</w:t>
      </w:r>
      <w:r>
        <w:t>LST</w:t>
      </w:r>
      <w:r>
        <w:t>）和反映地表干燥程度的干度指数（</w:t>
      </w:r>
      <w:r>
        <w:t>NDBSI</w:t>
      </w:r>
      <w:r>
        <w:t>），把这些不同来源的遥感指标放在一起分析之后，区域生态质量的总体情况和其中的细微变化就被</w:t>
      </w:r>
      <w:r>
        <w:t>RSEI</w:t>
      </w:r>
      <w:r>
        <w:t>全面且客观地描述出来</w:t>
      </w:r>
      <w:r>
        <w:rPr>
          <w:rFonts w:hint="eastAsia"/>
        </w:rPr>
        <w:t>，下面是</w:t>
      </w:r>
      <w:r>
        <w:rPr>
          <w:rFonts w:hint="eastAsia"/>
        </w:rPr>
        <w:t>RSEI</w:t>
      </w:r>
      <w:r>
        <w:rPr>
          <w:rFonts w:hint="eastAsia"/>
        </w:rPr>
        <w:t>的定义：</w:t>
      </w:r>
      <w:r>
        <w:rPr>
          <w:rFonts w:ascii="宋体" w:hAnsi="宋体" w:hint="eastAsia"/>
        </w:rPr>
        <w:br/>
      </w:r>
      <m:oMathPara>
        <m:oMath>
          <m:eqArr>
            <m:eqArrPr>
              <m:maxDist m:val="1"/>
              <m:ctrlPr>
                <w:rPr>
                  <w:rFonts w:ascii="Cambria Math" w:hAnsi="Cambria Math"/>
                </w:rPr>
              </m:ctrlPr>
            </m:eqArrPr>
            <m:e>
              <m:r>
                <w:rPr>
                  <w:rFonts w:ascii="Cambria Math" w:hAnsi="Cambria Math"/>
                </w:rPr>
                <m:t>RSEI</m:t>
              </m:r>
              <m:r>
                <m:rPr>
                  <m:sty m:val="p"/>
                </m:rPr>
                <w:rPr>
                  <w:rFonts w:ascii="Cambria Math" w:hAnsi="Cambria Math"/>
                </w:rPr>
                <m:t xml:space="preserve"> = </m:t>
              </m:r>
              <m:r>
                <w:rPr>
                  <w:rFonts w:ascii="Cambria Math" w:hAnsi="Cambria Math"/>
                </w:rPr>
                <m:t>f</m:t>
              </m:r>
              <m:d>
                <m:dPr>
                  <m:ctrlPr>
                    <w:rPr>
                      <w:rFonts w:ascii="Cambria Math" w:hAnsi="Cambria Math"/>
                    </w:rPr>
                  </m:ctrlPr>
                </m:dPr>
                <m:e>
                  <m:r>
                    <w:rPr>
                      <w:rFonts w:ascii="Cambria Math" w:hAnsi="Cambria Math"/>
                    </w:rPr>
                    <m:t>Greenness</m:t>
                  </m:r>
                  <m:r>
                    <m:rPr>
                      <m:sty m:val="p"/>
                    </m:rPr>
                    <w:rPr>
                      <w:rFonts w:ascii="Cambria Math" w:hAnsi="Cambria Math"/>
                    </w:rPr>
                    <m:t xml:space="preserve">, </m:t>
                  </m:r>
                  <m:r>
                    <w:rPr>
                      <w:rFonts w:ascii="Cambria Math" w:hAnsi="Cambria Math"/>
                    </w:rPr>
                    <m:t>Wetness</m:t>
                  </m:r>
                  <m:r>
                    <m:rPr>
                      <m:sty m:val="p"/>
                    </m:rPr>
                    <w:rPr>
                      <w:rFonts w:ascii="Cambria Math" w:hAnsi="Cambria Math"/>
                    </w:rPr>
                    <m:t xml:space="preserve">, </m:t>
                  </m:r>
                  <m:r>
                    <w:rPr>
                      <w:rFonts w:ascii="Cambria Math" w:hAnsi="Cambria Math"/>
                    </w:rPr>
                    <m:t>Heat</m:t>
                  </m:r>
                  <m:r>
                    <m:rPr>
                      <m:sty m:val="p"/>
                    </m:rPr>
                    <w:rPr>
                      <w:rFonts w:ascii="Cambria Math" w:hAnsi="Cambria Math"/>
                    </w:rPr>
                    <m:t xml:space="preserve">, </m:t>
                  </m:r>
                  <m:r>
                    <w:rPr>
                      <w:rFonts w:ascii="Cambria Math" w:hAnsi="Cambria Math"/>
                    </w:rPr>
                    <m:t>Dryness</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2.1</m:t>
                  </m:r>
                </m:e>
              </m:d>
            </m:e>
          </m:eqArr>
        </m:oMath>
      </m:oMathPara>
    </w:p>
    <w:p w14:paraId="7BFAD10F" w14:textId="77777777" w:rsidR="00D46586" w:rsidRDefault="00000000">
      <w:pPr>
        <w:spacing w:before="40" w:after="40" w:line="288" w:lineRule="auto"/>
        <w:ind w:left="480" w:firstLineChars="200" w:firstLine="480"/>
        <w:jc w:val="left"/>
        <w:rPr>
          <w:rFonts w:ascii="宋体" w:hAnsi="宋体" w:cs="宋体" w:hint="eastAsia"/>
        </w:rPr>
      </w:pPr>
      <w:r>
        <w:rPr>
          <w:rFonts w:ascii="宋体" w:hAnsi="宋体" w:cs="宋体" w:hint="eastAsia"/>
        </w:rPr>
        <w:t>其遥感定义为：</w:t>
      </w:r>
    </w:p>
    <w:p w14:paraId="603324C9" w14:textId="77777777" w:rsidR="00D46586" w:rsidRDefault="00000000">
      <w:pPr>
        <w:spacing w:before="40" w:after="40" w:line="288" w:lineRule="auto"/>
        <w:ind w:left="480" w:firstLineChars="200" w:firstLine="480"/>
        <w:jc w:val="left"/>
        <w:rPr>
          <w:rFonts w:ascii="宋体" w:hAnsi="宋体" w:cs="宋体" w:hint="eastAsia"/>
        </w:rPr>
      </w:pPr>
      <m:oMathPara>
        <m:oMath>
          <m:eqArr>
            <m:eqArrPr>
              <m:maxDist m:val="1"/>
              <m:ctrlPr>
                <w:rPr>
                  <w:rFonts w:ascii="Cambria Math" w:hAnsi="Cambria Math" w:cs="宋体"/>
                  <w:i/>
                </w:rPr>
              </m:ctrlPr>
            </m:eqArrPr>
            <m:e>
              <m:r>
                <w:rPr>
                  <w:rFonts w:ascii="Cambria Math" w:hAnsi="Cambria Math" w:cs="宋体"/>
                </w:rPr>
                <m:t>RSEI = f</m:t>
              </m:r>
              <m:d>
                <m:dPr>
                  <m:ctrlPr>
                    <w:rPr>
                      <w:rFonts w:ascii="Cambria Math" w:hAnsi="Cambria Math" w:cs="宋体"/>
                      <w:i/>
                    </w:rPr>
                  </m:ctrlPr>
                </m:dPr>
                <m:e>
                  <m:r>
                    <w:rPr>
                      <w:rFonts w:ascii="Cambria Math" w:hAnsi="Cambria Math" w:cs="宋体"/>
                    </w:rPr>
                    <m:t>VI, WET, LST, SI</m:t>
                  </m:r>
                </m:e>
              </m:d>
              <m:r>
                <w:rPr>
                  <w:rFonts w:ascii="Cambria Math" w:hAnsi="Cambria Math" w:cs="宋体"/>
                </w:rPr>
                <m:t>#</m:t>
              </m:r>
              <m:d>
                <m:dPr>
                  <m:begChr m:val="（"/>
                  <m:endChr m:val="）"/>
                  <m:ctrlPr>
                    <w:rPr>
                      <w:rFonts w:ascii="Cambria Math" w:hAnsi="Cambria Math" w:cs="宋体"/>
                      <w:i/>
                    </w:rPr>
                  </m:ctrlPr>
                </m:dPr>
                <m:e>
                  <m:r>
                    <w:rPr>
                      <w:rFonts w:ascii="Cambria Math" w:hAnsi="Cambria Math" w:cs="宋体"/>
                    </w:rPr>
                    <m:t>2.2</m:t>
                  </m:r>
                </m:e>
              </m:d>
            </m:e>
          </m:eqArr>
        </m:oMath>
      </m:oMathPara>
    </w:p>
    <w:p w14:paraId="25171900" w14:textId="77777777" w:rsidR="00D46586" w:rsidRDefault="00000000">
      <w:pPr>
        <w:pStyle w:val="a3"/>
        <w:ind w:left="480" w:firstLine="480"/>
      </w:pPr>
      <w:r>
        <w:t>上式中：</w:t>
      </w:r>
      <w:r>
        <w:t>Greenness</w:t>
      </w:r>
      <w:r>
        <w:t>代表绿度；</w:t>
      </w:r>
      <w:r>
        <w:t>Wetness</w:t>
      </w:r>
      <w:r>
        <w:t>代表湿度；</w:t>
      </w:r>
      <w:r>
        <w:t>Heat</w:t>
      </w:r>
      <w:r>
        <w:t>代表热度；</w:t>
      </w:r>
      <w:r>
        <w:t>Dryness</w:t>
      </w:r>
      <w:r>
        <w:t>代表干度；</w:t>
      </w:r>
      <w:r>
        <w:t xml:space="preserve">NDVI </w:t>
      </w:r>
      <w:r>
        <w:t>代表植被指数；</w:t>
      </w:r>
      <w:r>
        <w:t>W</w:t>
      </w:r>
      <w:r>
        <w:rPr>
          <w:rFonts w:hint="eastAsia"/>
        </w:rPr>
        <w:t>ET</w:t>
      </w:r>
      <w:r>
        <w:t>代表湿度分量；</w:t>
      </w:r>
      <w:r>
        <w:t>L</w:t>
      </w:r>
      <w:r>
        <w:rPr>
          <w:rFonts w:hint="eastAsia"/>
        </w:rPr>
        <w:t>ST</w:t>
      </w:r>
      <w:r>
        <w:t>代表地表温度；</w:t>
      </w:r>
      <w:r>
        <w:rPr>
          <w:rFonts w:hint="eastAsia"/>
        </w:rPr>
        <w:t>NBDSI</w:t>
      </w:r>
      <w:r>
        <w:t>代表裸土和建筑指数。</w:t>
      </w:r>
    </w:p>
    <w:p w14:paraId="0226D0A6" w14:textId="77777777" w:rsidR="00D46586" w:rsidRDefault="00000000">
      <w:pPr>
        <w:pStyle w:val="a3"/>
        <w:ind w:left="480" w:firstLine="480"/>
      </w:pPr>
      <w:bookmarkStart w:id="48" w:name="_Toc199366279"/>
      <w:bookmarkStart w:id="49" w:name="_Toc21576"/>
      <w:r>
        <w:rPr>
          <w:rFonts w:hint="eastAsia"/>
        </w:rPr>
        <w:t>RSEI</w:t>
      </w:r>
      <w:r>
        <w:rPr>
          <w:rFonts w:hint="eastAsia"/>
        </w:rPr>
        <w:t>的计算表达式如下所示；绿度、湿度、干度和热度这四项自然指标被</w:t>
      </w:r>
      <w:r>
        <w:rPr>
          <w:rFonts w:hint="eastAsia"/>
        </w:rPr>
        <w:t>RSEI</w:t>
      </w:r>
      <w:r>
        <w:rPr>
          <w:rFonts w:hint="eastAsia"/>
        </w:rPr>
        <w:t>综合在了一起，从而完成了对区域生态环境质量的快速监测与评估，这个指数把自然环境要素当作了基础，一个高效的生态评价体系就这样被构建了起来，和传统的</w:t>
      </w:r>
      <w:r>
        <w:rPr>
          <w:rFonts w:hint="eastAsia"/>
        </w:rPr>
        <w:t>EI</w:t>
      </w:r>
      <w:r>
        <w:rPr>
          <w:rFonts w:hint="eastAsia"/>
        </w:rPr>
        <w:t>指数比起来，</w:t>
      </w:r>
      <w:r>
        <w:rPr>
          <w:rFonts w:hint="eastAsia"/>
        </w:rPr>
        <w:t>RSEI</w:t>
      </w:r>
      <w:r>
        <w:rPr>
          <w:rFonts w:hint="eastAsia"/>
        </w:rPr>
        <w:t>能够更快地拿到大范围且定期更新的地表信息，还能够覆盖到那些偏远和难以到达的区域，而且时间上的精细程度也更高。</w:t>
      </w:r>
    </w:p>
    <w:p w14:paraId="261F13E6" w14:textId="77777777" w:rsidR="00D46586" w:rsidRDefault="00000000">
      <w:pPr>
        <w:pStyle w:val="3"/>
        <w:spacing w:before="78" w:after="78"/>
        <w:ind w:left="480"/>
      </w:pPr>
      <w:bookmarkStart w:id="50" w:name="_Toc230693479"/>
      <w:bookmarkStart w:id="51" w:name="_Toc230815656"/>
      <w:r>
        <w:rPr>
          <w:rFonts w:hint="eastAsia"/>
        </w:rPr>
        <w:t xml:space="preserve">2.2.1 </w:t>
      </w:r>
      <w:r>
        <w:rPr>
          <w:rFonts w:hint="eastAsia"/>
        </w:rPr>
        <w:t>绿度指标</w:t>
      </w:r>
      <w:bookmarkEnd w:id="48"/>
      <w:bookmarkEnd w:id="49"/>
      <w:bookmarkEnd w:id="50"/>
      <w:bookmarkEnd w:id="51"/>
    </w:p>
    <w:p w14:paraId="114B1CC0" w14:textId="77777777" w:rsidR="00D46586" w:rsidRDefault="00000000">
      <w:pPr>
        <w:pStyle w:val="a3"/>
        <w:ind w:left="480" w:firstLine="480"/>
      </w:pPr>
      <w:r>
        <w:rPr>
          <w:rFonts w:hint="eastAsia"/>
        </w:rPr>
        <w:t>归一化植被指数（</w:t>
      </w:r>
      <w:r>
        <w:rPr>
          <w:rFonts w:hint="eastAsia"/>
        </w:rPr>
        <w:t>Normalized Difference Vegetation Index</w:t>
      </w:r>
      <w:r>
        <w:rPr>
          <w:rFonts w:hint="eastAsia"/>
        </w:rPr>
        <w:t>，</w:t>
      </w:r>
      <w:r>
        <w:rPr>
          <w:rFonts w:hint="eastAsia"/>
        </w:rPr>
        <w:t>NDVI</w:t>
      </w:r>
      <w:r>
        <w:rPr>
          <w:rFonts w:hint="eastAsia"/>
        </w:rPr>
        <w:t>）是表征植被生长状况和空间分布的关键参数，也常被称为标准化植被指数，由于这一标准化植被指数在遥感植被监测和物候研究中有着广泛的应用价值，因此将其作为绿度评价指标来使用</w:t>
      </w:r>
    </w:p>
    <w:p w14:paraId="099AB317" w14:textId="77777777" w:rsidR="00D46586" w:rsidRDefault="00000000">
      <w:pPr>
        <w:tabs>
          <w:tab w:val="left" w:pos="0"/>
        </w:tabs>
        <w:spacing w:before="10" w:after="10" w:line="288" w:lineRule="auto"/>
        <w:ind w:left="480" w:firstLineChars="200" w:firstLine="480"/>
        <w:rPr>
          <w:rFonts w:asciiTheme="majorEastAsia" w:eastAsiaTheme="majorEastAsia" w:hAnsiTheme="majorEastAsia" w:cstheme="majorEastAsia" w:hint="eastAsia"/>
          <w:color w:val="000000"/>
          <w:sz w:val="28"/>
          <w:szCs w:val="28"/>
        </w:rPr>
      </w:pPr>
      <w:r>
        <w:rPr>
          <w:rFonts w:asciiTheme="minorEastAsia" w:hAnsiTheme="minorEastAsia" w:cstheme="minorEastAsia" w:hint="eastAsia"/>
          <w:color w:val="000000"/>
        </w:rPr>
        <w:lastRenderedPageBreak/>
        <w:t>公式为</w:t>
      </w:r>
      <w:r>
        <w:rPr>
          <w:rFonts w:asciiTheme="majorEastAsia" w:eastAsiaTheme="majorEastAsia" w:hAnsiTheme="majorEastAsia" w:cstheme="majorEastAsia" w:hint="eastAsia"/>
          <w:color w:val="000000"/>
          <w:sz w:val="28"/>
          <w:szCs w:val="28"/>
        </w:rPr>
        <w:t>：</w:t>
      </w:r>
    </w:p>
    <w:p w14:paraId="0ED53BD2" w14:textId="77777777" w:rsidR="00D46586" w:rsidRDefault="00000000">
      <w:pPr>
        <w:tabs>
          <w:tab w:val="left" w:pos="4305"/>
          <w:tab w:val="left" w:pos="8610"/>
        </w:tabs>
        <w:spacing w:before="40" w:after="40" w:line="288" w:lineRule="auto"/>
        <w:ind w:left="480"/>
        <w:jc w:val="right"/>
        <w:rPr>
          <w:rFonts w:eastAsiaTheme="majorEastAsia" w:hAnsi="Cambria Math"/>
        </w:rPr>
      </w:pPr>
      <m:oMathPara>
        <m:oMath>
          <m:eqArr>
            <m:eqArrPr>
              <m:maxDist m:val="1"/>
              <m:ctrlPr>
                <w:rPr>
                  <w:rFonts w:ascii="Cambria Math" w:eastAsiaTheme="majorEastAsia" w:hAnsi="Cambria Math" w:cs="Times New Roman"/>
                  <w:i/>
                </w:rPr>
              </m:ctrlPr>
            </m:eqArrPr>
            <m:e>
              <m:r>
                <w:rPr>
                  <w:rFonts w:ascii="Cambria Math" w:eastAsiaTheme="majorEastAsia" w:hAnsi="Cambria Math" w:cs="Times New Roman"/>
                </w:rPr>
                <m:t>NDVI=</m:t>
              </m:r>
              <m:f>
                <m:fPr>
                  <m:ctrlPr>
                    <w:rPr>
                      <w:rFonts w:ascii="Cambria Math" w:eastAsiaTheme="majorEastAsia" w:hAnsi="Cambria Math" w:cs="Times New Roman"/>
                      <w:i/>
                    </w:rPr>
                  </m:ctrlPr>
                </m:fPr>
                <m:num>
                  <m:sSub>
                    <m:sSubPr>
                      <m:ctrlPr>
                        <w:rPr>
                          <w:rFonts w:ascii="Cambria Math" w:eastAsiaTheme="majorEastAsia" w:hAnsi="Cambria Math" w:cs="Times New Roman"/>
                        </w:rPr>
                      </m:ctrlPr>
                    </m:sSubPr>
                    <m:e>
                      <w:bookmarkStart w:id="52" w:name="_Hlk198656443"/>
                      <m:r>
                        <w:rPr>
                          <w:rFonts w:ascii="Cambria Math" w:eastAsiaTheme="majorEastAsia" w:hAnsi="Cambria Math" w:cs="Times New Roman"/>
                        </w:rPr>
                        <m:t>ρ</m:t>
                      </m:r>
                      <w:bookmarkEnd w:id="52"/>
                    </m:e>
                    <m:sub>
                      <m:r>
                        <w:rPr>
                          <w:rFonts w:ascii="Cambria Math" w:eastAsiaTheme="majorEastAsia" w:hAnsi="Cambria Math" w:cs="Times New Roman"/>
                        </w:rPr>
                        <m:t>nir</m:t>
                      </m:r>
                    </m:sub>
                  </m:sSub>
                  <m:r>
                    <w:rPr>
                      <w:rFonts w:ascii="Cambria Math" w:eastAsiaTheme="majorEastAsia" w:hAnsi="Cambria Math" w:cs="Times New Roman"/>
                    </w:rPr>
                    <m:t>-</m:t>
                  </m:r>
                  <m:sSub>
                    <m:sSubPr>
                      <m:ctrlPr>
                        <w:rPr>
                          <w:rFonts w:ascii="Cambria Math" w:eastAsiaTheme="majorEastAsia" w:hAnsi="Cambria Math" w:cs="Times New Roman"/>
                        </w:rPr>
                      </m:ctrlPr>
                    </m:sSubPr>
                    <m:e>
                      <m:r>
                        <w:rPr>
                          <w:rFonts w:ascii="Cambria Math" w:eastAsiaTheme="majorEastAsia" w:hAnsi="Cambria Math" w:cs="Times New Roman"/>
                        </w:rPr>
                        <m:t>ρ</m:t>
                      </m:r>
                    </m:e>
                    <m:sub>
                      <m:r>
                        <w:rPr>
                          <w:rFonts w:ascii="Cambria Math" w:eastAsiaTheme="majorEastAsia" w:hAnsi="Cambria Math" w:cs="Times New Roman"/>
                        </w:rPr>
                        <m:t>red</m:t>
                      </m:r>
                    </m:sub>
                  </m:sSub>
                  <m:ctrlPr>
                    <w:rPr>
                      <w:rFonts w:ascii="Cambria Math" w:eastAsiaTheme="majorEastAsia" w:hAnsi="Cambria Math" w:cs="Times New Roman"/>
                    </w:rPr>
                  </m:ctrlPr>
                </m:num>
                <m:den>
                  <m:sSub>
                    <m:sSubPr>
                      <m:ctrlPr>
                        <w:rPr>
                          <w:rFonts w:ascii="Cambria Math" w:eastAsiaTheme="majorEastAsia" w:hAnsi="Cambria Math" w:cs="Times New Roman"/>
                        </w:rPr>
                      </m:ctrlPr>
                    </m:sSubPr>
                    <m:e>
                      <m:r>
                        <w:rPr>
                          <w:rFonts w:ascii="Cambria Math" w:eastAsiaTheme="majorEastAsia" w:hAnsi="Cambria Math" w:cs="Times New Roman"/>
                        </w:rPr>
                        <m:t>ρ</m:t>
                      </m:r>
                    </m:e>
                    <m:sub>
                      <m:r>
                        <w:rPr>
                          <w:rFonts w:ascii="Cambria Math" w:eastAsiaTheme="majorEastAsia" w:hAnsi="Cambria Math" w:cs="Times New Roman"/>
                        </w:rPr>
                        <m:t>nir</m:t>
                      </m:r>
                    </m:sub>
                  </m:sSub>
                  <m:r>
                    <w:rPr>
                      <w:rFonts w:ascii="Cambria Math" w:eastAsiaTheme="majorEastAsia" w:hAnsi="Cambria Math" w:cs="Times New Roman"/>
                    </w:rPr>
                    <m:t>+</m:t>
                  </m:r>
                  <m:sSub>
                    <m:sSubPr>
                      <m:ctrlPr>
                        <w:rPr>
                          <w:rFonts w:ascii="Cambria Math" w:eastAsiaTheme="majorEastAsia" w:hAnsi="Cambria Math" w:cs="Times New Roman"/>
                        </w:rPr>
                      </m:ctrlPr>
                    </m:sSubPr>
                    <m:e>
                      <m:r>
                        <w:rPr>
                          <w:rFonts w:ascii="Cambria Math" w:eastAsiaTheme="majorEastAsia" w:hAnsi="Cambria Math" w:cs="Times New Roman"/>
                        </w:rPr>
                        <m:t>ρ</m:t>
                      </m:r>
                    </m:e>
                    <m:sub>
                      <m:r>
                        <w:rPr>
                          <w:rFonts w:ascii="Cambria Math" w:eastAsiaTheme="majorEastAsia" w:hAnsi="Cambria Math" w:cs="Times New Roman"/>
                        </w:rPr>
                        <m:t>red</m:t>
                      </m:r>
                    </m:sub>
                  </m:sSub>
                  <m:r>
                    <m:rPr>
                      <m:sty m:val="p"/>
                    </m:rPr>
                    <w:rPr>
                      <w:rFonts w:ascii="Cambria Math" w:eastAsiaTheme="majorEastAsia" w:hAnsi="Cambria Math" w:cs="Times New Roman"/>
                    </w:rPr>
                    <m:t xml:space="preserve"> </m:t>
                  </m:r>
                  <m:ctrlPr>
                    <w:rPr>
                      <w:rFonts w:ascii="Cambria Math" w:eastAsiaTheme="majorEastAsia" w:hAnsi="Cambria Math" w:cs="Times New Roman"/>
                    </w:rPr>
                  </m:ctrlPr>
                </m:den>
              </m:f>
              <m:r>
                <w:rPr>
                  <w:rFonts w:ascii="Cambria Math" w:eastAsiaTheme="majorEastAsia" w:hAnsi="Cambria Math" w:cs="Times New Roman"/>
                </w:rPr>
                <m:t>#</m:t>
              </m:r>
              <m:d>
                <m:dPr>
                  <m:ctrlPr>
                    <w:rPr>
                      <w:rFonts w:ascii="Cambria Math" w:eastAsiaTheme="majorEastAsia" w:hAnsi="Cambria Math" w:cs="Times New Roman"/>
                      <w:i/>
                    </w:rPr>
                  </m:ctrlPr>
                </m:dPr>
                <m:e>
                  <m:r>
                    <w:rPr>
                      <w:rFonts w:ascii="Cambria Math" w:eastAsiaTheme="majorEastAsia" w:hAnsi="Cambria Math" w:cs="Times New Roman"/>
                    </w:rPr>
                    <m:t>2.3</m:t>
                  </m:r>
                </m:e>
              </m:d>
            </m:e>
          </m:eqArr>
        </m:oMath>
      </m:oMathPara>
    </w:p>
    <w:p w14:paraId="25649F30" w14:textId="77777777" w:rsidR="00D46586" w:rsidRDefault="00000000">
      <w:pPr>
        <w:tabs>
          <w:tab w:val="left" w:pos="4305"/>
          <w:tab w:val="left" w:pos="8610"/>
        </w:tabs>
        <w:spacing w:before="40" w:after="40" w:line="288" w:lineRule="auto"/>
        <w:ind w:left="480" w:right="1044" w:firstLineChars="200" w:firstLine="480"/>
        <w:rPr>
          <w:rFonts w:asciiTheme="minorEastAsia" w:hAnsiTheme="minorEastAsia" w:hint="eastAsia"/>
        </w:rPr>
      </w:pPr>
      <w:r>
        <w:rPr>
          <w:rFonts w:asciiTheme="minorEastAsia" w:hAnsiTheme="minorEastAsia" w:hint="eastAsia"/>
        </w:rPr>
        <w:t>上式中：</w:t>
      </w:r>
      <m:oMath>
        <m:sSub>
          <m:sSubPr>
            <m:ctrlPr>
              <w:rPr>
                <w:rFonts w:ascii="Cambria Math" w:hAnsi="Cambria Math"/>
                <w:i/>
              </w:rPr>
            </m:ctrlPr>
          </m:sSubPr>
          <m:e>
            <m:r>
              <w:rPr>
                <w:rFonts w:ascii="Cambria Math" w:hAnsi="Cambria Math"/>
              </w:rPr>
              <m:t>ρ</m:t>
            </m:r>
          </m:e>
          <m:sub>
            <m:r>
              <w:rPr>
                <w:rFonts w:ascii="Cambria Math" w:hAnsi="Cambria Math" w:hint="eastAsia"/>
              </w:rPr>
              <m:t>i</m:t>
            </m:r>
          </m:sub>
        </m:sSub>
      </m:oMath>
      <w:r>
        <w:rPr>
          <w:rFonts w:asciiTheme="minorEastAsia" w:hAnsiTheme="minorEastAsia" w:hint="eastAsia"/>
        </w:rPr>
        <w:t>代表相应波段的光谱反射率。</w:t>
      </w:r>
    </w:p>
    <w:p w14:paraId="203BBB3F" w14:textId="77777777" w:rsidR="00D46586" w:rsidRDefault="00000000">
      <w:pPr>
        <w:pStyle w:val="3"/>
        <w:spacing w:before="78" w:after="78"/>
        <w:ind w:left="480"/>
      </w:pPr>
      <w:bookmarkStart w:id="53" w:name="_Toc230693480"/>
      <w:bookmarkStart w:id="54" w:name="_Toc199366280"/>
      <w:bookmarkStart w:id="55" w:name="_Toc9538"/>
      <w:bookmarkStart w:id="56" w:name="_Toc230815657"/>
      <w:r>
        <w:rPr>
          <w:rFonts w:hint="eastAsia"/>
        </w:rPr>
        <w:t xml:space="preserve">2.2.2 </w:t>
      </w:r>
      <w:r>
        <w:rPr>
          <w:rFonts w:hint="eastAsia"/>
        </w:rPr>
        <w:t>湿度指标</w:t>
      </w:r>
      <w:bookmarkEnd w:id="53"/>
      <w:bookmarkEnd w:id="54"/>
      <w:bookmarkEnd w:id="55"/>
      <w:bookmarkEnd w:id="56"/>
    </w:p>
    <w:p w14:paraId="2E8B2C51" w14:textId="77777777" w:rsidR="00D46586" w:rsidRDefault="00000000">
      <w:pPr>
        <w:pStyle w:val="a3"/>
        <w:ind w:left="480" w:firstLine="480"/>
      </w:pPr>
      <w:r>
        <w:rPr>
          <w:rFonts w:hint="eastAsia"/>
        </w:rPr>
        <w:t>缨帽变换（</w:t>
      </w:r>
      <w:r>
        <w:rPr>
          <w:rFonts w:hint="eastAsia"/>
        </w:rPr>
        <w:t>Tasseled Cap Transformation</w:t>
      </w:r>
      <w:r>
        <w:rPr>
          <w:rFonts w:hint="eastAsia"/>
        </w:rPr>
        <w:t>）是一种经典的多光谱遥感</w:t>
      </w:r>
      <w:proofErr w:type="gramStart"/>
      <w:r>
        <w:rPr>
          <w:rFonts w:hint="eastAsia"/>
        </w:rPr>
        <w:t>数据降维方法</w:t>
      </w:r>
      <w:proofErr w:type="gramEnd"/>
      <w:r>
        <w:rPr>
          <w:rFonts w:hint="eastAsia"/>
        </w:rPr>
        <w:t>，它的核心作用在于尽量保留原始信息的前提下，对数据做进一步的压缩，去除波段之间那些冗余的信息。和主成分分析（</w:t>
      </w:r>
      <w:r>
        <w:rPr>
          <w:rFonts w:hint="eastAsia"/>
        </w:rPr>
        <w:t>PCA</w:t>
      </w:r>
      <w:r>
        <w:rPr>
          <w:rFonts w:hint="eastAsia"/>
        </w:rPr>
        <w:t>）这一类无监督变换不太一样的是，缨帽变换基于植被、土壤和水分等典型地物的光谱特征，把多波段数据投影到几个具有明确物理意义的组分上面，例如亮度（</w:t>
      </w:r>
      <w:r>
        <w:rPr>
          <w:rFonts w:hint="eastAsia"/>
        </w:rPr>
        <w:t>Brightness</w:t>
      </w:r>
      <w:r>
        <w:rPr>
          <w:rFonts w:hint="eastAsia"/>
        </w:rPr>
        <w:t>）、绿度（</w:t>
      </w:r>
      <w:r>
        <w:rPr>
          <w:rFonts w:hint="eastAsia"/>
        </w:rPr>
        <w:t>Greenness</w:t>
      </w:r>
      <w:r>
        <w:rPr>
          <w:rFonts w:hint="eastAsia"/>
        </w:rPr>
        <w:t>）和湿度（</w:t>
      </w:r>
      <w:r>
        <w:rPr>
          <w:rFonts w:hint="eastAsia"/>
        </w:rPr>
        <w:t>Wetness</w:t>
      </w:r>
      <w:r>
        <w:rPr>
          <w:rFonts w:hint="eastAsia"/>
        </w:rPr>
        <w:t>）。在遥感技术当中，缨帽变换能够很好地反演出土壤湿度，因为它可以有效分离土壤水分变化所引起的光谱信号，削弱植被和土壤背景带来的干扰，从而提取出稳定的湿度分量。本研究采用的是缨帽变换当中的湿度分量来表征湿度指标</w:t>
      </w:r>
      <w:r>
        <w:fldChar w:fldCharType="begin"/>
      </w:r>
      <w:r>
        <w:instrText xml:space="preserve"> </w:instrText>
      </w:r>
      <w:r>
        <w:rPr>
          <w:rFonts w:hint="eastAsia"/>
        </w:rPr>
        <w:instrText>REF _Ref29048 \r \h</w:instrText>
      </w:r>
      <w:r>
        <w:instrText xml:space="preserve"> </w:instrText>
      </w:r>
      <w:r>
        <w:fldChar w:fldCharType="separate"/>
      </w:r>
      <w:r>
        <w:rPr>
          <w:vertAlign w:val="superscript"/>
        </w:rPr>
        <w:t>[43]</w:t>
      </w:r>
      <w:r>
        <w:fldChar w:fldCharType="end"/>
      </w:r>
      <w:r>
        <w:rPr>
          <w:rFonts w:hint="eastAsia"/>
        </w:rPr>
        <w:t>，湿度参数选用了</w:t>
      </w:r>
      <w:r>
        <w:rPr>
          <w:rFonts w:hint="eastAsia"/>
        </w:rPr>
        <w:t>Wet</w:t>
      </w:r>
      <w:r>
        <w:rPr>
          <w:rFonts w:hint="eastAsia"/>
        </w:rPr>
        <w:t>指标来表示，该分量与地表水分含量、植被水分状况及土壤湿度都密切相关。</w:t>
      </w:r>
      <w:r>
        <w:rPr>
          <w:rFonts w:hint="eastAsia"/>
        </w:rPr>
        <w:t xml:space="preserve"> Landsat</w:t>
      </w:r>
      <w:r>
        <w:rPr>
          <w:rFonts w:hint="eastAsia"/>
        </w:rPr>
        <w:t>卫星系列搭载了不同的传感器，包括了</w:t>
      </w:r>
      <w:r>
        <w:rPr>
          <w:rFonts w:hint="eastAsia"/>
        </w:rPr>
        <w:t>TM</w:t>
      </w:r>
      <w:r>
        <w:rPr>
          <w:rFonts w:hint="eastAsia"/>
        </w:rPr>
        <w:t>（主题成像仪）、</w:t>
      </w:r>
      <w:r>
        <w:rPr>
          <w:rFonts w:hint="eastAsia"/>
        </w:rPr>
        <w:t>ETM+</w:t>
      </w:r>
      <w:r>
        <w:rPr>
          <w:rFonts w:hint="eastAsia"/>
        </w:rPr>
        <w:t>（增强型专题制图仪）和</w:t>
      </w:r>
      <w:r>
        <w:rPr>
          <w:rFonts w:hint="eastAsia"/>
        </w:rPr>
        <w:t>OLI</w:t>
      </w:r>
      <w:r>
        <w:rPr>
          <w:rFonts w:hint="eastAsia"/>
        </w:rPr>
        <w:t>（陆地成像仪），根据所采用的影像数据来选择对应的湿度分量公式，具体的表达式分别如下：</w:t>
      </w:r>
    </w:p>
    <w:p w14:paraId="2C2FDD65" w14:textId="77777777" w:rsidR="00D46586" w:rsidRDefault="00000000">
      <w:pPr>
        <w:pStyle w:val="a3"/>
        <w:ind w:left="480" w:firstLine="480"/>
        <w:rPr>
          <w:rFonts w:cs="Times New Roman"/>
        </w:rPr>
      </w:pPr>
      <w:r>
        <w:rPr>
          <w:rFonts w:cs="Times New Roman" w:hint="eastAsia"/>
        </w:rPr>
        <w:t>TM</w:t>
      </w:r>
      <w:r>
        <w:rPr>
          <w:rFonts w:cs="Times New Roman" w:hint="eastAsia"/>
        </w:rPr>
        <w:t>影像数据、</w:t>
      </w:r>
      <w:r>
        <w:rPr>
          <w:rFonts w:cs="Times New Roman"/>
        </w:rPr>
        <w:t>ETM</w:t>
      </w:r>
      <w:r>
        <w:rPr>
          <w:rFonts w:asciiTheme="minorEastAsia" w:hAnsiTheme="minorEastAsia" w:cs="Times New Roman" w:hint="eastAsia"/>
        </w:rPr>
        <w:t>影像数据、</w:t>
      </w:r>
      <w:r>
        <w:rPr>
          <w:rFonts w:cs="Times New Roman"/>
        </w:rPr>
        <w:t>OLI</w:t>
      </w:r>
      <w:r>
        <w:rPr>
          <w:rFonts w:cs="Times New Roman" w:hint="eastAsia"/>
        </w:rPr>
        <w:t>影像数据、分别是：</w:t>
      </w:r>
    </w:p>
    <w:p w14:paraId="434D277C" w14:textId="77777777" w:rsidR="00D46586" w:rsidRDefault="00000000">
      <w:pPr>
        <w:pStyle w:val="a3"/>
        <w:ind w:left="480" w:firstLine="480"/>
        <w:rPr>
          <w:rFonts w:cs="Times New Roman"/>
        </w:rPr>
      </w:pPr>
      <m:oMath>
        <m:r>
          <w:rPr>
            <w:rFonts w:ascii="Cambria Math" w:hAnsi="Cambria Math" w:cs="Times New Roman"/>
          </w:rPr>
          <m:t>Wet = 0.0315</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blue</m:t>
            </m:r>
          </m:sub>
        </m:sSub>
        <m:r>
          <w:rPr>
            <w:rFonts w:ascii="Cambria Math" w:hAnsi="Cambria Math" w:cs="Times New Roman"/>
          </w:rPr>
          <m:t>+ 0.2021</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green</m:t>
            </m:r>
          </m:sub>
        </m:sSub>
        <m:r>
          <w:rPr>
            <w:rFonts w:ascii="Cambria Math" w:hAnsi="Cambria Math" w:cs="Times New Roman"/>
          </w:rPr>
          <m:t>+ 0.3102</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red</m:t>
            </m:r>
          </m:sub>
        </m:sSub>
        <m:r>
          <w:rPr>
            <w:rFonts w:ascii="Cambria Math" w:hAnsi="Cambria Math" w:cs="Times New Roman"/>
          </w:rPr>
          <m:t>+ 0.1594</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mir</m:t>
            </m:r>
          </m:sub>
        </m:sSub>
        <m:r>
          <w:rPr>
            <w:rFonts w:ascii="Cambria Math" w:hAnsi="Cambria Math" w:cs="Times New Roman"/>
          </w:rPr>
          <m:t>- 0.6706</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mir1</m:t>
            </m:r>
          </m:sub>
        </m:sSub>
        <m:r>
          <w:rPr>
            <w:rFonts w:ascii="Cambria Math" w:hAnsi="Cambria Math" w:cs="Times New Roman"/>
          </w:rPr>
          <m:t>- 0.6109</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mir2</m:t>
            </m:r>
          </m:sub>
        </m:sSub>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2.4</m:t>
            </m:r>
          </m:e>
        </m:d>
      </m:oMath>
      <w:r>
        <w:rPr>
          <w:rFonts w:cs="Times New Roman"/>
        </w:rPr>
        <w:t xml:space="preserve"> </w:t>
      </w:r>
    </w:p>
    <w:p w14:paraId="01F097F1" w14:textId="77777777" w:rsidR="00D46586" w:rsidRDefault="00000000">
      <w:pPr>
        <w:pStyle w:val="a3"/>
        <w:ind w:left="480" w:firstLine="480"/>
        <w:rPr>
          <w:rFonts w:cs="Times New Roman"/>
        </w:rPr>
      </w:pPr>
      <m:oMath>
        <m:r>
          <w:rPr>
            <w:rFonts w:ascii="Cambria Math" w:hAnsi="Cambria Math" w:cs="Times New Roman"/>
          </w:rPr>
          <m:t>Wet = 0.2626</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blue</m:t>
            </m:r>
          </m:sub>
        </m:sSub>
        <m:r>
          <w:rPr>
            <w:rFonts w:ascii="Cambria Math" w:hAnsi="Cambria Math" w:cs="Times New Roman"/>
          </w:rPr>
          <m:t>+ 0.2141</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green</m:t>
            </m:r>
          </m:sub>
        </m:sSub>
        <m:r>
          <w:rPr>
            <w:rFonts w:ascii="Cambria Math" w:hAnsi="Cambria Math" w:cs="Times New Roman"/>
          </w:rPr>
          <m:t>+ 0.0926</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red</m:t>
            </m:r>
          </m:sub>
        </m:sSub>
        <m:r>
          <w:rPr>
            <w:rFonts w:ascii="Cambria Math" w:hAnsi="Cambria Math" w:cs="Times New Roman"/>
          </w:rPr>
          <m:t>+ 0.0656</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mir</m:t>
            </m:r>
          </m:sub>
        </m:sSub>
        <m:r>
          <w:rPr>
            <w:rFonts w:ascii="Cambria Math" w:hAnsi="Cambria Math" w:cs="Times New Roman"/>
          </w:rPr>
          <m:t>- 0.7629</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mir1</m:t>
            </m:r>
          </m:sub>
        </m:sSub>
        <m:r>
          <w:rPr>
            <w:rFonts w:ascii="Cambria Math" w:hAnsi="Cambria Math" w:cs="Times New Roman"/>
          </w:rPr>
          <m:t>- 0.5388</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mir2</m:t>
            </m:r>
          </m:sub>
        </m:sSub>
        <m:d>
          <m:dPr>
            <m:ctrlPr>
              <w:rPr>
                <w:rFonts w:ascii="Cambria Math" w:hAnsi="Cambria Math" w:cs="Times New Roman"/>
                <w:i/>
              </w:rPr>
            </m:ctrlPr>
          </m:dPr>
          <m:e>
            <m:r>
              <w:rPr>
                <w:rFonts w:ascii="Cambria Math" w:hAnsi="Cambria Math" w:cs="Times New Roman"/>
              </w:rPr>
              <m:t>2.5</m:t>
            </m:r>
          </m:e>
        </m:d>
      </m:oMath>
      <w:r>
        <w:rPr>
          <w:rFonts w:cs="Times New Roman"/>
        </w:rPr>
        <w:t xml:space="preserve"> </w:t>
      </w:r>
    </w:p>
    <w:p w14:paraId="0601AE81" w14:textId="77777777" w:rsidR="00D46586" w:rsidRDefault="00000000">
      <w:pPr>
        <w:pStyle w:val="a3"/>
        <w:ind w:left="480" w:firstLine="480"/>
        <w:rPr>
          <w:rFonts w:cs="Times New Roman"/>
        </w:rPr>
      </w:pPr>
      <m:oMath>
        <m:r>
          <w:rPr>
            <w:rFonts w:ascii="Cambria Math" w:hAnsi="Cambria Math" w:cs="Times New Roman"/>
          </w:rPr>
          <m:t>Wet = 0.1511</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blue</m:t>
            </m:r>
          </m:sub>
        </m:sSub>
        <m:r>
          <w:rPr>
            <w:rFonts w:ascii="Cambria Math" w:hAnsi="Cambria Math" w:cs="Times New Roman"/>
          </w:rPr>
          <m:t>+ 0.1973</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green</m:t>
            </m:r>
          </m:sub>
        </m:sSub>
        <m:r>
          <w:rPr>
            <w:rFonts w:ascii="Cambria Math" w:hAnsi="Cambria Math" w:cs="Times New Roman"/>
          </w:rPr>
          <m:t>+ 0.3283</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red</m:t>
            </m:r>
          </m:sub>
        </m:sSub>
        <m:r>
          <w:rPr>
            <w:rFonts w:ascii="Cambria Math" w:hAnsi="Cambria Math" w:cs="Times New Roman"/>
          </w:rPr>
          <m:t>+ 0.3407</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mir</m:t>
            </m:r>
          </m:sub>
        </m:sSub>
        <m:r>
          <w:rPr>
            <w:rFonts w:ascii="Cambria Math" w:hAnsi="Cambria Math" w:cs="Times New Roman"/>
          </w:rPr>
          <m:t>- 0.7117</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mir1</m:t>
            </m:r>
          </m:sub>
        </m:sSub>
        <m:r>
          <w:rPr>
            <w:rFonts w:ascii="Cambria Math" w:hAnsi="Cambria Math" w:cs="Times New Roman"/>
          </w:rPr>
          <m:t>- 0.4559</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mir2</m:t>
            </m:r>
          </m:sub>
        </m:sSub>
        <m:d>
          <m:dPr>
            <m:ctrlPr>
              <w:rPr>
                <w:rFonts w:ascii="Cambria Math" w:hAnsi="Cambria Math" w:cs="Times New Roman"/>
                <w:i/>
              </w:rPr>
            </m:ctrlPr>
          </m:dPr>
          <m:e>
            <m:r>
              <w:rPr>
                <w:rFonts w:ascii="Cambria Math" w:hAnsi="Cambria Math" w:cs="Times New Roman"/>
              </w:rPr>
              <m:t>2.6</m:t>
            </m:r>
          </m:e>
        </m:d>
      </m:oMath>
      <w:r>
        <w:rPr>
          <w:rFonts w:cs="Times New Roman"/>
        </w:rPr>
        <w:t xml:space="preserve"> </w:t>
      </w:r>
    </w:p>
    <w:p w14:paraId="099035F4" w14:textId="77777777" w:rsidR="00D46586" w:rsidRDefault="00000000">
      <w:pPr>
        <w:tabs>
          <w:tab w:val="left" w:pos="4305"/>
          <w:tab w:val="left" w:pos="8610"/>
        </w:tabs>
        <w:ind w:left="480" w:right="1044" w:firstLineChars="200" w:firstLine="480"/>
        <w:rPr>
          <w:rFonts w:asciiTheme="minorEastAsia" w:hAnsiTheme="minorEastAsia" w:hint="eastAsia"/>
        </w:rPr>
      </w:pPr>
      <w:r>
        <w:rPr>
          <w:rFonts w:asciiTheme="minorEastAsia" w:hAnsiTheme="minorEastAsia" w:hint="eastAsia"/>
        </w:rPr>
        <w:t>上式中：</w:t>
      </w:r>
      <m:oMath>
        <m:sSub>
          <m:sSubPr>
            <m:ctrlPr>
              <w:rPr>
                <w:rFonts w:ascii="Cambria Math" w:hAnsi="Cambria Math"/>
                <w:i/>
              </w:rPr>
            </m:ctrlPr>
          </m:sSubPr>
          <m:e>
            <m:r>
              <w:rPr>
                <w:rFonts w:ascii="Cambria Math" w:hAnsi="Cambria Math"/>
              </w:rPr>
              <m:t>ρ</m:t>
            </m:r>
          </m:e>
          <m:sub>
            <m:r>
              <w:rPr>
                <w:rFonts w:ascii="Cambria Math" w:hAnsi="Cambria Math" w:hint="eastAsia"/>
              </w:rPr>
              <m:t>i</m:t>
            </m:r>
          </m:sub>
        </m:sSub>
      </m:oMath>
      <w:r>
        <w:rPr>
          <w:rFonts w:asciiTheme="minorEastAsia" w:hAnsiTheme="minorEastAsia" w:hint="eastAsia"/>
        </w:rPr>
        <w:t>代表相应波段的光谱反射率。</w:t>
      </w:r>
    </w:p>
    <w:p w14:paraId="7C7286C1" w14:textId="77777777" w:rsidR="00D46586" w:rsidRDefault="00000000">
      <w:pPr>
        <w:pStyle w:val="3"/>
        <w:spacing w:before="78" w:after="78"/>
        <w:ind w:left="480"/>
      </w:pPr>
      <w:bookmarkStart w:id="57" w:name="_Toc230693481"/>
      <w:bookmarkStart w:id="58" w:name="_Toc199366281"/>
      <w:bookmarkStart w:id="59" w:name="_Toc27785"/>
      <w:bookmarkStart w:id="60" w:name="_Toc230815658"/>
      <w:r>
        <w:rPr>
          <w:rFonts w:hint="eastAsia"/>
        </w:rPr>
        <w:t xml:space="preserve">2.2.3 </w:t>
      </w:r>
      <w:r>
        <w:rPr>
          <w:rFonts w:hint="eastAsia"/>
        </w:rPr>
        <w:t>热度指标</w:t>
      </w:r>
      <w:bookmarkEnd w:id="57"/>
      <w:bookmarkEnd w:id="58"/>
      <w:bookmarkEnd w:id="59"/>
      <w:bookmarkEnd w:id="60"/>
    </w:p>
    <w:p w14:paraId="50A882BE" w14:textId="77777777" w:rsidR="00D46586" w:rsidRDefault="00000000">
      <w:pPr>
        <w:pStyle w:val="a3"/>
        <w:ind w:left="480" w:firstLine="480"/>
      </w:pPr>
      <w:r>
        <w:t>热度指标由地表温度（</w:t>
      </w:r>
      <w:r>
        <w:t>Land Surface Temperature</w:t>
      </w:r>
      <w:r>
        <w:t>，</w:t>
      </w:r>
      <w:r>
        <w:t>LST</w:t>
      </w:r>
      <w:r>
        <w:t>）来表示。地表</w:t>
      </w:r>
      <w:r>
        <w:lastRenderedPageBreak/>
        <w:t>温度（</w:t>
      </w:r>
      <w:r>
        <w:t>LST</w:t>
      </w:r>
      <w:r>
        <w:t>）作为表征热度的核心参数，在监测城市热岛效应和自然灾害方面具有重要应用价值，利用热红外遥感技术反演地表温度是获得地表温度的主要方式</w:t>
      </w:r>
      <w:r>
        <w:fldChar w:fldCharType="begin" w:fldLock="1"/>
      </w:r>
      <w:r>
        <w:instrText xml:space="preserve"> REF _Ref29074 \r \h  \* MERGEFORMAT </w:instrText>
      </w:r>
      <w:r>
        <w:fldChar w:fldCharType="separate"/>
      </w:r>
      <w:r>
        <w:rPr>
          <w:vertAlign w:val="superscript"/>
        </w:rPr>
        <w:t>[44]</w:t>
      </w:r>
      <w:r>
        <w:fldChar w:fldCharType="end"/>
      </w:r>
      <w:r>
        <w:rPr>
          <w:rFonts w:hint="eastAsia"/>
        </w:rPr>
        <w:fldChar w:fldCharType="begin" w:fldLock="1"/>
      </w:r>
      <w:r>
        <w:rPr>
          <w:rFonts w:hint="eastAsia"/>
        </w:rPr>
        <w:instrText xml:space="preserve"> REF _Ref29087 \r \h </w:instrText>
      </w:r>
      <w:r>
        <w:instrText xml:space="preserve"> \* MERGEFORMAT </w:instrText>
      </w:r>
      <w:r>
        <w:rPr>
          <w:rFonts w:hint="eastAsia"/>
        </w:rPr>
      </w:r>
      <w:r>
        <w:rPr>
          <w:rFonts w:hint="eastAsia"/>
        </w:rPr>
        <w:fldChar w:fldCharType="separate"/>
      </w:r>
      <w:r>
        <w:rPr>
          <w:rFonts w:hint="eastAsia"/>
          <w:vertAlign w:val="superscript"/>
        </w:rPr>
        <w:t>[45]</w:t>
      </w:r>
      <w:r>
        <w:rPr>
          <w:rFonts w:hint="eastAsia"/>
        </w:rPr>
        <w:fldChar w:fldCharType="end"/>
      </w:r>
      <w:r>
        <w:t>。</w:t>
      </w:r>
      <w:r>
        <w:t>LST</w:t>
      </w:r>
      <w:r>
        <w:t>计算采用大气校正法：</w:t>
      </w:r>
    </w:p>
    <w:p w14:paraId="6BAC83DE" w14:textId="77777777" w:rsidR="00D46586" w:rsidRDefault="00000000">
      <w:pPr>
        <w:tabs>
          <w:tab w:val="left" w:pos="4305"/>
          <w:tab w:val="left" w:pos="8610"/>
        </w:tabs>
        <w:spacing w:before="40" w:after="40" w:line="288" w:lineRule="auto"/>
        <w:ind w:left="480"/>
        <w:jc w:val="left"/>
        <w:rPr>
          <w:rFonts w:cs="Times New Roman"/>
          <w:color w:val="000000"/>
        </w:rPr>
      </w:pPr>
      <m:oMathPara>
        <m:oMath>
          <m:eqArr>
            <m:eqArrPr>
              <m:maxDist m:val="1"/>
              <m:ctrlPr>
                <w:rPr>
                  <w:rFonts w:ascii="Cambria Math" w:hAnsi="Cambria Math" w:cs="Times New Roman"/>
                  <w:i/>
                  <w:color w:val="000000"/>
                </w:rPr>
              </m:ctrlPr>
            </m:eqArrPr>
            <m:e>
              <m:sSub>
                <m:sSubPr>
                  <m:ctrlPr>
                    <w:rPr>
                      <w:rFonts w:ascii="Cambria Math" w:hAnsi="Cambria Math" w:cs="Times New Roman"/>
                      <w:i/>
                      <w:color w:val="000000"/>
                    </w:rPr>
                  </m:ctrlPr>
                </m:sSubPr>
                <m:e>
                  <m:r>
                    <w:rPr>
                      <w:rFonts w:ascii="Cambria Math" w:hAnsi="Cambria Math" w:cs="Times New Roman"/>
                      <w:color w:val="000000"/>
                    </w:rPr>
                    <m:t>L</m:t>
                  </m:r>
                </m:e>
                <m:sub>
                  <m:r>
                    <w:rPr>
                      <w:rFonts w:ascii="Cambria Math" w:hAnsi="Cambria Math" w:cs="Times New Roman"/>
                      <w:color w:val="000000"/>
                    </w:rPr>
                    <m:t>λ</m:t>
                  </m:r>
                </m:sub>
              </m:sSub>
              <m:r>
                <w:rPr>
                  <w:rFonts w:ascii="Cambria Math" w:hAnsi="Cambria Math" w:cs="Times New Roman"/>
                  <w:color w:val="000000"/>
                </w:rPr>
                <m:t>=</m:t>
              </m:r>
              <m:d>
                <m:dPr>
                  <m:begChr m:val="["/>
                  <m:endChr m:val="]"/>
                  <m:ctrlPr>
                    <w:rPr>
                      <w:rFonts w:ascii="Cambria Math" w:hAnsi="Cambria Math" w:cs="Times New Roman"/>
                      <w:i/>
                      <w:color w:val="000000"/>
                    </w:rPr>
                  </m:ctrlPr>
                </m:dPr>
                <m:e>
                  <w:bookmarkStart w:id="61" w:name="_Hlk198768290"/>
                  <m:r>
                    <w:rPr>
                      <w:rFonts w:ascii="Cambria Math" w:hAnsi="Cambria Math" w:cs="Times New Roman"/>
                      <w:color w:val="000000"/>
                    </w:rPr>
                    <m:t>εB</m:t>
                  </m:r>
                  <w:bookmarkEnd w:id="61"/>
                  <m:d>
                    <m:dPr>
                      <m:ctrlPr>
                        <w:rPr>
                          <w:rFonts w:ascii="Cambria Math" w:hAnsi="Cambria Math" w:cs="Times New Roman"/>
                          <w:i/>
                          <w:color w:val="000000"/>
                        </w:rPr>
                      </m:ctrlPr>
                    </m:dPr>
                    <m:e>
                      <m:r>
                        <w:rPr>
                          <w:rFonts w:ascii="Cambria Math" w:hAnsi="Cambria Math" w:cs="Times New Roman"/>
                          <w:color w:val="000000"/>
                        </w:rPr>
                        <m:t>Ts</m:t>
                      </m:r>
                    </m:e>
                  </m:d>
                  <m:r>
                    <w:rPr>
                      <w:rFonts w:ascii="Cambria Math" w:hAnsi="Cambria Math" w:cs="Times New Roman"/>
                      <w:color w:val="000000"/>
                    </w:rPr>
                    <m:t>+</m:t>
                  </m:r>
                  <m:d>
                    <m:dPr>
                      <m:ctrlPr>
                        <w:rPr>
                          <w:rFonts w:ascii="Cambria Math" w:hAnsi="Cambria Math" w:cs="Times New Roman"/>
                          <w:i/>
                          <w:color w:val="000000"/>
                        </w:rPr>
                      </m:ctrlPr>
                    </m:dPr>
                    <m:e>
                      <m:r>
                        <w:rPr>
                          <w:rFonts w:ascii="Cambria Math" w:hAnsi="Cambria Math" w:cs="Times New Roman"/>
                          <w:color w:val="000000"/>
                        </w:rPr>
                        <m:t>1-</m:t>
                      </m:r>
                      <w:bookmarkStart w:id="62" w:name="_Hlk198768301"/>
                      <m:r>
                        <m:rPr>
                          <m:sty m:val="p"/>
                        </m:rPr>
                        <w:rPr>
                          <w:rFonts w:ascii="Cambria Math" w:hAnsi="Cambria Math" w:cs="Times New Roman"/>
                          <w:color w:val="000000"/>
                        </w:rPr>
                        <m:t>ε</m:t>
                      </m:r>
                      <w:bookmarkEnd w:id="62"/>
                    </m:e>
                  </m:d>
                  <m:sSub>
                    <m:sSubPr>
                      <m:ctrlPr>
                        <w:rPr>
                          <w:rFonts w:ascii="Cambria Math" w:hAnsi="Cambria Math" w:cs="Times New Roman"/>
                          <w:i/>
                          <w:color w:val="000000"/>
                        </w:rPr>
                      </m:ctrlPr>
                    </m:sSubPr>
                    <m:e>
                      <m:r>
                        <w:rPr>
                          <w:rFonts w:ascii="Cambria Math" w:hAnsi="Cambria Math" w:cs="Times New Roman"/>
                          <w:color w:val="000000"/>
                        </w:rPr>
                        <m:t>L</m:t>
                      </m:r>
                    </m:e>
                    <m:sub>
                      <m:r>
                        <w:rPr>
                          <w:rFonts w:ascii="Cambria Math" w:hAnsi="Cambria Math" w:cs="Times New Roman"/>
                          <w:color w:val="000000"/>
                        </w:rPr>
                        <m:t>↓</m:t>
                      </m:r>
                    </m:sub>
                  </m:sSub>
                </m:e>
              </m:d>
              <m:r>
                <w:rPr>
                  <w:rFonts w:ascii="Cambria Math" w:hAnsi="Cambria Math" w:cs="Times New Roman"/>
                  <w:color w:val="000000"/>
                </w:rPr>
                <m:t>τ+</m:t>
              </m:r>
              <m:sSub>
                <m:sSubPr>
                  <m:ctrlPr>
                    <w:rPr>
                      <w:rFonts w:ascii="Cambria Math" w:hAnsi="Cambria Math" w:cs="Times New Roman"/>
                      <w:i/>
                      <w:color w:val="000000"/>
                    </w:rPr>
                  </m:ctrlPr>
                </m:sSubPr>
                <m:e>
                  <m:r>
                    <w:rPr>
                      <w:rFonts w:ascii="Cambria Math" w:hAnsi="Cambria Math" w:cs="Times New Roman"/>
                      <w:color w:val="000000"/>
                    </w:rPr>
                    <m:t>L</m:t>
                  </m:r>
                </m:e>
                <m:sub>
                  <m:r>
                    <w:rPr>
                      <w:rFonts w:ascii="Cambria Math" w:hAnsi="Cambria Math" w:cs="Times New Roman"/>
                      <w:color w:val="000000"/>
                    </w:rPr>
                    <m:t>↑</m:t>
                  </m:r>
                </m:sub>
              </m:sSub>
              <m:r>
                <w:rPr>
                  <w:rFonts w:ascii="Cambria Math" w:hAnsi="Cambria Math" w:cs="Times New Roman"/>
                  <w:color w:val="000000"/>
                </w:rPr>
                <m:t>#</m:t>
              </m:r>
              <m:d>
                <m:dPr>
                  <m:ctrlPr>
                    <w:rPr>
                      <w:rFonts w:ascii="Cambria Math" w:hAnsi="Cambria Math" w:cs="Times New Roman"/>
                      <w:i/>
                      <w:color w:val="000000"/>
                    </w:rPr>
                  </m:ctrlPr>
                </m:dPr>
                <m:e>
                  <m:r>
                    <w:rPr>
                      <w:rFonts w:ascii="Cambria Math" w:hAnsi="Cambria Math" w:cs="Times New Roman"/>
                      <w:color w:val="000000"/>
                    </w:rPr>
                    <m:t>2.7</m:t>
                  </m:r>
                </m:e>
              </m:d>
            </m:e>
          </m:eqArr>
        </m:oMath>
      </m:oMathPara>
    </w:p>
    <w:p w14:paraId="544BDB7A" w14:textId="77777777" w:rsidR="00D46586" w:rsidRDefault="00000000">
      <w:pPr>
        <w:tabs>
          <w:tab w:val="left" w:pos="4305"/>
          <w:tab w:val="left" w:pos="8610"/>
        </w:tabs>
        <w:spacing w:before="40" w:after="40" w:line="288" w:lineRule="auto"/>
        <w:ind w:left="480"/>
        <w:jc w:val="left"/>
        <w:rPr>
          <w:rFonts w:cs="Times New Roman"/>
          <w:iCs/>
          <w:color w:val="000000"/>
        </w:rPr>
      </w:pPr>
      <w:r>
        <w:rPr>
          <w:rFonts w:cs="Times New Roman" w:hint="eastAsia"/>
          <w:iCs/>
          <w:color w:val="000000"/>
        </w:rPr>
        <w:t>则温度为</w:t>
      </w:r>
      <w:r>
        <w:rPr>
          <w:rFonts w:cs="Times New Roman" w:hint="eastAsia"/>
          <w:iCs/>
          <w:color w:val="000000"/>
        </w:rPr>
        <w:t>T</w:t>
      </w:r>
      <w:r>
        <w:rPr>
          <w:rFonts w:cs="Times New Roman" w:hint="eastAsia"/>
          <w:iCs/>
          <w:color w:val="000000"/>
        </w:rPr>
        <w:t>的黑体在热红外波段的辐射亮度</w:t>
      </w:r>
      <w:bookmarkStart w:id="63" w:name="_Hlk198768341"/>
      <w:r>
        <w:rPr>
          <w:rFonts w:cs="Times New Roman" w:hint="eastAsia"/>
          <w:i/>
          <w:color w:val="000000"/>
        </w:rPr>
        <w:t>B</w:t>
      </w:r>
      <w:r>
        <w:rPr>
          <w:rFonts w:cs="Times New Roman" w:hint="eastAsia"/>
          <w:iCs/>
          <w:color w:val="000000"/>
        </w:rPr>
        <w:t>(</w:t>
      </w:r>
      <m:oMath>
        <m:sSub>
          <m:sSubPr>
            <m:ctrlPr>
              <w:rPr>
                <w:rFonts w:ascii="Cambria Math" w:hAnsi="Cambria Math" w:cs="Times New Roman"/>
                <w:i/>
                <w:color w:val="000000"/>
              </w:rPr>
            </m:ctrlPr>
          </m:sSubPr>
          <m:e>
            <m:r>
              <w:rPr>
                <w:rFonts w:ascii="Cambria Math" w:hAnsi="Cambria Math" w:cs="Times New Roman"/>
                <w:color w:val="000000"/>
              </w:rPr>
              <m:t>T</m:t>
            </m:r>
          </m:e>
          <m:sub>
            <m:r>
              <w:rPr>
                <w:rFonts w:ascii="Cambria Math" w:hAnsi="Cambria Math" w:cs="Times New Roman"/>
                <w:color w:val="000000"/>
              </w:rPr>
              <m:t>S</m:t>
            </m:r>
          </m:sub>
        </m:sSub>
      </m:oMath>
      <w:r>
        <w:rPr>
          <w:rFonts w:cs="Times New Roman" w:hint="eastAsia"/>
          <w:iCs/>
          <w:color w:val="000000"/>
        </w:rPr>
        <w:t>)</w:t>
      </w:r>
      <w:bookmarkEnd w:id="63"/>
      <w:r>
        <w:rPr>
          <w:rFonts w:cs="Times New Roman" w:hint="eastAsia"/>
          <w:iCs/>
          <w:color w:val="000000"/>
        </w:rPr>
        <w:t>为：</w:t>
      </w:r>
    </w:p>
    <w:p w14:paraId="7D2FACA9" w14:textId="77777777" w:rsidR="00D46586" w:rsidRDefault="00000000">
      <w:pPr>
        <w:tabs>
          <w:tab w:val="left" w:pos="4305"/>
          <w:tab w:val="left" w:pos="8610"/>
        </w:tabs>
        <w:spacing w:before="40" w:after="40" w:line="288" w:lineRule="auto"/>
        <w:ind w:left="480"/>
        <w:jc w:val="left"/>
        <w:rPr>
          <w:rFonts w:cs="Times New Roman"/>
          <w:iCs/>
          <w:color w:val="000000"/>
        </w:rPr>
      </w:pPr>
      <m:oMathPara>
        <m:oMath>
          <m:eqArr>
            <m:eqArrPr>
              <m:maxDist m:val="1"/>
              <m:ctrlPr>
                <w:rPr>
                  <w:rFonts w:ascii="Cambria Math" w:hAnsi="Cambria Math" w:cs="Times New Roman"/>
                  <w:i/>
                  <w:iCs/>
                  <w:color w:val="000000"/>
                </w:rPr>
              </m:ctrlPr>
            </m:eqArrPr>
            <m:e>
              <m:r>
                <w:rPr>
                  <w:rFonts w:ascii="Cambria Math" w:hAnsi="Cambria Math" w:cs="Times New Roman"/>
                  <w:color w:val="000000"/>
                </w:rPr>
                <m:t>B</m:t>
              </m:r>
              <m:d>
                <m:dPr>
                  <m:ctrlPr>
                    <w:rPr>
                      <w:rFonts w:ascii="Cambria Math" w:hAnsi="Cambria Math" w:cs="Times New Roman"/>
                      <w:i/>
                      <w:iCs/>
                      <w:color w:val="000000"/>
                    </w:rPr>
                  </m:ctrlPr>
                </m:dPr>
                <m:e>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s</m:t>
                      </m:r>
                    </m:sub>
                  </m:sSub>
                </m:e>
              </m:d>
              <m:r>
                <w:rPr>
                  <w:rFonts w:ascii="Cambria Math" w:hAnsi="Cambria Math" w:cs="Times New Roman"/>
                  <w:color w:val="000000"/>
                </w:rPr>
                <m:t>=</m:t>
              </m:r>
              <m:f>
                <m:fPr>
                  <m:ctrlPr>
                    <w:rPr>
                      <w:rFonts w:ascii="Cambria Math" w:hAnsi="Cambria Math" w:cs="Times New Roman"/>
                      <w:iCs/>
                      <w:color w:val="000000"/>
                    </w:rPr>
                  </m:ctrlPr>
                </m:fPr>
                <m:num>
                  <m:d>
                    <m:dPr>
                      <m:begChr m:val="["/>
                      <m:endChr m:val="]"/>
                      <m:ctrlPr>
                        <w:rPr>
                          <w:rFonts w:ascii="Cambria Math" w:hAnsi="Cambria Math" w:cs="Times New Roman"/>
                          <w:i/>
                          <w:iCs/>
                          <w:color w:val="000000"/>
                        </w:rPr>
                      </m:ctrlPr>
                    </m:dPr>
                    <m:e>
                      <m:sSub>
                        <m:sSubPr>
                          <m:ctrlPr>
                            <w:rPr>
                              <w:rFonts w:ascii="Cambria Math" w:hAnsi="Cambria Math" w:cs="Times New Roman"/>
                              <w:i/>
                              <w:iCs/>
                              <w:color w:val="000000"/>
                            </w:rPr>
                          </m:ctrlPr>
                        </m:sSubPr>
                        <m:e>
                          <m:r>
                            <w:rPr>
                              <w:rFonts w:ascii="Cambria Math" w:hAnsi="Cambria Math" w:cs="Times New Roman"/>
                              <w:color w:val="000000"/>
                            </w:rPr>
                            <m:t>L</m:t>
                          </m:r>
                        </m:e>
                        <m:sub>
                          <m:r>
                            <w:rPr>
                              <w:rFonts w:ascii="Cambria Math" w:hAnsi="Cambria Math" w:cs="Times New Roman"/>
                              <w:color w:val="000000"/>
                            </w:rPr>
                            <m:t>λ</m:t>
                          </m:r>
                        </m:sub>
                      </m:sSub>
                      <m:r>
                        <w:rPr>
                          <w:rFonts w:ascii="Cambria Math" w:hAnsi="Cambria Math" w:cs="Times New Roman"/>
                          <w:color w:val="000000"/>
                        </w:rPr>
                        <m:t>-</m:t>
                      </m:r>
                      <m:sSub>
                        <m:sSubPr>
                          <m:ctrlPr>
                            <w:rPr>
                              <w:rFonts w:ascii="Cambria Math" w:hAnsi="Cambria Math" w:cs="Times New Roman"/>
                              <w:i/>
                              <w:iCs/>
                              <w:color w:val="000000"/>
                            </w:rPr>
                          </m:ctrlPr>
                        </m:sSubPr>
                        <m:e>
                          <m:r>
                            <w:rPr>
                              <w:rFonts w:ascii="Cambria Math" w:hAnsi="Cambria Math" w:cs="Times New Roman"/>
                              <w:color w:val="000000"/>
                            </w:rPr>
                            <m:t>L</m:t>
                          </m:r>
                        </m:e>
                        <m:sub>
                          <m:r>
                            <m:rPr>
                              <m:sty m:val="p"/>
                            </m:rPr>
                            <w:rPr>
                              <w:rFonts w:ascii="Cambria Math" w:hAnsi="Cambria Math" w:cs="Times New Roman"/>
                              <w:color w:val="000000"/>
                            </w:rPr>
                            <m:t>↑</m:t>
                          </m:r>
                        </m:sub>
                      </m:sSub>
                      <m:r>
                        <w:rPr>
                          <w:rFonts w:ascii="Cambria Math" w:hAnsi="Cambria Math" w:cs="Times New Roman"/>
                          <w:color w:val="000000"/>
                        </w:rPr>
                        <m:t>-τ</m:t>
                      </m:r>
                      <m:d>
                        <m:dPr>
                          <m:ctrlPr>
                            <w:rPr>
                              <w:rFonts w:ascii="Cambria Math" w:hAnsi="Cambria Math" w:cs="Times New Roman"/>
                              <w:i/>
                              <w:iCs/>
                              <w:color w:val="000000"/>
                            </w:rPr>
                          </m:ctrlPr>
                        </m:dPr>
                        <m:e>
                          <m:r>
                            <w:rPr>
                              <w:rFonts w:ascii="Cambria Math" w:hAnsi="Cambria Math" w:cs="Times New Roman"/>
                              <w:color w:val="000000"/>
                            </w:rPr>
                            <m:t>1-ε</m:t>
                          </m:r>
                        </m:e>
                      </m:d>
                      <m:sSub>
                        <m:sSubPr>
                          <m:ctrlPr>
                            <w:rPr>
                              <w:rFonts w:ascii="Cambria Math" w:hAnsi="Cambria Math" w:cs="Times New Roman"/>
                              <w:i/>
                              <w:iCs/>
                              <w:color w:val="000000"/>
                            </w:rPr>
                          </m:ctrlPr>
                        </m:sSubPr>
                        <m:e>
                          <m:r>
                            <w:rPr>
                              <w:rFonts w:ascii="Cambria Math" w:hAnsi="Cambria Math" w:cs="Times New Roman"/>
                              <w:color w:val="000000"/>
                            </w:rPr>
                            <m:t>L</m:t>
                          </m:r>
                        </m:e>
                        <m:sub>
                          <m:r>
                            <m:rPr>
                              <m:sty m:val="p"/>
                            </m:rPr>
                            <w:rPr>
                              <w:rFonts w:ascii="Cambria Math" w:hAnsi="Cambria Math" w:cs="Times New Roman"/>
                              <w:color w:val="000000"/>
                            </w:rPr>
                            <m:t>↓</m:t>
                          </m:r>
                        </m:sub>
                      </m:sSub>
                    </m:e>
                  </m:d>
                  <m:ctrlPr>
                    <w:rPr>
                      <w:rFonts w:ascii="Cambria Math" w:hAnsi="Cambria Math" w:cs="Times New Roman"/>
                      <w:i/>
                      <w:iCs/>
                      <w:color w:val="000000"/>
                    </w:rPr>
                  </m:ctrlPr>
                </m:num>
                <m:den>
                  <m:r>
                    <w:rPr>
                      <w:rFonts w:ascii="Cambria Math" w:hAnsi="Cambria Math" w:cs="Times New Roman"/>
                      <w:color w:val="000000"/>
                    </w:rPr>
                    <m:t>τε</m:t>
                  </m:r>
                  <m:ctrlPr>
                    <w:rPr>
                      <w:rFonts w:ascii="Cambria Math" w:hAnsi="Cambria Math" w:cs="Times New Roman"/>
                      <w:i/>
                      <w:iCs/>
                      <w:color w:val="000000"/>
                    </w:rPr>
                  </m:ctrlPr>
                </m:den>
              </m:f>
              <m:r>
                <w:rPr>
                  <w:rFonts w:ascii="Cambria Math" w:hAnsi="Cambria Math" w:cs="Times New Roman"/>
                  <w:color w:val="000000"/>
                </w:rPr>
                <m:t>#</m:t>
              </m:r>
              <m:d>
                <m:dPr>
                  <m:begChr m:val="（"/>
                  <m:endChr m:val="）"/>
                  <m:ctrlPr>
                    <w:rPr>
                      <w:rFonts w:ascii="Cambria Math" w:hAnsi="Cambria Math" w:cs="Times New Roman"/>
                      <w:color w:val="000000"/>
                    </w:rPr>
                  </m:ctrlPr>
                </m:dPr>
                <m:e>
                  <m:r>
                    <m:rPr>
                      <m:sty m:val="p"/>
                    </m:rPr>
                    <w:rPr>
                      <w:rFonts w:ascii="Cambria Math" w:hAnsi="Cambria Math" w:cs="Times New Roman"/>
                      <w:color w:val="000000"/>
                    </w:rPr>
                    <m:t>2.8</m:t>
                  </m:r>
                </m:e>
              </m:d>
            </m:e>
          </m:eqArr>
        </m:oMath>
      </m:oMathPara>
    </w:p>
    <w:p w14:paraId="28FFCB54" w14:textId="77777777" w:rsidR="00D46586" w:rsidRDefault="00000000">
      <w:pPr>
        <w:tabs>
          <w:tab w:val="left" w:pos="4305"/>
          <w:tab w:val="left" w:pos="8610"/>
        </w:tabs>
        <w:spacing w:before="40" w:after="40" w:line="288" w:lineRule="auto"/>
        <w:ind w:left="480"/>
        <w:jc w:val="left"/>
        <w:rPr>
          <w:rFonts w:cs="Times New Roman"/>
          <w:color w:val="000000"/>
        </w:rPr>
      </w:pPr>
      <m:oMathPara>
        <m:oMath>
          <m:eqArr>
            <m:eqArrPr>
              <m:maxDist m:val="1"/>
              <m:ctrlPr>
                <w:rPr>
                  <w:rFonts w:ascii="Cambria Math" w:hAnsi="Cambria Math" w:cs="Times New Roman"/>
                  <w:i/>
                  <w:iCs/>
                  <w:color w:val="000000"/>
                </w:rPr>
              </m:ctrlPr>
            </m:eqArrPr>
            <m:e>
              <m:sSub>
                <m:sSubPr>
                  <m:ctrlPr>
                    <w:rPr>
                      <w:rFonts w:ascii="Cambria Math" w:hAnsi="Cambria Math" w:cs="Times New Roman"/>
                      <w:i/>
                      <w:color w:val="000000"/>
                    </w:rPr>
                  </m:ctrlPr>
                </m:sSubPr>
                <m:e>
                  <m:r>
                    <w:rPr>
                      <w:rFonts w:ascii="Cambria Math" w:hAnsi="Cambria Math" w:cs="Times New Roman"/>
                      <w:color w:val="000000"/>
                    </w:rPr>
                    <m:t>L</m:t>
                  </m:r>
                </m:e>
                <m:sub>
                  <m:r>
                    <w:rPr>
                      <w:rFonts w:ascii="Cambria Math" w:hAnsi="Cambria Math" w:cs="Times New Roman"/>
                      <w:color w:val="000000"/>
                    </w:rPr>
                    <m:t>λ</m:t>
                  </m:r>
                </m:sub>
              </m:sSub>
              <m:r>
                <m:rPr>
                  <m:sty m:val="p"/>
                </m:rPr>
                <w:rPr>
                  <w:rFonts w:ascii="Cambria Math" w:hAnsi="Cambria Math" w:cs="Times New Roman"/>
                  <w:color w:val="000000"/>
                </w:rPr>
                <m:t>=</m:t>
              </m:r>
              <m:r>
                <m:rPr>
                  <m:nor/>
                </m:rPr>
                <w:rPr>
                  <w:rFonts w:cs="Times New Roman"/>
                  <w:i/>
                  <w:color w:val="000000"/>
                </w:rPr>
                <m:t>gain</m:t>
              </m:r>
              <m:r>
                <m:rPr>
                  <m:sty m:val="p"/>
                </m:rPr>
                <w:rPr>
                  <w:rFonts w:ascii="Cambria Math" w:hAnsi="Cambria Math" w:cs="Times New Roman"/>
                  <w:color w:val="000000"/>
                </w:rPr>
                <m:t>×</m:t>
              </m:r>
              <m:r>
                <m:rPr>
                  <m:nor/>
                </m:rPr>
                <w:rPr>
                  <w:rFonts w:cs="Times New Roman"/>
                  <w:i/>
                  <w:color w:val="000000"/>
                </w:rPr>
                <m:t>DN</m:t>
              </m:r>
              <m:r>
                <m:rPr>
                  <m:sty m:val="p"/>
                </m:rPr>
                <w:rPr>
                  <w:rFonts w:ascii="Cambria Math" w:hAnsi="Cambria Math" w:cs="Times New Roman"/>
                  <w:color w:val="000000"/>
                </w:rPr>
                <m:t>+</m:t>
              </m:r>
              <m:r>
                <m:rPr>
                  <m:nor/>
                </m:rPr>
                <w:rPr>
                  <w:rFonts w:cs="Times New Roman"/>
                  <w:i/>
                  <w:color w:val="000000"/>
                </w:rPr>
                <m:t>bias</m:t>
              </m:r>
              <m:r>
                <w:rPr>
                  <w:rFonts w:ascii="Cambria Math" w:hAnsi="Cambria Math" w:cs="Times New Roman"/>
                  <w:color w:val="000000"/>
                </w:rPr>
                <m:t>#</m:t>
              </m:r>
              <m:d>
                <m:dPr>
                  <m:begChr m:val="（"/>
                  <m:endChr m:val="）"/>
                  <m:ctrlPr>
                    <w:rPr>
                      <w:rFonts w:ascii="Cambria Math" w:hAnsi="Cambria Math" w:cs="Times New Roman"/>
                      <w:color w:val="000000"/>
                    </w:rPr>
                  </m:ctrlPr>
                </m:dPr>
                <m:e>
                  <m:r>
                    <m:rPr>
                      <m:sty m:val="p"/>
                    </m:rPr>
                    <w:rPr>
                      <w:rFonts w:ascii="Cambria Math" w:hAnsi="Cambria Math" w:cs="Times New Roman"/>
                      <w:color w:val="000000"/>
                    </w:rPr>
                    <m:t>2.9</m:t>
                  </m:r>
                </m:e>
              </m:d>
              <m:ctrlPr>
                <w:rPr>
                  <w:rFonts w:ascii="Cambria Math" w:hAnsi="Cambria Math" w:cs="Times New Roman"/>
                  <w:i/>
                  <w:color w:val="000000"/>
                </w:rPr>
              </m:ctrlPr>
            </m:e>
          </m:eqArr>
        </m:oMath>
      </m:oMathPara>
    </w:p>
    <w:p w14:paraId="782819C6" w14:textId="77777777" w:rsidR="00D46586" w:rsidRDefault="00000000">
      <w:pPr>
        <w:tabs>
          <w:tab w:val="left" w:pos="4305"/>
          <w:tab w:val="left" w:pos="8610"/>
        </w:tabs>
        <w:spacing w:before="40" w:after="40" w:line="288" w:lineRule="auto"/>
        <w:ind w:left="480"/>
        <w:jc w:val="left"/>
        <w:rPr>
          <w:rFonts w:cs="Times New Roman"/>
          <w:color w:val="000000"/>
        </w:rPr>
      </w:pPr>
      <m:oMath>
        <m:sSub>
          <m:sSubPr>
            <m:ctrlPr>
              <w:rPr>
                <w:rFonts w:ascii="Cambria Math" w:hAnsi="Cambria Math" w:cs="Times New Roman"/>
                <w:i/>
                <w:color w:val="000000"/>
              </w:rPr>
            </m:ctrlPr>
          </m:sSubPr>
          <m:e>
            <m:r>
              <w:rPr>
                <w:rFonts w:ascii="Cambria Math" w:hAnsi="Cambria Math" w:cs="Times New Roman"/>
                <w:color w:val="000000"/>
              </w:rPr>
              <m:t>T</m:t>
            </m:r>
          </m:e>
          <m:sub>
            <m:r>
              <w:rPr>
                <w:rFonts w:ascii="Cambria Math" w:hAnsi="Cambria Math" w:cs="Times New Roman"/>
                <w:color w:val="000000"/>
              </w:rPr>
              <m:t>s</m:t>
            </m:r>
          </m:sub>
        </m:sSub>
      </m:oMath>
      <w:r>
        <w:rPr>
          <w:rFonts w:cs="Times New Roman" w:hint="eastAsia"/>
          <w:color w:val="000000"/>
        </w:rPr>
        <w:t>用普朗克公式的函数获取：</w:t>
      </w:r>
    </w:p>
    <w:p w14:paraId="3571ACFA" w14:textId="77777777" w:rsidR="00D46586" w:rsidRDefault="00000000">
      <w:pPr>
        <w:tabs>
          <w:tab w:val="left" w:pos="4305"/>
          <w:tab w:val="left" w:pos="8610"/>
        </w:tabs>
        <w:spacing w:before="40" w:after="40" w:line="288" w:lineRule="auto"/>
        <w:ind w:left="480"/>
        <w:jc w:val="left"/>
        <w:rPr>
          <w:rFonts w:cs="Times New Roman"/>
          <w:color w:val="000000"/>
        </w:rPr>
      </w:pPr>
      <m:oMathPara>
        <m:oMath>
          <m:eqArr>
            <m:eqArrPr>
              <m:maxDist m:val="1"/>
              <m:ctrlPr>
                <w:rPr>
                  <w:rFonts w:ascii="Cambria Math" w:hAnsi="Cambria Math" w:cs="Times New Roman"/>
                  <w:i/>
                  <w:color w:val="000000"/>
                </w:rPr>
              </m:ctrlPr>
            </m:eqArrPr>
            <m:e>
              <m:sSub>
                <m:sSubPr>
                  <m:ctrlPr>
                    <w:rPr>
                      <w:rFonts w:ascii="Cambria Math" w:hAnsi="Cambria Math" w:cs="Times New Roman"/>
                      <w:i/>
                      <w:color w:val="000000"/>
                    </w:rPr>
                  </m:ctrlPr>
                </m:sSubPr>
                <m:e>
                  <m:r>
                    <w:rPr>
                      <w:rFonts w:ascii="Cambria Math" w:hAnsi="Cambria Math" w:cs="Times New Roman"/>
                      <w:color w:val="000000"/>
                    </w:rPr>
                    <m:t>T</m:t>
                  </m:r>
                </m:e>
                <m:sub>
                  <m:r>
                    <w:rPr>
                      <w:rFonts w:ascii="Cambria Math" w:hAnsi="Cambria Math" w:cs="Times New Roman"/>
                      <w:color w:val="000000"/>
                    </w:rPr>
                    <m:t>S</m:t>
                  </m:r>
                </m:sub>
              </m:sSub>
              <m:r>
                <w:rPr>
                  <w:rFonts w:ascii="Cambria Math" w:hAnsi="Cambria Math" w:cs="Times New Roman"/>
                  <w:color w:val="000000"/>
                </w:rPr>
                <m:t>=</m:t>
              </m:r>
              <m:f>
                <m:fPr>
                  <m:ctrlPr>
                    <w:rPr>
                      <w:rFonts w:ascii="Cambria Math" w:hAnsi="Cambria Math" w:cs="Times New Roman"/>
                      <w:color w:val="000000"/>
                    </w:rPr>
                  </m:ctrlPr>
                </m:fPr>
                <m:num>
                  <m:sSub>
                    <m:sSubPr>
                      <m:ctrlPr>
                        <w:rPr>
                          <w:rFonts w:ascii="Cambria Math" w:hAnsi="Cambria Math" w:cs="Times New Roman"/>
                          <w:i/>
                          <w:color w:val="000000"/>
                        </w:rPr>
                      </m:ctrlPr>
                    </m:sSubPr>
                    <m:e>
                      <m:r>
                        <w:rPr>
                          <w:rFonts w:ascii="Cambria Math" w:hAnsi="Cambria Math" w:cs="Times New Roman"/>
                          <w:color w:val="000000"/>
                        </w:rPr>
                        <m:t>K</m:t>
                      </m:r>
                    </m:e>
                    <m:sub>
                      <m:r>
                        <w:rPr>
                          <w:rFonts w:ascii="Cambria Math" w:hAnsi="Cambria Math" w:cs="Times New Roman"/>
                          <w:color w:val="000000"/>
                        </w:rPr>
                        <m:t>2</m:t>
                      </m:r>
                    </m:sub>
                  </m:sSub>
                  <m:ctrlPr>
                    <w:rPr>
                      <w:rFonts w:ascii="Cambria Math" w:hAnsi="Cambria Math" w:cs="Times New Roman"/>
                      <w:i/>
                      <w:color w:val="000000"/>
                    </w:rPr>
                  </m:ctrlPr>
                </m:num>
                <m:den>
                  <m:func>
                    <m:funcPr>
                      <m:ctrlPr>
                        <w:rPr>
                          <w:rFonts w:ascii="Cambria Math" w:hAnsi="Cambria Math" w:cs="Times New Roman"/>
                          <w:color w:val="000000"/>
                        </w:rPr>
                      </m:ctrlPr>
                    </m:funcPr>
                    <m:fName>
                      <m:r>
                        <m:rPr>
                          <m:sty m:val="p"/>
                        </m:rPr>
                        <w:rPr>
                          <w:rFonts w:ascii="Cambria Math" w:hAnsi="Cambria Math" w:cs="Times New Roman"/>
                          <w:color w:val="000000"/>
                        </w:rPr>
                        <m:t>ln</m:t>
                      </m:r>
                      <m:ctrlPr>
                        <w:rPr>
                          <w:rFonts w:ascii="Cambria Math" w:hAnsi="Cambria Math" w:cs="Times New Roman"/>
                          <w:i/>
                          <w:color w:val="000000"/>
                        </w:rPr>
                      </m:ctrlPr>
                    </m:fName>
                    <m:e>
                      <m:d>
                        <m:dPr>
                          <m:ctrlPr>
                            <w:rPr>
                              <w:rFonts w:ascii="Cambria Math" w:hAnsi="Cambria Math" w:cs="Times New Roman"/>
                              <w:color w:val="000000"/>
                            </w:rPr>
                          </m:ctrlPr>
                        </m:dPr>
                        <m:e>
                          <m:f>
                            <m:fPr>
                              <m:ctrlPr>
                                <w:rPr>
                                  <w:rFonts w:ascii="Cambria Math" w:hAnsi="Cambria Math" w:cs="Times New Roman"/>
                                  <w:color w:val="000000"/>
                                </w:rPr>
                              </m:ctrlPr>
                            </m:fPr>
                            <m:num>
                              <m:sSub>
                                <m:sSubPr>
                                  <m:ctrlPr>
                                    <w:rPr>
                                      <w:rFonts w:ascii="Cambria Math" w:hAnsi="Cambria Math" w:cs="Times New Roman"/>
                                      <w:i/>
                                      <w:color w:val="000000"/>
                                    </w:rPr>
                                  </m:ctrlPr>
                                </m:sSubPr>
                                <m:e>
                                  <m:r>
                                    <w:rPr>
                                      <w:rFonts w:ascii="Cambria Math" w:hAnsi="Cambria Math" w:cs="Times New Roman"/>
                                      <w:color w:val="000000"/>
                                    </w:rPr>
                                    <m:t>K</m:t>
                                  </m:r>
                                </m:e>
                                <m:sub>
                                  <m:r>
                                    <w:rPr>
                                      <w:rFonts w:ascii="Cambria Math" w:hAnsi="Cambria Math" w:cs="Times New Roman"/>
                                      <w:color w:val="000000"/>
                                    </w:rPr>
                                    <m:t>1</m:t>
                                  </m:r>
                                </m:sub>
                              </m:sSub>
                              <m:ctrlPr>
                                <w:rPr>
                                  <w:rFonts w:ascii="Cambria Math" w:hAnsi="Cambria Math" w:cs="Times New Roman"/>
                                  <w:i/>
                                  <w:color w:val="000000"/>
                                </w:rPr>
                              </m:ctrlPr>
                            </m:num>
                            <m:den>
                              <m:r>
                                <w:rPr>
                                  <w:rFonts w:ascii="Cambria Math" w:hAnsi="Cambria Math" w:cs="Times New Roman"/>
                                  <w:color w:val="000000"/>
                                </w:rPr>
                                <m:t>B</m:t>
                              </m:r>
                              <m:d>
                                <m:dPr>
                                  <m:ctrlPr>
                                    <w:rPr>
                                      <w:rFonts w:ascii="Cambria Math" w:hAnsi="Cambria Math" w:cs="Times New Roman"/>
                                      <w:i/>
                                      <w:color w:val="000000"/>
                                    </w:rPr>
                                  </m:ctrlPr>
                                </m:dPr>
                                <m:e>
                                  <m:sSub>
                                    <m:sSubPr>
                                      <m:ctrlPr>
                                        <w:rPr>
                                          <w:rFonts w:ascii="Cambria Math" w:hAnsi="Cambria Math" w:cs="Times New Roman"/>
                                          <w:i/>
                                          <w:color w:val="000000"/>
                                        </w:rPr>
                                      </m:ctrlPr>
                                    </m:sSubPr>
                                    <m:e>
                                      <m:r>
                                        <w:rPr>
                                          <w:rFonts w:ascii="Cambria Math" w:hAnsi="Cambria Math" w:cs="Times New Roman"/>
                                          <w:color w:val="000000"/>
                                        </w:rPr>
                                        <m:t>T</m:t>
                                      </m:r>
                                    </m:e>
                                    <m:sub>
                                      <m:r>
                                        <w:rPr>
                                          <w:rFonts w:ascii="Cambria Math" w:hAnsi="Cambria Math" w:cs="Times New Roman"/>
                                          <w:color w:val="000000"/>
                                        </w:rPr>
                                        <m:t>S</m:t>
                                      </m:r>
                                    </m:sub>
                                  </m:sSub>
                                </m:e>
                              </m:d>
                              <m:ctrlPr>
                                <w:rPr>
                                  <w:rFonts w:ascii="Cambria Math" w:hAnsi="Cambria Math" w:cs="Times New Roman"/>
                                  <w:i/>
                                  <w:color w:val="000000"/>
                                </w:rPr>
                              </m:ctrlPr>
                            </m:den>
                          </m:f>
                          <m:r>
                            <w:rPr>
                              <w:rFonts w:ascii="Cambria Math" w:hAnsi="Cambria Math" w:cs="Times New Roman"/>
                              <w:color w:val="000000"/>
                            </w:rPr>
                            <m:t>+1</m:t>
                          </m:r>
                          <m:ctrlPr>
                            <w:rPr>
                              <w:rFonts w:ascii="Cambria Math" w:hAnsi="Cambria Math" w:cs="Times New Roman"/>
                              <w:i/>
                              <w:color w:val="000000"/>
                            </w:rPr>
                          </m:ctrlPr>
                        </m:e>
                      </m:d>
                    </m:e>
                  </m:func>
                  <m:ctrlPr>
                    <w:rPr>
                      <w:rFonts w:ascii="Cambria Math" w:hAnsi="Cambria Math" w:cs="Times New Roman"/>
                      <w:i/>
                      <w:color w:val="000000"/>
                    </w:rPr>
                  </m:ctrlPr>
                </m:den>
              </m:f>
              <m:r>
                <w:rPr>
                  <w:rFonts w:ascii="Cambria Math" w:hAnsi="Cambria Math" w:cs="Times New Roman"/>
                  <w:color w:val="000000"/>
                </w:rPr>
                <m:t>#</m:t>
              </m:r>
              <m:d>
                <m:dPr>
                  <m:begChr m:val="（"/>
                  <m:endChr m:val="）"/>
                  <m:ctrlPr>
                    <w:rPr>
                      <w:rFonts w:ascii="Cambria Math" w:hAnsi="Cambria Math" w:cs="Times New Roman"/>
                      <w:iCs/>
                      <w:color w:val="000000"/>
                    </w:rPr>
                  </m:ctrlPr>
                </m:dPr>
                <m:e>
                  <m:r>
                    <m:rPr>
                      <m:sty m:val="p"/>
                    </m:rPr>
                    <w:rPr>
                      <w:rFonts w:ascii="Cambria Math" w:hAnsi="Cambria Math" w:cs="Times New Roman"/>
                      <w:color w:val="000000"/>
                    </w:rPr>
                    <m:t>2.10</m:t>
                  </m:r>
                </m:e>
              </m:d>
            </m:e>
          </m:eqArr>
        </m:oMath>
      </m:oMathPara>
    </w:p>
    <w:p w14:paraId="6505C9F6" w14:textId="77777777" w:rsidR="00D46586" w:rsidRDefault="00000000">
      <w:pPr>
        <w:pStyle w:val="a3"/>
        <w:ind w:left="480" w:firstLine="480"/>
      </w:pPr>
      <w:r>
        <w:rPr>
          <w:rFonts w:hint="eastAsia"/>
        </w:rPr>
        <w:t>上式中：</w:t>
      </w:r>
      <m:oMath>
        <m:r>
          <w:rPr>
            <w:rFonts w:ascii="Cambria Math" w:hAnsi="Cambria Math" w:cs="Times New Roman"/>
          </w:rPr>
          <m:t>ε</m:t>
        </m:r>
      </m:oMath>
      <w:r>
        <w:rPr>
          <w:rFonts w:hint="eastAsia"/>
        </w:rPr>
        <w:t>为地表比辐射率；</w:t>
      </w:r>
      <w:r>
        <w:rPr>
          <w:rFonts w:cs="Times New Roman" w:hint="eastAsia"/>
          <w:i/>
        </w:rPr>
        <w:t>B</w:t>
      </w:r>
      <w:r>
        <w:rPr>
          <w:rFonts w:cs="Times New Roman" w:hint="eastAsia"/>
          <w:iCs/>
        </w:rPr>
        <w:t>(</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sub>
        </m:sSub>
      </m:oMath>
      <w:r>
        <w:rPr>
          <w:rFonts w:cs="Times New Roman" w:hint="eastAsia"/>
          <w:iCs/>
        </w:rPr>
        <w:t>)</w:t>
      </w:r>
      <w:r>
        <w:rPr>
          <w:rFonts w:hint="eastAsia"/>
        </w:rPr>
        <w:t>为黑体热辐射亮度；</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sub>
        </m:sSub>
      </m:oMath>
      <w:r>
        <w:rPr>
          <w:rFonts w:hint="eastAsia"/>
        </w:rPr>
        <w:t>为地表真实温度（</w:t>
      </w:r>
      <w:r>
        <w:rPr>
          <w:rFonts w:hint="eastAsia"/>
        </w:rPr>
        <w:t>K</w:t>
      </w:r>
      <w:r>
        <w:rPr>
          <w:rFonts w:hint="eastAsia"/>
        </w:rPr>
        <w:t>）；</w:t>
      </w:r>
      <w:r>
        <w:rPr>
          <w:rFonts w:hint="eastAsia"/>
          <w:i/>
          <w:iCs/>
        </w:rPr>
        <w:t>K</w:t>
      </w:r>
      <w:r>
        <w:rPr>
          <w:rFonts w:hint="eastAsia"/>
          <w:vertAlign w:val="subscript"/>
        </w:rPr>
        <w:t>1</w:t>
      </w:r>
      <w:r>
        <w:rPr>
          <w:rFonts w:hint="eastAsia"/>
        </w:rPr>
        <w:t>和</w:t>
      </w:r>
      <w:r>
        <w:rPr>
          <w:rFonts w:hint="eastAsia"/>
          <w:i/>
          <w:iCs/>
        </w:rPr>
        <w:t>K</w:t>
      </w:r>
      <w:r>
        <w:rPr>
          <w:rFonts w:hint="eastAsia"/>
          <w:vertAlign w:val="subscript"/>
        </w:rPr>
        <w:t>2</w:t>
      </w:r>
      <w:r>
        <w:rPr>
          <w:rFonts w:hint="eastAsia"/>
        </w:rPr>
        <w:t>为定标参数。对于</w:t>
      </w:r>
      <w:r>
        <w:rPr>
          <w:rFonts w:ascii="TimesNewRoman" w:hAnsi="TimesNewRoman"/>
        </w:rPr>
        <w:t>Landsat</w:t>
      </w:r>
      <w:r>
        <w:rPr>
          <w:rFonts w:ascii="TimesNewRoman" w:hAnsi="TimesNewRoman" w:hint="eastAsia"/>
        </w:rPr>
        <w:t xml:space="preserve"> </w:t>
      </w:r>
      <w:r>
        <w:rPr>
          <w:rFonts w:ascii="TimesNewRoman" w:hAnsi="TimesNewRoman"/>
        </w:rPr>
        <w:t>5</w:t>
      </w:r>
      <w:r>
        <w:rPr>
          <w:rFonts w:hint="eastAsia"/>
        </w:rPr>
        <w:t>数据，</w:t>
      </w:r>
      <w:bookmarkStart w:id="64" w:name="_Hlk198886321"/>
      <w:r>
        <w:rPr>
          <w:rFonts w:hint="eastAsia"/>
          <w:i/>
          <w:iCs/>
        </w:rPr>
        <w:t xml:space="preserve">gain </w:t>
      </w:r>
      <w:r>
        <w:rPr>
          <w:rFonts w:hint="eastAsia"/>
        </w:rPr>
        <w:t>= 0.055376</w:t>
      </w:r>
      <w:r>
        <w:rPr>
          <w:rFonts w:hint="eastAsia"/>
          <w:i/>
          <w:iCs/>
        </w:rPr>
        <w:t>W</w:t>
      </w:r>
      <w:r>
        <w:rPr>
          <w:rFonts w:hint="eastAsia"/>
        </w:rPr>
        <w:t>/(</w:t>
      </w:r>
      <w:r>
        <w:rPr>
          <w:rFonts w:hint="eastAsia"/>
          <w:i/>
          <w:iCs/>
        </w:rPr>
        <w:t>m</w:t>
      </w:r>
      <w:r>
        <w:rPr>
          <w:rFonts w:hint="eastAsia"/>
          <w:i/>
          <w:iCs/>
          <w:vertAlign w:val="superscript"/>
        </w:rPr>
        <w:t>2</w:t>
      </w:r>
      <w:r>
        <w:rPr>
          <w:rFonts w:hint="eastAsia"/>
          <w:i/>
          <w:iCs/>
        </w:rPr>
        <w:t>.Sr.um</w:t>
      </w:r>
      <w:r>
        <w:rPr>
          <w:rFonts w:hint="eastAsia"/>
        </w:rPr>
        <w:t>)</w:t>
      </w:r>
      <w:bookmarkEnd w:id="64"/>
      <w:r>
        <w:rPr>
          <w:rFonts w:hint="eastAsia"/>
        </w:rPr>
        <w:t>，</w:t>
      </w:r>
      <w:r>
        <w:rPr>
          <w:rFonts w:hint="eastAsia"/>
          <w:i/>
          <w:iCs/>
        </w:rPr>
        <w:t xml:space="preserve"> </w:t>
      </w:r>
      <w:bookmarkStart w:id="65" w:name="_Hlk198914093"/>
      <w:r>
        <w:rPr>
          <w:rFonts w:hint="eastAsia"/>
          <w:i/>
          <w:iCs/>
        </w:rPr>
        <w:t xml:space="preserve">Bias </w:t>
      </w:r>
      <w:r>
        <w:rPr>
          <w:rFonts w:hint="eastAsia"/>
        </w:rPr>
        <w:t>= 1.18</w:t>
      </w:r>
      <w:r>
        <w:rPr>
          <w:rFonts w:hint="eastAsia"/>
          <w:i/>
          <w:iCs/>
        </w:rPr>
        <w:t>W</w:t>
      </w:r>
      <w:r>
        <w:rPr>
          <w:rFonts w:hint="eastAsia"/>
        </w:rPr>
        <w:t>/(</w:t>
      </w:r>
      <w:r>
        <w:rPr>
          <w:rFonts w:hint="eastAsia"/>
          <w:i/>
          <w:iCs/>
        </w:rPr>
        <w:t>m</w:t>
      </w:r>
      <w:r>
        <w:rPr>
          <w:rFonts w:hint="eastAsia"/>
          <w:i/>
          <w:iCs/>
          <w:vertAlign w:val="superscript"/>
        </w:rPr>
        <w:t>2</w:t>
      </w:r>
      <w:r>
        <w:rPr>
          <w:rFonts w:hint="eastAsia"/>
          <w:i/>
          <w:iCs/>
        </w:rPr>
        <w:t>.Sr.um</w:t>
      </w:r>
      <w:r>
        <w:rPr>
          <w:rFonts w:hint="eastAsia"/>
        </w:rPr>
        <w:t>)</w:t>
      </w:r>
      <w:bookmarkEnd w:id="65"/>
      <w:r>
        <w:rPr>
          <w:rFonts w:hint="eastAsia"/>
        </w:rPr>
        <w:t>，</w:t>
      </w:r>
      <w:r>
        <w:rPr>
          <w:rFonts w:hint="eastAsia"/>
          <w:i/>
          <w:iCs/>
        </w:rPr>
        <w:t xml:space="preserve"> K</w:t>
      </w:r>
      <w:r>
        <w:rPr>
          <w:rFonts w:hint="eastAsia"/>
          <w:vertAlign w:val="subscript"/>
        </w:rPr>
        <w:t>1</w:t>
      </w:r>
      <w:r>
        <w:rPr>
          <w:rFonts w:hint="eastAsia"/>
          <w:i/>
          <w:iCs/>
        </w:rPr>
        <w:t xml:space="preserve"> </w:t>
      </w:r>
      <w:r>
        <w:rPr>
          <w:rFonts w:hint="eastAsia"/>
        </w:rPr>
        <w:t>= 607.76</w:t>
      </w:r>
      <w:r>
        <w:rPr>
          <w:rFonts w:hint="eastAsia"/>
          <w:i/>
          <w:iCs/>
        </w:rPr>
        <w:t>W</w:t>
      </w:r>
      <w:r>
        <w:rPr>
          <w:rFonts w:hint="eastAsia"/>
        </w:rPr>
        <w:t>/(</w:t>
      </w:r>
      <w:r>
        <w:rPr>
          <w:rFonts w:hint="eastAsia"/>
          <w:i/>
          <w:iCs/>
        </w:rPr>
        <w:t>m</w:t>
      </w:r>
      <w:r>
        <w:rPr>
          <w:rFonts w:hint="eastAsia"/>
          <w:i/>
          <w:iCs/>
          <w:vertAlign w:val="superscript"/>
        </w:rPr>
        <w:t>2</w:t>
      </w:r>
      <w:r>
        <w:rPr>
          <w:rFonts w:hint="eastAsia"/>
          <w:i/>
          <w:iCs/>
        </w:rPr>
        <w:t>.Sr.um</w:t>
      </w:r>
      <w:r>
        <w:rPr>
          <w:rFonts w:hint="eastAsia"/>
        </w:rPr>
        <w:t>)</w:t>
      </w:r>
      <w:r>
        <w:rPr>
          <w:rFonts w:hint="eastAsia"/>
        </w:rPr>
        <w:t>，</w:t>
      </w:r>
      <w:r>
        <w:rPr>
          <w:rFonts w:hint="eastAsia"/>
          <w:i/>
          <w:iCs/>
        </w:rPr>
        <w:t xml:space="preserve"> K</w:t>
      </w:r>
      <w:r>
        <w:rPr>
          <w:rFonts w:hint="eastAsia"/>
          <w:vertAlign w:val="subscript"/>
        </w:rPr>
        <w:t>2</w:t>
      </w:r>
      <w:r>
        <w:rPr>
          <w:rFonts w:hint="eastAsia"/>
          <w:i/>
          <w:iCs/>
        </w:rPr>
        <w:t xml:space="preserve"> </w:t>
      </w:r>
      <w:r>
        <w:rPr>
          <w:rFonts w:hint="eastAsia"/>
        </w:rPr>
        <w:t>= 1260.56</w:t>
      </w:r>
      <w:r>
        <w:rPr>
          <w:rFonts w:hint="eastAsia"/>
          <w:i/>
          <w:iCs/>
        </w:rPr>
        <w:t>K</w:t>
      </w:r>
      <w:r>
        <w:rPr>
          <w:rFonts w:hint="eastAsia"/>
        </w:rPr>
        <w:t>；对于</w:t>
      </w:r>
      <w:r>
        <w:rPr>
          <w:rFonts w:ascii="TimesNewRoman" w:hAnsi="TimesNewRoman"/>
        </w:rPr>
        <w:t>Landsat 8</w:t>
      </w:r>
      <w:r>
        <w:rPr>
          <w:rFonts w:hint="eastAsia"/>
        </w:rPr>
        <w:t>数据，</w:t>
      </w:r>
      <w:r>
        <w:rPr>
          <w:rFonts w:hint="eastAsia"/>
          <w:i/>
          <w:iCs/>
        </w:rPr>
        <w:t xml:space="preserve">gain </w:t>
      </w:r>
      <w:r>
        <w:rPr>
          <w:rFonts w:hint="eastAsia"/>
        </w:rPr>
        <w:t>= 3.3420</w:t>
      </w:r>
      <w:r>
        <w:rPr>
          <w:rFonts w:hint="eastAsia"/>
          <w:i/>
          <w:iCs/>
        </w:rPr>
        <w:t>E</w:t>
      </w:r>
      <m:oMath>
        <m:r>
          <w:rPr>
            <w:rFonts w:ascii="Cambria Math" w:hAnsi="Cambria Math" w:cs="Times New Roman"/>
          </w:rPr>
          <m:t>-</m:t>
        </m:r>
      </m:oMath>
      <w:r>
        <w:rPr>
          <w:rFonts w:hint="eastAsia"/>
        </w:rPr>
        <w:t>04</w:t>
      </w:r>
      <w:r>
        <w:rPr>
          <w:rFonts w:hint="eastAsia"/>
          <w:i/>
          <w:iCs/>
        </w:rPr>
        <w:t>W</w:t>
      </w:r>
      <w:r>
        <w:rPr>
          <w:rFonts w:hint="eastAsia"/>
        </w:rPr>
        <w:t>/(</w:t>
      </w:r>
      <w:r>
        <w:rPr>
          <w:rFonts w:hint="eastAsia"/>
          <w:i/>
          <w:iCs/>
        </w:rPr>
        <w:t>m</w:t>
      </w:r>
      <w:r>
        <w:rPr>
          <w:rFonts w:hint="eastAsia"/>
          <w:i/>
          <w:iCs/>
          <w:vertAlign w:val="superscript"/>
        </w:rPr>
        <w:t>2</w:t>
      </w:r>
      <w:r>
        <w:rPr>
          <w:rFonts w:hint="eastAsia"/>
          <w:i/>
          <w:iCs/>
        </w:rPr>
        <w:t>.Sr.um</w:t>
      </w:r>
      <w:r>
        <w:rPr>
          <w:rFonts w:hint="eastAsia"/>
        </w:rPr>
        <w:t>)</w:t>
      </w:r>
      <w:r>
        <w:rPr>
          <w:rFonts w:hint="eastAsia"/>
        </w:rPr>
        <w:t>，</w:t>
      </w:r>
      <w:r>
        <w:rPr>
          <w:rFonts w:hint="eastAsia"/>
          <w:i/>
          <w:iCs/>
        </w:rPr>
        <w:t xml:space="preserve">Bias </w:t>
      </w:r>
      <w:r>
        <w:rPr>
          <w:rFonts w:hint="eastAsia"/>
        </w:rPr>
        <w:t>= 0.1</w:t>
      </w:r>
      <w:r>
        <w:rPr>
          <w:rFonts w:hint="eastAsia"/>
          <w:i/>
          <w:iCs/>
        </w:rPr>
        <w:t>W</w:t>
      </w:r>
      <w:r>
        <w:rPr>
          <w:rFonts w:hint="eastAsia"/>
        </w:rPr>
        <w:t>/(</w:t>
      </w:r>
      <w:r>
        <w:rPr>
          <w:rFonts w:hint="eastAsia"/>
          <w:i/>
          <w:iCs/>
        </w:rPr>
        <w:t>m</w:t>
      </w:r>
      <w:r>
        <w:rPr>
          <w:rFonts w:hint="eastAsia"/>
          <w:i/>
          <w:iCs/>
          <w:vertAlign w:val="superscript"/>
        </w:rPr>
        <w:t>2</w:t>
      </w:r>
      <w:r>
        <w:rPr>
          <w:rFonts w:hint="eastAsia"/>
          <w:i/>
          <w:iCs/>
        </w:rPr>
        <w:t>.Sr.um</w:t>
      </w:r>
      <w:r>
        <w:rPr>
          <w:rFonts w:hint="eastAsia"/>
        </w:rPr>
        <w:t>)</w:t>
      </w:r>
      <w:r>
        <w:rPr>
          <w:rFonts w:hint="eastAsia"/>
        </w:rPr>
        <w:t>，</w:t>
      </w:r>
      <w:r>
        <w:rPr>
          <w:rFonts w:hint="eastAsia"/>
          <w:i/>
          <w:iCs/>
        </w:rPr>
        <w:t xml:space="preserve"> K</w:t>
      </w:r>
      <w:r>
        <w:rPr>
          <w:rFonts w:hint="eastAsia"/>
          <w:vertAlign w:val="subscript"/>
        </w:rPr>
        <w:t>1</w:t>
      </w:r>
      <w:r>
        <w:rPr>
          <w:rFonts w:hint="eastAsia"/>
          <w:i/>
          <w:iCs/>
        </w:rPr>
        <w:t xml:space="preserve"> </w:t>
      </w:r>
      <w:r>
        <w:rPr>
          <w:rFonts w:hint="eastAsia"/>
        </w:rPr>
        <w:t>= 607.76</w:t>
      </w:r>
      <w:r>
        <w:rPr>
          <w:rFonts w:hint="eastAsia"/>
          <w:i/>
          <w:iCs/>
        </w:rPr>
        <w:t>W</w:t>
      </w:r>
      <w:r>
        <w:rPr>
          <w:rFonts w:hint="eastAsia"/>
        </w:rPr>
        <w:t>/(</w:t>
      </w:r>
      <w:r>
        <w:rPr>
          <w:rFonts w:hint="eastAsia"/>
          <w:i/>
          <w:iCs/>
        </w:rPr>
        <w:t>m</w:t>
      </w:r>
      <w:r>
        <w:rPr>
          <w:rFonts w:hint="eastAsia"/>
          <w:i/>
          <w:iCs/>
          <w:vertAlign w:val="superscript"/>
        </w:rPr>
        <w:t>2</w:t>
      </w:r>
      <w:r>
        <w:rPr>
          <w:rFonts w:hint="eastAsia"/>
          <w:i/>
          <w:iCs/>
        </w:rPr>
        <w:t>.Sr.um</w:t>
      </w:r>
      <w:r>
        <w:rPr>
          <w:rFonts w:hint="eastAsia"/>
        </w:rPr>
        <w:t>)</w:t>
      </w:r>
      <w:r>
        <w:rPr>
          <w:rFonts w:hint="eastAsia"/>
        </w:rPr>
        <w:t>，</w:t>
      </w:r>
      <w:r>
        <w:rPr>
          <w:rFonts w:hint="eastAsia"/>
          <w:i/>
          <w:iCs/>
        </w:rPr>
        <w:t xml:space="preserve"> K</w:t>
      </w:r>
      <w:r>
        <w:rPr>
          <w:rFonts w:hint="eastAsia"/>
          <w:vertAlign w:val="subscript"/>
        </w:rPr>
        <w:t>2</w:t>
      </w:r>
      <w:r>
        <w:rPr>
          <w:rFonts w:hint="eastAsia"/>
          <w:i/>
          <w:iCs/>
        </w:rPr>
        <w:t xml:space="preserve"> </w:t>
      </w:r>
      <w:r>
        <w:rPr>
          <w:rFonts w:hint="eastAsia"/>
        </w:rPr>
        <w:t>= 1321.0789</w:t>
      </w:r>
      <w:r>
        <w:rPr>
          <w:rFonts w:hint="eastAsia"/>
          <w:i/>
          <w:iCs/>
        </w:rPr>
        <w:t>K</w:t>
      </w:r>
      <w:r>
        <w:rPr>
          <w:rFonts w:hint="eastAsia"/>
        </w:rPr>
        <w:t>；</w:t>
      </w:r>
      <m:oMath>
        <m:r>
          <w:rPr>
            <w:rFonts w:ascii="Cambria Math" w:hAnsi="Cambria Math"/>
          </w:rPr>
          <m:t>τ</m:t>
        </m:r>
      </m:oMath>
      <w:r>
        <w:rPr>
          <w:rFonts w:hint="eastAsia"/>
        </w:rPr>
        <w:t>为大气在热红外波段的透过率，</w:t>
      </w:r>
      <m:oMath>
        <m:sSub>
          <m:sSubPr>
            <m:ctrlPr>
              <w:rPr>
                <w:rFonts w:ascii="Cambria Math" w:hAnsi="Cambria Math" w:cs="Times New Roman"/>
                <w:i/>
                <w:iCs/>
              </w:rPr>
            </m:ctrlPr>
          </m:sSubPr>
          <m:e>
            <m:r>
              <w:rPr>
                <w:rFonts w:ascii="Cambria Math" w:hAnsi="Cambria Math" w:cs="Times New Roman"/>
              </w:rPr>
              <m:t>L</m:t>
            </m:r>
          </m:e>
          <m:sub>
            <m:r>
              <m:rPr>
                <m:sty m:val="p"/>
              </m:rPr>
              <w:rPr>
                <w:rFonts w:ascii="Cambria Math" w:hAnsi="Cambria Math" w:cs="Times New Roman"/>
              </w:rPr>
              <m:t>↑</m:t>
            </m:r>
          </m:sub>
        </m:sSub>
      </m:oMath>
      <w:r>
        <w:rPr>
          <w:rFonts w:hint="eastAsia"/>
        </w:rPr>
        <w:t>和</w:t>
      </w:r>
      <m:oMath>
        <m:sSub>
          <m:sSubPr>
            <m:ctrlPr>
              <w:rPr>
                <w:rFonts w:ascii="Cambria Math" w:hAnsi="Cambria Math" w:cs="Times New Roman"/>
                <w:i/>
                <w:iCs/>
              </w:rPr>
            </m:ctrlPr>
          </m:sSubPr>
          <m:e>
            <m:r>
              <w:rPr>
                <w:rFonts w:ascii="Cambria Math" w:hAnsi="Cambria Math" w:cs="Times New Roman"/>
              </w:rPr>
              <m:t>L</m:t>
            </m:r>
          </m:e>
          <m:sub>
            <m:r>
              <m:rPr>
                <m:sty m:val="p"/>
              </m:rPr>
              <w:rPr>
                <w:rFonts w:ascii="Cambria Math" w:hAnsi="Cambria Math" w:cs="Times New Roman"/>
              </w:rPr>
              <m:t>↓</m:t>
            </m:r>
          </m:sub>
        </m:sSub>
      </m:oMath>
      <w:r>
        <w:rPr>
          <w:rFonts w:hint="eastAsia"/>
        </w:rPr>
        <w:t>为大气向上、下辐射亮度，我们可以根据遥感影像获取时间及中心经纬度在</w:t>
      </w:r>
      <w:r>
        <w:rPr>
          <w:rFonts w:ascii="TimesNewRoman" w:hAnsi="TimesNewRoman"/>
        </w:rPr>
        <w:t>NASA</w:t>
      </w:r>
      <w:r>
        <w:rPr>
          <w:rFonts w:hint="eastAsia"/>
        </w:rPr>
        <w:t>提供的网站（</w:t>
      </w:r>
      <w:r>
        <w:rPr>
          <w:rFonts w:ascii="TimesNewRoman" w:hAnsi="TimesNewRoman"/>
        </w:rPr>
        <w:t>http://atmcorr.gsfc.nasa.gov</w:t>
      </w:r>
      <w:r>
        <w:rPr>
          <w:rFonts w:hint="eastAsia"/>
        </w:rPr>
        <w:t>）查询相关大气剖面参数。</w:t>
      </w:r>
    </w:p>
    <w:p w14:paraId="2A21C5B9" w14:textId="77777777" w:rsidR="00D46586" w:rsidRDefault="00000000">
      <w:pPr>
        <w:pStyle w:val="a3"/>
        <w:ind w:left="480" w:firstLine="480"/>
      </w:pPr>
      <w:r>
        <w:t>在推算地表温度的时候，地表比辐射率是一个</w:t>
      </w:r>
      <w:proofErr w:type="gramStart"/>
      <w:r>
        <w:t>很</w:t>
      </w:r>
      <w:proofErr w:type="gramEnd"/>
      <w:r>
        <w:t>关键的参数；它的数值，主要是由地表物质构成和传感器的波段特点这两方面共同决定的。使用</w:t>
      </w:r>
      <w:r>
        <w:t>Landsat</w:t>
      </w:r>
      <w:r>
        <w:t>数据时，像植被、水体、土壤这些常见的地表类型，它们的比辐射率一般都在</w:t>
      </w:r>
      <w:r>
        <w:t>0.93</w:t>
      </w:r>
      <w:r>
        <w:t>到</w:t>
      </w:r>
      <w:r>
        <w:t>0.99</w:t>
      </w:r>
      <w:r>
        <w:t>的范围之内。从遥感像元的尺度来看，地表可以被简单划分成三大类：植被覆盖区，这里面包括了林地和农田等；水体；以及居民区，它包含了城镇建筑和道路这类人工地物，而植被覆盖度的计算公式列在下面：</w:t>
      </w:r>
    </w:p>
    <w:p w14:paraId="6CAB1E80" w14:textId="77777777" w:rsidR="00D46586" w:rsidRDefault="00000000">
      <w:pPr>
        <w:pStyle w:val="a3"/>
        <w:ind w:left="480" w:firstLine="480"/>
        <w:rPr>
          <w:iCs/>
        </w:rPr>
      </w:pPr>
      <m:oMathPara>
        <m:oMath>
          <m:eqArr>
            <m:eqArrPr>
              <m:maxDist m:val="1"/>
              <m:ctrlPr>
                <w:rPr>
                  <w:rFonts w:ascii="Cambria Math" w:hAnsi="Cambria Math" w:cs="Times New Roman"/>
                  <w:i/>
                  <w:iCs/>
                </w:rPr>
              </m:ctrlPr>
            </m:eqArr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iCs/>
                    </w:rPr>
                  </m:ctrlPr>
                </m:fPr>
                <m:num>
                  <m:r>
                    <w:rPr>
                      <w:rFonts w:ascii="Cambria Math" w:hAnsi="Cambria Math" w:cs="Times New Roman"/>
                    </w:rPr>
                    <m:t>NDVI-NDV</m:t>
                  </m:r>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soil</m:t>
                      </m:r>
                    </m:sub>
                  </m:sSub>
                  <m:ctrlPr>
                    <w:rPr>
                      <w:rFonts w:ascii="Cambria Math" w:hAnsi="Cambria Math" w:cs="Times New Roman"/>
                      <w:i/>
                      <w:iCs/>
                    </w:rPr>
                  </m:ctrlPr>
                </m:num>
                <m:den>
                  <m:r>
                    <w:rPr>
                      <w:rFonts w:ascii="Cambria Math" w:hAnsi="Cambria Math" w:cs="Times New Roman"/>
                    </w:rPr>
                    <m:t>NDV</m:t>
                  </m:r>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veg</m:t>
                      </m:r>
                    </m:sub>
                  </m:sSub>
                  <m:r>
                    <w:rPr>
                      <w:rFonts w:ascii="Cambria Math" w:hAnsi="Cambria Math" w:cs="Times New Roman"/>
                    </w:rPr>
                    <m:t>+NDV</m:t>
                  </m:r>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soil</m:t>
                      </m:r>
                    </m:sub>
                  </m:sSub>
                  <m:ctrlPr>
                    <w:rPr>
                      <w:rFonts w:ascii="Cambria Math" w:hAnsi="Cambria Math" w:cs="Times New Roman"/>
                      <w:i/>
                      <w:iCs/>
                    </w:rPr>
                  </m:ctrlPr>
                </m:den>
              </m:f>
              <m:r>
                <w:rPr>
                  <w:rFonts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2.11</m:t>
                  </m:r>
                </m:e>
              </m:d>
            </m:e>
          </m:eqArr>
        </m:oMath>
      </m:oMathPara>
    </w:p>
    <w:p w14:paraId="7BBDFB99" w14:textId="77777777" w:rsidR="00D46586" w:rsidRDefault="00000000">
      <w:pPr>
        <w:pStyle w:val="a3"/>
        <w:ind w:left="480" w:firstLine="480"/>
      </w:pPr>
      <w:r>
        <w:rPr>
          <w:rFonts w:hint="eastAsia"/>
          <w:iCs/>
        </w:rPr>
        <w:t>上式中：</w:t>
      </w:r>
      <w:r>
        <w:rPr>
          <w:rFonts w:ascii="TimesNewRoman" w:hAnsi="TimesNewRoman"/>
        </w:rPr>
        <w:t>NDVI</w:t>
      </w:r>
      <w:r>
        <w:rPr>
          <w:rFonts w:hint="eastAsia"/>
        </w:rPr>
        <w:t>代表归一化植被指数，</w:t>
      </w:r>
      <w:proofErr w:type="spellStart"/>
      <w:r>
        <w:rPr>
          <w:rFonts w:ascii="TimesNewRoman" w:hAnsi="TimesNewRoman"/>
        </w:rPr>
        <w:t>NDVI</w:t>
      </w:r>
      <w:r>
        <w:rPr>
          <w:rFonts w:ascii="TimesNewRoman" w:hAnsi="TimesNewRoman"/>
          <w:sz w:val="16"/>
          <w:szCs w:val="16"/>
        </w:rPr>
        <w:t>soil</w:t>
      </w:r>
      <w:proofErr w:type="spellEnd"/>
      <w:r>
        <w:rPr>
          <w:rFonts w:hint="eastAsia"/>
        </w:rPr>
        <w:t>代表完全是裸土或无植被覆盖范围</w:t>
      </w:r>
      <w:r>
        <w:rPr>
          <w:rFonts w:hint="eastAsia"/>
        </w:rPr>
        <w:t xml:space="preserve"> </w:t>
      </w:r>
      <w:r>
        <w:rPr>
          <w:rFonts w:hint="eastAsia"/>
        </w:rPr>
        <w:t>的</w:t>
      </w:r>
      <w:r>
        <w:rPr>
          <w:rFonts w:ascii="TimesNewRoman" w:hAnsi="TimesNewRoman"/>
        </w:rPr>
        <w:t>NDVI</w:t>
      </w:r>
      <w:r>
        <w:rPr>
          <w:rFonts w:hint="eastAsia"/>
        </w:rPr>
        <w:t>值，</w:t>
      </w:r>
      <w:proofErr w:type="spellStart"/>
      <w:r>
        <w:rPr>
          <w:rFonts w:ascii="TimesNewRoman" w:hAnsi="TimesNewRoman"/>
        </w:rPr>
        <w:t>NDVI</w:t>
      </w:r>
      <w:r>
        <w:rPr>
          <w:rFonts w:ascii="TimesNewRoman" w:hAnsi="TimesNewRoman" w:hint="eastAsia"/>
          <w:vertAlign w:val="subscript"/>
        </w:rPr>
        <w:t>veg</w:t>
      </w:r>
      <w:proofErr w:type="spellEnd"/>
      <w:r>
        <w:rPr>
          <w:rFonts w:hint="eastAsia"/>
        </w:rPr>
        <w:t>代表完全被植被覆盖范围的</w:t>
      </w:r>
      <w:r>
        <w:rPr>
          <w:rFonts w:ascii="TimesNewRoman" w:hAnsi="TimesNewRoman"/>
        </w:rPr>
        <w:t>NDVI</w:t>
      </w:r>
      <w:r>
        <w:rPr>
          <w:rFonts w:ascii="TimesNewRoman" w:hAnsi="TimesNewRoman" w:hint="eastAsia"/>
        </w:rPr>
        <w:t>数</w:t>
      </w:r>
      <w:r>
        <w:rPr>
          <w:rFonts w:hint="eastAsia"/>
        </w:rPr>
        <w:t>值，</w:t>
      </w:r>
      <w:r>
        <w:rPr>
          <w:rFonts w:hint="eastAsia"/>
        </w:rPr>
        <w:lastRenderedPageBreak/>
        <w:t>即纯植被像元的</w:t>
      </w:r>
      <w:r>
        <w:rPr>
          <w:rFonts w:ascii="TimesNewRoman" w:hAnsi="TimesNewRoman"/>
        </w:rPr>
        <w:t>NDVI</w:t>
      </w:r>
      <w:r>
        <w:rPr>
          <w:rFonts w:hint="eastAsia"/>
        </w:rPr>
        <w:t>值，取其经验值</w:t>
      </w:r>
      <w:r>
        <w:rPr>
          <w:rFonts w:hint="eastAsia"/>
        </w:rPr>
        <w:t xml:space="preserve"> </w:t>
      </w:r>
      <w:proofErr w:type="spellStart"/>
      <w:r>
        <w:rPr>
          <w:rFonts w:ascii="TimesNewRoman" w:hAnsi="TimesNewRoman"/>
        </w:rPr>
        <w:t>NDVI</w:t>
      </w:r>
      <w:r>
        <w:rPr>
          <w:rFonts w:ascii="TimesNewRoman" w:hAnsi="TimesNewRoman"/>
          <w:sz w:val="16"/>
          <w:szCs w:val="16"/>
        </w:rPr>
        <w:t>veg</w:t>
      </w:r>
      <w:proofErr w:type="spellEnd"/>
      <w:r>
        <w:rPr>
          <w:rFonts w:ascii="TimesNewRoman" w:hAnsi="TimesNewRoman"/>
        </w:rPr>
        <w:t>=0.7</w:t>
      </w:r>
      <w:r>
        <w:rPr>
          <w:rFonts w:hint="eastAsia"/>
        </w:rPr>
        <w:t>和</w:t>
      </w:r>
      <w:proofErr w:type="spellStart"/>
      <w:r>
        <w:rPr>
          <w:rFonts w:ascii="TimesNewRoman" w:hAnsi="TimesNewRoman"/>
        </w:rPr>
        <w:t>NDVI</w:t>
      </w:r>
      <w:r>
        <w:rPr>
          <w:rFonts w:ascii="TimesNewRoman" w:hAnsi="TimesNewRoman"/>
          <w:sz w:val="16"/>
          <w:szCs w:val="16"/>
        </w:rPr>
        <w:t>soil</w:t>
      </w:r>
      <w:proofErr w:type="spellEnd"/>
      <w:r>
        <w:rPr>
          <w:rFonts w:ascii="TimesNewRoman" w:hAnsi="TimesNewRoman"/>
        </w:rPr>
        <w:t>=0.05</w:t>
      </w:r>
      <w:r>
        <w:rPr>
          <w:rFonts w:hint="eastAsia"/>
        </w:rPr>
        <w:t>，当某个像元的</w:t>
      </w:r>
      <w:r>
        <w:rPr>
          <w:rFonts w:ascii="TimesNewRoman" w:hAnsi="TimesNewRoman"/>
        </w:rPr>
        <w:t>NDVI</w:t>
      </w:r>
      <w:r>
        <w:rPr>
          <w:rFonts w:hint="eastAsia"/>
        </w:rPr>
        <w:t>值大于</w:t>
      </w:r>
      <w:r>
        <w:rPr>
          <w:rFonts w:ascii="TimesNewRoman" w:hAnsi="TimesNewRoman"/>
        </w:rPr>
        <w:t>0.7</w:t>
      </w:r>
      <w:r>
        <w:rPr>
          <w:rFonts w:hint="eastAsia"/>
        </w:rPr>
        <w:t>时，</w:t>
      </w:r>
      <w:proofErr w:type="spellStart"/>
      <w:r>
        <w:rPr>
          <w:rFonts w:ascii="TimesNewRoman" w:hAnsi="TimesNewRoman"/>
        </w:rPr>
        <w:t>Pv</w:t>
      </w:r>
      <w:proofErr w:type="spellEnd"/>
      <w:r>
        <w:rPr>
          <w:rFonts w:hint="eastAsia"/>
        </w:rPr>
        <w:t>取值为</w:t>
      </w:r>
      <w:r>
        <w:rPr>
          <w:rFonts w:ascii="TimesNewRoman" w:hAnsi="TimesNewRoman"/>
        </w:rPr>
        <w:t>1,</w:t>
      </w:r>
      <w:r>
        <w:rPr>
          <w:rFonts w:hint="eastAsia"/>
        </w:rPr>
        <w:t>；当</w:t>
      </w:r>
      <w:r>
        <w:rPr>
          <w:rFonts w:ascii="TimesNewRoman" w:hAnsi="TimesNewRoman"/>
        </w:rPr>
        <w:t>NDVI</w:t>
      </w:r>
      <w:r>
        <w:rPr>
          <w:rFonts w:hint="eastAsia"/>
        </w:rPr>
        <w:t>小于</w:t>
      </w:r>
      <w:r>
        <w:rPr>
          <w:rFonts w:ascii="TimesNewRoman" w:hAnsi="TimesNewRoman"/>
        </w:rPr>
        <w:t>0.05</w:t>
      </w:r>
      <w:r>
        <w:rPr>
          <w:rFonts w:hint="eastAsia"/>
        </w:rPr>
        <w:t>时，</w:t>
      </w:r>
      <w:proofErr w:type="spellStart"/>
      <w:r>
        <w:rPr>
          <w:rFonts w:ascii="TimesNewRoman" w:hAnsi="TimesNewRoman"/>
        </w:rPr>
        <w:t>Pv</w:t>
      </w:r>
      <w:proofErr w:type="spellEnd"/>
      <w:r>
        <w:rPr>
          <w:rFonts w:hint="eastAsia"/>
        </w:rPr>
        <w:t>取值为</w:t>
      </w:r>
      <w:r>
        <w:rPr>
          <w:rFonts w:ascii="TimesNewRoman" w:hAnsi="TimesNewRoman"/>
        </w:rPr>
        <w:t>0</w:t>
      </w:r>
      <w:r>
        <w:rPr>
          <w:rFonts w:hint="eastAsia"/>
        </w:rPr>
        <w:t>。</w:t>
      </w:r>
    </w:p>
    <w:p w14:paraId="426A1A63" w14:textId="77777777" w:rsidR="00D46586" w:rsidRDefault="00000000">
      <w:pPr>
        <w:pStyle w:val="3"/>
        <w:spacing w:before="78" w:after="78"/>
        <w:ind w:left="480"/>
        <w:rPr>
          <w:rFonts w:asciiTheme="minorEastAsia" w:hAnsiTheme="minorEastAsia" w:cs="Times New Roman" w:hint="eastAsia"/>
          <w:bCs/>
          <w:color w:val="000000"/>
        </w:rPr>
      </w:pPr>
      <w:bookmarkStart w:id="66" w:name="_Toc1024"/>
      <w:bookmarkStart w:id="67" w:name="_Toc230693482"/>
      <w:bookmarkStart w:id="68" w:name="_Toc199366282"/>
      <w:bookmarkStart w:id="69" w:name="_Toc230815659"/>
      <w:r>
        <w:rPr>
          <w:rFonts w:asciiTheme="minorEastAsia" w:hAnsiTheme="minorEastAsia" w:cs="Times New Roman"/>
          <w:bCs/>
          <w:color w:val="000000"/>
          <w:sz w:val="28"/>
          <w:szCs w:val="28"/>
        </w:rPr>
        <w:t>2.2.4</w:t>
      </w:r>
      <w:r>
        <w:rPr>
          <w:rFonts w:asciiTheme="minorEastAsia" w:hAnsiTheme="minorEastAsia" w:cs="Times New Roman"/>
          <w:bCs/>
          <w:color w:val="000000"/>
        </w:rPr>
        <w:t xml:space="preserve"> </w:t>
      </w:r>
      <w:r>
        <w:rPr>
          <w:rFonts w:asciiTheme="minorEastAsia" w:hAnsiTheme="minorEastAsia" w:cs="Times New Roman"/>
          <w:bCs/>
          <w:color w:val="000000"/>
          <w:sz w:val="28"/>
          <w:szCs w:val="28"/>
        </w:rPr>
        <w:t>干度指标</w:t>
      </w:r>
      <w:bookmarkEnd w:id="66"/>
      <w:bookmarkEnd w:id="67"/>
      <w:bookmarkEnd w:id="68"/>
      <w:bookmarkEnd w:id="69"/>
    </w:p>
    <w:p w14:paraId="7B8320E7" w14:textId="77777777" w:rsidR="00D46586" w:rsidRDefault="00000000">
      <w:pPr>
        <w:pStyle w:val="a3"/>
        <w:ind w:left="480" w:firstLine="480"/>
      </w:pPr>
      <w:r>
        <w:rPr>
          <w:rFonts w:hint="eastAsia"/>
        </w:rPr>
        <w:t>土壤干化会显著破坏区域生态环境，其危害程度与干化强度呈正相关。导致土壤干化的主要因素包括裸土（如沙地、岩石等）和城市建筑用地，因此，干度指标</w:t>
      </w:r>
      <w:r>
        <w:rPr>
          <w:rFonts w:hint="eastAsia"/>
        </w:rPr>
        <w:t>(NDSI)</w:t>
      </w:r>
      <w:r>
        <w:rPr>
          <w:rFonts w:hint="eastAsia"/>
        </w:rPr>
        <w:t>可以由裸土指数（</w:t>
      </w:r>
      <w:r>
        <w:rPr>
          <w:rFonts w:hint="eastAsia"/>
        </w:rPr>
        <w:t>IS</w:t>
      </w:r>
      <w:r>
        <w:rPr>
          <w:rFonts w:hint="eastAsia"/>
        </w:rPr>
        <w:t>）和建筑指数（</w:t>
      </w:r>
      <w:r>
        <w:rPr>
          <w:rFonts w:hint="eastAsia"/>
        </w:rPr>
        <w:t>IBI</w:t>
      </w:r>
      <w:r>
        <w:rPr>
          <w:rFonts w:hint="eastAsia"/>
        </w:rPr>
        <w:t>）二者合成</w:t>
      </w:r>
      <w:r>
        <w:rPr>
          <w:rFonts w:hint="eastAsia"/>
        </w:rPr>
        <w:fldChar w:fldCharType="begin" w:fldLock="1"/>
      </w:r>
      <w:r>
        <w:rPr>
          <w:rFonts w:hint="eastAsia"/>
        </w:rPr>
        <w:instrText xml:space="preserve"> REF _Ref29074 \r \h </w:instrText>
      </w:r>
      <w:r>
        <w:instrText xml:space="preserve"> \* MERGEFORMAT </w:instrText>
      </w:r>
      <w:r>
        <w:rPr>
          <w:rFonts w:hint="eastAsia"/>
        </w:rPr>
      </w:r>
      <w:r>
        <w:rPr>
          <w:rFonts w:hint="eastAsia"/>
        </w:rPr>
        <w:fldChar w:fldCharType="separate"/>
      </w:r>
      <w:r>
        <w:rPr>
          <w:rFonts w:hint="eastAsia"/>
          <w:vertAlign w:val="superscript"/>
        </w:rPr>
        <w:t>[44]</w:t>
      </w:r>
      <w:r>
        <w:rPr>
          <w:rFonts w:hint="eastAsia"/>
        </w:rPr>
        <w:fldChar w:fldCharType="end"/>
      </w:r>
      <w:r>
        <w:rPr>
          <w:rFonts w:hint="eastAsia"/>
        </w:rPr>
        <w:t>。本文采用</w:t>
      </w:r>
      <w:proofErr w:type="spellStart"/>
      <w:r>
        <w:rPr>
          <w:rFonts w:hint="eastAsia"/>
        </w:rPr>
        <w:t>A.Rikimaru</w:t>
      </w:r>
      <w:proofErr w:type="spellEnd"/>
      <w:r>
        <w:rPr>
          <w:rFonts w:hint="eastAsia"/>
        </w:rPr>
        <w:t>和</w:t>
      </w:r>
      <w:proofErr w:type="spellStart"/>
      <w:r>
        <w:rPr>
          <w:rFonts w:hint="eastAsia"/>
        </w:rPr>
        <w:t>H.Xu</w:t>
      </w:r>
      <w:proofErr w:type="spellEnd"/>
      <w:r>
        <w:rPr>
          <w:rFonts w:hint="eastAsia"/>
        </w:rPr>
        <w:t>的模型分别计算裸土指数</w:t>
      </w:r>
      <w:r>
        <w:rPr>
          <w:rFonts w:hint="eastAsia"/>
        </w:rPr>
        <w:t>SI</w:t>
      </w:r>
      <w:r>
        <w:rPr>
          <w:rFonts w:hint="eastAsia"/>
        </w:rPr>
        <w:t>和建筑指数</w:t>
      </w:r>
      <w:r>
        <w:rPr>
          <w:rFonts w:hint="eastAsia"/>
        </w:rPr>
        <w:t>IBI</w:t>
      </w:r>
      <w:r>
        <w:rPr>
          <w:rFonts w:hint="eastAsia"/>
        </w:rPr>
        <w:t>：</w:t>
      </w:r>
    </w:p>
    <w:p w14:paraId="70922F0F" w14:textId="77777777" w:rsidR="00D46586" w:rsidRDefault="00000000">
      <w:pPr>
        <w:tabs>
          <w:tab w:val="left" w:pos="4305"/>
          <w:tab w:val="left" w:pos="8610"/>
        </w:tabs>
        <w:spacing w:before="40" w:after="40" w:line="288" w:lineRule="auto"/>
        <w:ind w:left="480" w:firstLineChars="200" w:firstLine="480"/>
        <w:jc w:val="left"/>
        <w:rPr>
          <w:color w:val="000000"/>
        </w:rPr>
      </w:pPr>
      <w:r>
        <w:rPr>
          <w:rFonts w:hint="eastAsia"/>
          <w:color w:val="000000"/>
        </w:rPr>
        <w:t>裸土指数：</w:t>
      </w:r>
    </w:p>
    <w:p w14:paraId="33243714" w14:textId="77777777" w:rsidR="00D46586" w:rsidRDefault="00000000">
      <w:pPr>
        <w:tabs>
          <w:tab w:val="left" w:pos="4305"/>
          <w:tab w:val="left" w:pos="8610"/>
        </w:tabs>
        <w:spacing w:before="40" w:after="40" w:line="288" w:lineRule="auto"/>
        <w:ind w:left="480"/>
        <w:jc w:val="left"/>
        <w:rPr>
          <w:color w:val="000000"/>
        </w:rPr>
      </w:pPr>
      <m:oMathPara>
        <m:oMath>
          <m:eqArr>
            <m:eqArrPr>
              <m:maxDist m:val="1"/>
              <m:ctrlPr>
                <w:rPr>
                  <w:rFonts w:ascii="Cambria Math" w:hAnsi="Cambria Math" w:cs="Times New Roman"/>
                  <w:i/>
                  <w:color w:val="000000"/>
                </w:rPr>
              </m:ctrlPr>
            </m:eqArrPr>
            <m:e>
              <m:r>
                <w:rPr>
                  <w:rFonts w:ascii="Cambria Math" w:hAnsi="Cambria Math" w:cs="Times New Roman"/>
                  <w:color w:val="000000"/>
                </w:rPr>
                <m:t>SI=</m:t>
              </m:r>
              <m:f>
                <m:fPr>
                  <m:ctrlPr>
                    <w:rPr>
                      <w:rFonts w:ascii="Cambria Math" w:hAnsi="Cambria Math" w:cs="Times New Roman"/>
                      <w:color w:val="000000"/>
                    </w:rPr>
                  </m:ctrlPr>
                </m:fPr>
                <m:num>
                  <m:d>
                    <m:dPr>
                      <m:ctrlPr>
                        <w:rPr>
                          <w:rFonts w:ascii="Cambria Math" w:hAnsi="Cambria Math" w:cs="Times New Roman"/>
                          <w:color w:val="000000"/>
                        </w:rPr>
                      </m:ctrlPr>
                    </m:dPr>
                    <m:e>
                      <m:sSub>
                        <m:sSubPr>
                          <m:ctrlPr>
                            <w:rPr>
                              <w:rFonts w:ascii="Cambria Math" w:hAnsi="Cambria Math" w:cs="Times New Roman"/>
                              <w:i/>
                              <w:color w:val="000000"/>
                            </w:rPr>
                          </m:ctrlPr>
                        </m:sSubPr>
                        <m:e>
                          <m:r>
                            <w:rPr>
                              <w:rFonts w:ascii="Cambria Math" w:hAnsi="Cambria Math" w:cs="Times New Roman"/>
                              <w:color w:val="000000"/>
                            </w:rPr>
                            <m:t>ρ</m:t>
                          </m:r>
                        </m:e>
                        <m:sub>
                          <m:r>
                            <m:rPr>
                              <m:nor/>
                            </m:rPr>
                            <w:rPr>
                              <w:rFonts w:cs="Times New Roman"/>
                              <w:i/>
                              <w:iCs/>
                              <w:color w:val="000000"/>
                            </w:rPr>
                            <m:t>mir</m:t>
                          </m:r>
                        </m:sub>
                      </m:sSub>
                      <m:r>
                        <w:rPr>
                          <w:rFonts w:ascii="Cambria Math" w:hAnsi="Cambria Math" w:cs="Times New Roman"/>
                          <w:color w:val="000000"/>
                        </w:rPr>
                        <m:t>+</m:t>
                      </m:r>
                      <m:sSub>
                        <m:sSubPr>
                          <m:ctrlPr>
                            <w:rPr>
                              <w:rFonts w:ascii="Cambria Math" w:hAnsi="Cambria Math" w:cs="Times New Roman"/>
                              <w:i/>
                              <w:color w:val="000000"/>
                            </w:rPr>
                          </m:ctrlPr>
                        </m:sSubPr>
                        <m:e>
                          <m:r>
                            <w:rPr>
                              <w:rFonts w:ascii="Cambria Math" w:hAnsi="Cambria Math" w:cs="Times New Roman"/>
                              <w:color w:val="000000"/>
                            </w:rPr>
                            <m:t>ρ</m:t>
                          </m:r>
                        </m:e>
                        <m:sub>
                          <m:r>
                            <m:rPr>
                              <m:nor/>
                            </m:rPr>
                            <w:rPr>
                              <w:rFonts w:cs="Times New Roman"/>
                              <w:i/>
                              <w:iCs/>
                              <w:color w:val="000000"/>
                            </w:rPr>
                            <m:t>red</m:t>
                          </m:r>
                        </m:sub>
                      </m:sSub>
                      <m:ctrlPr>
                        <w:rPr>
                          <w:rFonts w:ascii="Cambria Math" w:hAnsi="Cambria Math" w:cs="Times New Roman"/>
                          <w:i/>
                          <w:color w:val="000000"/>
                        </w:rPr>
                      </m:ctrlPr>
                    </m:e>
                  </m:d>
                  <m:r>
                    <w:rPr>
                      <w:rFonts w:ascii="Cambria Math" w:hAnsi="Cambria Math" w:cs="Times New Roman"/>
                      <w:color w:val="000000"/>
                    </w:rPr>
                    <m:t>-</m:t>
                  </m:r>
                  <m:d>
                    <m:dPr>
                      <m:ctrlPr>
                        <w:rPr>
                          <w:rFonts w:ascii="Cambria Math" w:hAnsi="Cambria Math" w:cs="Times New Roman"/>
                          <w:color w:val="000000"/>
                        </w:rPr>
                      </m:ctrlPr>
                    </m:dPr>
                    <m:e>
                      <m:sSub>
                        <m:sSubPr>
                          <m:ctrlPr>
                            <w:rPr>
                              <w:rFonts w:ascii="Cambria Math" w:hAnsi="Cambria Math" w:cs="Times New Roman"/>
                              <w:i/>
                              <w:color w:val="000000"/>
                            </w:rPr>
                          </m:ctrlPr>
                        </m:sSubPr>
                        <m:e>
                          <m:r>
                            <w:rPr>
                              <w:rFonts w:ascii="Cambria Math" w:hAnsi="Cambria Math" w:cs="Times New Roman"/>
                              <w:color w:val="000000"/>
                            </w:rPr>
                            <m:t>ρ</m:t>
                          </m:r>
                        </m:e>
                        <m:sub>
                          <m:r>
                            <m:rPr>
                              <m:nor/>
                            </m:rPr>
                            <w:rPr>
                              <w:rFonts w:cs="Times New Roman"/>
                              <w:i/>
                              <w:iCs/>
                              <w:color w:val="000000"/>
                            </w:rPr>
                            <m:t>nir</m:t>
                          </m:r>
                        </m:sub>
                      </m:sSub>
                      <m:r>
                        <w:rPr>
                          <w:rFonts w:ascii="Cambria Math" w:hAnsi="Cambria Math" w:cs="Times New Roman"/>
                          <w:color w:val="000000"/>
                        </w:rPr>
                        <m:t>+</m:t>
                      </m:r>
                      <m:sSub>
                        <m:sSubPr>
                          <m:ctrlPr>
                            <w:rPr>
                              <w:rFonts w:ascii="Cambria Math" w:hAnsi="Cambria Math" w:cs="Times New Roman"/>
                              <w:i/>
                              <w:color w:val="000000"/>
                            </w:rPr>
                          </m:ctrlPr>
                        </m:sSubPr>
                        <m:e>
                          <m:r>
                            <w:rPr>
                              <w:rFonts w:ascii="Cambria Math" w:hAnsi="Cambria Math" w:cs="Times New Roman"/>
                              <w:color w:val="000000"/>
                            </w:rPr>
                            <m:t>ρ</m:t>
                          </m:r>
                        </m:e>
                        <m:sub>
                          <m:r>
                            <m:rPr>
                              <m:nor/>
                            </m:rPr>
                            <w:rPr>
                              <w:rFonts w:cs="Times New Roman"/>
                              <w:i/>
                              <w:iCs/>
                              <w:color w:val="000000"/>
                            </w:rPr>
                            <m:t>blue</m:t>
                          </m:r>
                        </m:sub>
                      </m:sSub>
                      <m:ctrlPr>
                        <w:rPr>
                          <w:rFonts w:ascii="Cambria Math" w:hAnsi="Cambria Math" w:cs="Times New Roman"/>
                          <w:i/>
                          <w:color w:val="000000"/>
                        </w:rPr>
                      </m:ctrlPr>
                    </m:e>
                  </m:d>
                </m:num>
                <m:den>
                  <m:d>
                    <m:dPr>
                      <m:ctrlPr>
                        <w:rPr>
                          <w:rFonts w:ascii="Cambria Math" w:hAnsi="Cambria Math" w:cs="Times New Roman"/>
                          <w:color w:val="000000"/>
                        </w:rPr>
                      </m:ctrlPr>
                    </m:dPr>
                    <m:e>
                      <m:sSub>
                        <m:sSubPr>
                          <m:ctrlPr>
                            <w:rPr>
                              <w:rFonts w:ascii="Cambria Math" w:hAnsi="Cambria Math" w:cs="Times New Roman"/>
                              <w:i/>
                              <w:color w:val="000000"/>
                            </w:rPr>
                          </m:ctrlPr>
                        </m:sSubPr>
                        <m:e>
                          <m:r>
                            <w:rPr>
                              <w:rFonts w:ascii="Cambria Math" w:hAnsi="Cambria Math" w:cs="Times New Roman"/>
                              <w:color w:val="000000"/>
                            </w:rPr>
                            <m:t>ρ</m:t>
                          </m:r>
                        </m:e>
                        <m:sub>
                          <m:r>
                            <m:rPr>
                              <m:nor/>
                            </m:rPr>
                            <w:rPr>
                              <w:rFonts w:cs="Times New Roman"/>
                              <w:i/>
                              <w:iCs/>
                              <w:color w:val="000000"/>
                            </w:rPr>
                            <m:t>mir</m:t>
                          </m:r>
                        </m:sub>
                      </m:sSub>
                      <m:r>
                        <w:rPr>
                          <w:rFonts w:ascii="Cambria Math" w:hAnsi="Cambria Math" w:cs="Times New Roman"/>
                          <w:color w:val="000000"/>
                        </w:rPr>
                        <m:t>+</m:t>
                      </m:r>
                      <m:sSub>
                        <m:sSubPr>
                          <m:ctrlPr>
                            <w:rPr>
                              <w:rFonts w:ascii="Cambria Math" w:hAnsi="Cambria Math" w:cs="Times New Roman"/>
                              <w:i/>
                              <w:color w:val="000000"/>
                            </w:rPr>
                          </m:ctrlPr>
                        </m:sSubPr>
                        <m:e>
                          <m:r>
                            <w:rPr>
                              <w:rFonts w:ascii="Cambria Math" w:hAnsi="Cambria Math" w:cs="Times New Roman"/>
                              <w:color w:val="000000"/>
                            </w:rPr>
                            <m:t>ρ</m:t>
                          </m:r>
                        </m:e>
                        <m:sub>
                          <m:r>
                            <m:rPr>
                              <m:nor/>
                            </m:rPr>
                            <w:rPr>
                              <w:rFonts w:cs="Times New Roman"/>
                              <w:i/>
                              <w:iCs/>
                              <w:color w:val="000000"/>
                            </w:rPr>
                            <m:t>red</m:t>
                          </m:r>
                        </m:sub>
                      </m:sSub>
                      <m:ctrlPr>
                        <w:rPr>
                          <w:rFonts w:ascii="Cambria Math" w:hAnsi="Cambria Math" w:cs="Times New Roman"/>
                          <w:i/>
                          <w:color w:val="000000"/>
                        </w:rPr>
                      </m:ctrlPr>
                    </m:e>
                  </m:d>
                  <m:r>
                    <w:rPr>
                      <w:rFonts w:ascii="Cambria Math" w:hAnsi="Cambria Math" w:cs="Times New Roman"/>
                      <w:color w:val="000000"/>
                    </w:rPr>
                    <m:t>+</m:t>
                  </m:r>
                  <m:d>
                    <m:dPr>
                      <m:ctrlPr>
                        <w:rPr>
                          <w:rFonts w:ascii="Cambria Math" w:hAnsi="Cambria Math" w:cs="Times New Roman"/>
                          <w:color w:val="000000"/>
                        </w:rPr>
                      </m:ctrlPr>
                    </m:dPr>
                    <m:e>
                      <m:sSub>
                        <m:sSubPr>
                          <m:ctrlPr>
                            <w:rPr>
                              <w:rFonts w:ascii="Cambria Math" w:hAnsi="Cambria Math" w:cs="Times New Roman"/>
                              <w:i/>
                              <w:color w:val="000000"/>
                            </w:rPr>
                          </m:ctrlPr>
                        </m:sSubPr>
                        <m:e>
                          <m:r>
                            <w:rPr>
                              <w:rFonts w:ascii="Cambria Math" w:hAnsi="Cambria Math" w:cs="Times New Roman"/>
                              <w:color w:val="000000"/>
                            </w:rPr>
                            <m:t>ρ</m:t>
                          </m:r>
                        </m:e>
                        <m:sub>
                          <m:r>
                            <m:rPr>
                              <m:nor/>
                            </m:rPr>
                            <w:rPr>
                              <w:rFonts w:cs="Times New Roman"/>
                              <w:i/>
                              <w:iCs/>
                              <w:color w:val="000000"/>
                            </w:rPr>
                            <m:t>nir</m:t>
                          </m:r>
                        </m:sub>
                      </m:sSub>
                      <m:r>
                        <w:rPr>
                          <w:rFonts w:ascii="Cambria Math" w:hAnsi="Cambria Math" w:cs="Times New Roman"/>
                          <w:color w:val="000000"/>
                        </w:rPr>
                        <m:t>+</m:t>
                      </m:r>
                      <m:sSub>
                        <m:sSubPr>
                          <m:ctrlPr>
                            <w:rPr>
                              <w:rFonts w:ascii="Cambria Math" w:hAnsi="Cambria Math" w:cs="Times New Roman"/>
                              <w:i/>
                              <w:color w:val="000000"/>
                            </w:rPr>
                          </m:ctrlPr>
                        </m:sSubPr>
                        <m:e>
                          <m:r>
                            <w:rPr>
                              <w:rFonts w:ascii="Cambria Math" w:hAnsi="Cambria Math" w:cs="Times New Roman"/>
                              <w:color w:val="000000"/>
                            </w:rPr>
                            <m:t>ρ</m:t>
                          </m:r>
                        </m:e>
                        <m:sub>
                          <m:r>
                            <m:rPr>
                              <m:nor/>
                            </m:rPr>
                            <w:rPr>
                              <w:rFonts w:cs="Times New Roman"/>
                              <w:i/>
                              <w:iCs/>
                              <w:color w:val="000000"/>
                            </w:rPr>
                            <m:t>blue</m:t>
                          </m:r>
                        </m:sub>
                      </m:sSub>
                      <m:ctrlPr>
                        <w:rPr>
                          <w:rFonts w:ascii="Cambria Math" w:hAnsi="Cambria Math" w:cs="Times New Roman"/>
                          <w:i/>
                          <w:color w:val="000000"/>
                        </w:rPr>
                      </m:ctrlPr>
                    </m:e>
                  </m:d>
                  <m:ctrlPr>
                    <w:rPr>
                      <w:rFonts w:ascii="Cambria Math" w:hAnsi="Cambria Math" w:cs="Times New Roman"/>
                      <w:i/>
                      <w:color w:val="000000"/>
                    </w:rPr>
                  </m:ctrlPr>
                </m:den>
              </m:f>
              <m:r>
                <w:rPr>
                  <w:rFonts w:ascii="Cambria Math" w:hAnsi="Cambria Math" w:cs="Times New Roman"/>
                  <w:color w:val="000000"/>
                </w:rPr>
                <m:t>#</m:t>
              </m:r>
              <m:d>
                <m:dPr>
                  <m:ctrlPr>
                    <w:rPr>
                      <w:rFonts w:ascii="Cambria Math" w:hAnsi="Cambria Math" w:cs="Times New Roman"/>
                      <w:iCs/>
                      <w:color w:val="000000"/>
                    </w:rPr>
                  </m:ctrlPr>
                </m:dPr>
                <m:e>
                  <m:r>
                    <m:rPr>
                      <m:sty m:val="p"/>
                    </m:rPr>
                    <w:rPr>
                      <w:rFonts w:ascii="Cambria Math" w:hAnsi="Cambria Math" w:cs="Times New Roman"/>
                      <w:color w:val="000000"/>
                    </w:rPr>
                    <m:t>2.12</m:t>
                  </m:r>
                </m:e>
              </m:d>
            </m:e>
          </m:eqArr>
        </m:oMath>
      </m:oMathPara>
    </w:p>
    <w:p w14:paraId="0F61D203" w14:textId="77777777" w:rsidR="00D46586" w:rsidRDefault="00000000">
      <w:pPr>
        <w:tabs>
          <w:tab w:val="left" w:pos="4305"/>
          <w:tab w:val="left" w:pos="8610"/>
        </w:tabs>
        <w:spacing w:before="40" w:after="40" w:line="288" w:lineRule="auto"/>
        <w:ind w:left="480" w:firstLineChars="200" w:firstLine="480"/>
        <w:jc w:val="left"/>
        <w:rPr>
          <w:iCs/>
          <w:color w:val="000000"/>
        </w:rPr>
      </w:pPr>
      <w:r>
        <w:rPr>
          <w:rFonts w:hint="eastAsia"/>
          <w:iCs/>
          <w:color w:val="000000"/>
        </w:rPr>
        <w:t>建筑指数：</w:t>
      </w:r>
    </w:p>
    <w:p w14:paraId="36C2651A" w14:textId="77777777" w:rsidR="00D46586" w:rsidRDefault="00000000">
      <w:pPr>
        <w:tabs>
          <w:tab w:val="left" w:pos="4305"/>
          <w:tab w:val="left" w:pos="8610"/>
        </w:tabs>
        <w:spacing w:before="40" w:after="40" w:line="288" w:lineRule="auto"/>
        <w:ind w:left="480"/>
        <w:jc w:val="left"/>
        <w:rPr>
          <w:color w:val="000000"/>
        </w:rPr>
      </w:pPr>
      <m:oMathPara>
        <m:oMath>
          <m:eqArr>
            <m:eqArrPr>
              <m:maxDist m:val="1"/>
              <m:ctrlPr>
                <w:rPr>
                  <w:rFonts w:ascii="Cambria Math" w:hAnsi="Cambria Math" w:cstheme="majorHAnsi"/>
                  <w:i/>
                  <w:iCs/>
                  <w:color w:val="000000"/>
                </w:rPr>
              </m:ctrlPr>
            </m:eqArrPr>
            <m:e>
              <m:r>
                <w:rPr>
                  <w:rFonts w:ascii="Cambria Math" w:hAnsi="Cambria Math" w:cstheme="majorHAnsi"/>
                  <w:color w:val="000000"/>
                </w:rPr>
                <m:t>IBI=</m:t>
              </m:r>
              <m:f>
                <m:fPr>
                  <m:ctrlPr>
                    <w:rPr>
                      <w:rFonts w:ascii="Cambria Math" w:hAnsi="Cambria Math" w:cstheme="majorHAnsi"/>
                      <w:i/>
                      <w:iCs/>
                      <w:color w:val="000000"/>
                    </w:rPr>
                  </m:ctrlPr>
                </m:fPr>
                <m:num>
                  <m:f>
                    <m:fPr>
                      <m:type m:val="lin"/>
                      <m:ctrlPr>
                        <w:rPr>
                          <w:rFonts w:ascii="Cambria Math" w:hAnsi="Cambria Math" w:cstheme="majorHAnsi"/>
                          <w:i/>
                          <w:color w:val="000000"/>
                        </w:rPr>
                      </m:ctrlPr>
                    </m:fPr>
                    <m:num>
                      <m:r>
                        <w:rPr>
                          <w:rFonts w:ascii="Cambria Math" w:hAnsi="Cambria Math" w:cstheme="majorHAnsi"/>
                          <w:color w:val="000000"/>
                        </w:rPr>
                        <m:t>2</m:t>
                      </m:r>
                      <m:sSub>
                        <m:sSubPr>
                          <m:ctrlPr>
                            <w:rPr>
                              <w:rFonts w:ascii="Cambria Math" w:hAnsi="Cambria Math" w:cstheme="majorHAnsi"/>
                              <w:i/>
                              <w:color w:val="000000"/>
                            </w:rPr>
                          </m:ctrlPr>
                        </m:sSubPr>
                        <m:e>
                          <m:r>
                            <w:rPr>
                              <w:rFonts w:ascii="Cambria Math" w:hAnsi="Cambria Math" w:cstheme="majorHAnsi"/>
                              <w:color w:val="000000"/>
                            </w:rPr>
                            <m:t>ρ</m:t>
                          </m:r>
                        </m:e>
                        <m:sub>
                          <m:r>
                            <m:rPr>
                              <m:nor/>
                            </m:rPr>
                            <w:rPr>
                              <w:rFonts w:cs="Times New Roman"/>
                              <w:i/>
                              <w:iCs/>
                              <w:color w:val="000000"/>
                            </w:rPr>
                            <m:t>mir</m:t>
                          </m:r>
                        </m:sub>
                      </m:sSub>
                    </m:num>
                    <m:den>
                      <m:d>
                        <m:dPr>
                          <m:ctrlPr>
                            <w:rPr>
                              <w:rFonts w:ascii="Cambria Math" w:hAnsi="Cambria Math" w:cstheme="majorHAnsi"/>
                              <w:i/>
                              <w:color w:val="000000"/>
                            </w:rPr>
                          </m:ctrlPr>
                        </m:dPr>
                        <m:e>
                          <m:sSub>
                            <m:sSubPr>
                              <m:ctrlPr>
                                <w:rPr>
                                  <w:rFonts w:ascii="Cambria Math" w:hAnsi="Cambria Math" w:cstheme="majorHAnsi"/>
                                  <w:i/>
                                  <w:color w:val="000000"/>
                                </w:rPr>
                              </m:ctrlPr>
                            </m:sSubPr>
                            <m:e>
                              <m:r>
                                <w:rPr>
                                  <w:rFonts w:ascii="Cambria Math" w:hAnsi="Cambria Math" w:cstheme="majorHAnsi"/>
                                  <w:color w:val="000000"/>
                                </w:rPr>
                                <m:t>ρ</m:t>
                              </m:r>
                            </m:e>
                            <m:sub>
                              <m:r>
                                <m:rPr>
                                  <m:nor/>
                                </m:rPr>
                                <w:rPr>
                                  <w:rFonts w:cs="Times New Roman"/>
                                  <w:i/>
                                  <w:iCs/>
                                  <w:color w:val="000000"/>
                                </w:rPr>
                                <m:t>mir</m:t>
                              </m:r>
                            </m:sub>
                          </m:sSub>
                          <m:r>
                            <w:rPr>
                              <w:rFonts w:ascii="Cambria Math" w:hAnsi="Cambria Math" w:cstheme="majorHAnsi"/>
                              <w:color w:val="000000"/>
                            </w:rPr>
                            <m:t>+</m:t>
                          </m:r>
                          <m:sSub>
                            <m:sSubPr>
                              <m:ctrlPr>
                                <w:rPr>
                                  <w:rFonts w:ascii="Cambria Math" w:hAnsi="Cambria Math" w:cstheme="majorHAnsi"/>
                                  <w:i/>
                                  <w:color w:val="000000"/>
                                </w:rPr>
                              </m:ctrlPr>
                            </m:sSubPr>
                            <m:e>
                              <m:r>
                                <w:rPr>
                                  <w:rFonts w:ascii="Cambria Math" w:hAnsi="Cambria Math" w:cstheme="majorHAnsi"/>
                                  <w:color w:val="000000"/>
                                </w:rPr>
                                <m:t>ρ</m:t>
                              </m:r>
                            </m:e>
                            <m:sub>
                              <m:r>
                                <m:rPr>
                                  <m:nor/>
                                </m:rPr>
                                <w:rPr>
                                  <w:rFonts w:cs="Times New Roman"/>
                                  <w:i/>
                                  <w:iCs/>
                                  <w:color w:val="000000"/>
                                </w:rPr>
                                <m:t>nir</m:t>
                              </m:r>
                            </m:sub>
                          </m:sSub>
                        </m:e>
                      </m:d>
                      <m:r>
                        <w:rPr>
                          <w:rFonts w:ascii="Cambria Math" w:hAnsi="Cambria Math" w:cstheme="majorHAnsi"/>
                          <w:color w:val="000000"/>
                        </w:rPr>
                        <m:t>-</m:t>
                      </m:r>
                    </m:den>
                  </m:f>
                  <m:r>
                    <w:rPr>
                      <w:rFonts w:ascii="Cambria Math" w:hAnsi="Cambria Math" w:cstheme="majorHAnsi"/>
                      <w:color w:val="000000"/>
                    </w:rPr>
                    <m:t>[</m:t>
                  </m:r>
                  <m:f>
                    <m:fPr>
                      <m:type m:val="lin"/>
                      <m:ctrlPr>
                        <w:rPr>
                          <w:rFonts w:ascii="Cambria Math" w:hAnsi="Cambria Math" w:cstheme="majorHAnsi"/>
                          <w:i/>
                          <w:color w:val="000000"/>
                        </w:rPr>
                      </m:ctrlPr>
                    </m:fPr>
                    <m:num>
                      <m:sSub>
                        <m:sSubPr>
                          <m:ctrlPr>
                            <w:rPr>
                              <w:rFonts w:ascii="Cambria Math" w:hAnsi="Cambria Math" w:cstheme="majorHAnsi"/>
                              <w:i/>
                              <w:color w:val="000000"/>
                            </w:rPr>
                          </m:ctrlPr>
                        </m:sSubPr>
                        <m:e>
                          <m:r>
                            <w:rPr>
                              <w:rFonts w:ascii="Cambria Math" w:hAnsi="Cambria Math" w:cstheme="majorHAnsi"/>
                              <w:color w:val="000000"/>
                            </w:rPr>
                            <m:t>ρ</m:t>
                          </m:r>
                        </m:e>
                        <m:sub>
                          <m:r>
                            <m:rPr>
                              <m:nor/>
                            </m:rPr>
                            <w:rPr>
                              <w:rFonts w:cs="Times New Roman"/>
                              <w:i/>
                              <w:iCs/>
                              <w:color w:val="000000"/>
                            </w:rPr>
                            <m:t>nir</m:t>
                          </m:r>
                        </m:sub>
                      </m:sSub>
                    </m:num>
                    <m:den>
                      <m:d>
                        <m:dPr>
                          <m:ctrlPr>
                            <w:rPr>
                              <w:rFonts w:ascii="Cambria Math" w:hAnsi="Cambria Math" w:cstheme="majorHAnsi"/>
                              <w:i/>
                              <w:color w:val="000000"/>
                            </w:rPr>
                          </m:ctrlPr>
                        </m:dPr>
                        <m:e>
                          <w:bookmarkStart w:id="70" w:name="_Hlk199008313"/>
                          <m:sSub>
                            <m:sSubPr>
                              <m:ctrlPr>
                                <w:rPr>
                                  <w:rFonts w:ascii="Cambria Math" w:hAnsi="Cambria Math" w:cstheme="majorHAnsi"/>
                                  <w:i/>
                                  <w:color w:val="000000"/>
                                </w:rPr>
                              </m:ctrlPr>
                            </m:sSubPr>
                            <m:e>
                              <m:r>
                                <w:rPr>
                                  <w:rFonts w:ascii="Cambria Math" w:hAnsi="Cambria Math" w:cstheme="majorHAnsi"/>
                                  <w:color w:val="000000"/>
                                </w:rPr>
                                <m:t>ρ</m:t>
                              </m:r>
                            </m:e>
                            <m:sub>
                              <m:r>
                                <m:rPr>
                                  <m:nor/>
                                </m:rPr>
                                <w:rPr>
                                  <w:rFonts w:cs="Times New Roman"/>
                                  <w:i/>
                                  <w:iCs/>
                                  <w:color w:val="000000"/>
                                </w:rPr>
                                <m:t>nir</m:t>
                              </m:r>
                            </m:sub>
                          </m:sSub>
                          <m:r>
                            <w:rPr>
                              <w:rFonts w:ascii="Cambria Math" w:hAnsi="Cambria Math" w:cstheme="majorHAnsi"/>
                              <w:color w:val="000000"/>
                            </w:rPr>
                            <m:t>+</m:t>
                          </m:r>
                          <m:sSub>
                            <m:sSubPr>
                              <m:ctrlPr>
                                <w:rPr>
                                  <w:rFonts w:ascii="Cambria Math" w:hAnsi="Cambria Math" w:cstheme="majorHAnsi"/>
                                  <w:i/>
                                  <w:color w:val="000000"/>
                                </w:rPr>
                              </m:ctrlPr>
                            </m:sSubPr>
                            <m:e>
                              <m:r>
                                <w:rPr>
                                  <w:rFonts w:ascii="Cambria Math" w:hAnsi="Cambria Math" w:cstheme="majorHAnsi"/>
                                  <w:color w:val="000000"/>
                                </w:rPr>
                                <m:t>ρ</m:t>
                              </m:r>
                            </m:e>
                            <m:sub>
                              <m:r>
                                <m:rPr>
                                  <m:nor/>
                                </m:rPr>
                                <w:rPr>
                                  <w:rFonts w:cs="Times New Roman"/>
                                  <w:i/>
                                  <w:iCs/>
                                  <w:color w:val="000000"/>
                                </w:rPr>
                                <m:t>red</m:t>
                              </m:r>
                            </m:sub>
                          </m:sSub>
                          <w:bookmarkEnd w:id="70"/>
                        </m:e>
                      </m:d>
                      <m:r>
                        <w:rPr>
                          <w:rFonts w:ascii="Cambria Math" w:hAnsi="Cambria Math" w:cstheme="majorHAnsi"/>
                          <w:color w:val="000000"/>
                        </w:rPr>
                        <m:t>+</m:t>
                      </m:r>
                      <m:f>
                        <m:fPr>
                          <m:type m:val="lin"/>
                          <m:ctrlPr>
                            <w:rPr>
                              <w:rFonts w:ascii="Cambria Math" w:hAnsi="Cambria Math" w:cstheme="majorHAnsi"/>
                              <w:i/>
                              <w:color w:val="000000"/>
                            </w:rPr>
                          </m:ctrlPr>
                        </m:fPr>
                        <m:num>
                          <m:sSub>
                            <m:sSubPr>
                              <m:ctrlPr>
                                <w:rPr>
                                  <w:rFonts w:ascii="Cambria Math" w:hAnsi="Cambria Math" w:cstheme="majorHAnsi"/>
                                  <w:i/>
                                  <w:color w:val="000000"/>
                                </w:rPr>
                              </m:ctrlPr>
                            </m:sSubPr>
                            <m:e>
                              <m:r>
                                <w:rPr>
                                  <w:rFonts w:ascii="Cambria Math" w:hAnsi="Cambria Math" w:cstheme="majorHAnsi"/>
                                  <w:color w:val="000000"/>
                                </w:rPr>
                                <m:t>ρ</m:t>
                              </m:r>
                            </m:e>
                            <m:sub>
                              <m:r>
                                <m:rPr>
                                  <m:nor/>
                                </m:rPr>
                                <w:rPr>
                                  <w:rFonts w:cs="Times New Roman"/>
                                  <w:i/>
                                  <w:iCs/>
                                  <w:color w:val="000000"/>
                                </w:rPr>
                                <m:t>green</m:t>
                              </m:r>
                            </m:sub>
                          </m:sSub>
                        </m:num>
                        <m:den>
                          <m:d>
                            <m:dPr>
                              <m:ctrlPr>
                                <w:rPr>
                                  <w:rFonts w:ascii="Cambria Math" w:hAnsi="Cambria Math" w:cstheme="majorHAnsi"/>
                                  <w:i/>
                                  <w:color w:val="000000"/>
                                </w:rPr>
                              </m:ctrlPr>
                            </m:dPr>
                            <m:e>
                              <m:sSub>
                                <m:sSubPr>
                                  <m:ctrlPr>
                                    <w:rPr>
                                      <w:rFonts w:ascii="Cambria Math" w:hAnsi="Cambria Math" w:cstheme="majorHAnsi"/>
                                      <w:i/>
                                      <w:color w:val="000000"/>
                                    </w:rPr>
                                  </m:ctrlPr>
                                </m:sSubPr>
                                <m:e>
                                  <m:r>
                                    <w:rPr>
                                      <w:rFonts w:ascii="Cambria Math" w:hAnsi="Cambria Math" w:cstheme="majorHAnsi"/>
                                      <w:color w:val="000000"/>
                                    </w:rPr>
                                    <m:t>ρ</m:t>
                                  </m:r>
                                </m:e>
                                <m:sub>
                                  <m:r>
                                    <m:rPr>
                                      <m:nor/>
                                    </m:rPr>
                                    <w:rPr>
                                      <w:rFonts w:cs="Times New Roman"/>
                                      <w:i/>
                                      <w:iCs/>
                                      <w:color w:val="000000"/>
                                    </w:rPr>
                                    <m:t>green</m:t>
                                  </m:r>
                                </m:sub>
                              </m:sSub>
                              <m:r>
                                <w:rPr>
                                  <w:rFonts w:ascii="Cambria Math" w:hAnsi="Cambria Math" w:cstheme="majorHAnsi"/>
                                  <w:color w:val="000000"/>
                                </w:rPr>
                                <m:t>+</m:t>
                              </m:r>
                              <m:sSub>
                                <m:sSubPr>
                                  <m:ctrlPr>
                                    <w:rPr>
                                      <w:rFonts w:ascii="Cambria Math" w:hAnsi="Cambria Math" w:cstheme="majorHAnsi"/>
                                      <w:i/>
                                      <w:color w:val="000000"/>
                                    </w:rPr>
                                  </m:ctrlPr>
                                </m:sSubPr>
                                <m:e>
                                  <m:r>
                                    <w:rPr>
                                      <w:rFonts w:ascii="Cambria Math" w:hAnsi="Cambria Math" w:cstheme="majorHAnsi"/>
                                      <w:color w:val="000000"/>
                                    </w:rPr>
                                    <m:t>ρ</m:t>
                                  </m:r>
                                </m:e>
                                <m:sub>
                                  <m:r>
                                    <m:rPr>
                                      <m:nor/>
                                    </m:rPr>
                                    <w:rPr>
                                      <w:rFonts w:cs="Times New Roman"/>
                                      <w:i/>
                                      <w:iCs/>
                                      <w:color w:val="000000"/>
                                    </w:rPr>
                                    <m:t>mir</m:t>
                                  </m:r>
                                </m:sub>
                              </m:sSub>
                            </m:e>
                          </m:d>
                        </m:den>
                      </m:f>
                    </m:den>
                  </m:f>
                </m:num>
                <m:den>
                  <m:f>
                    <m:fPr>
                      <m:type m:val="lin"/>
                      <m:ctrlPr>
                        <w:rPr>
                          <w:rFonts w:ascii="Cambria Math" w:hAnsi="Cambria Math" w:cstheme="majorHAnsi"/>
                          <w:i/>
                          <w:color w:val="000000"/>
                        </w:rPr>
                      </m:ctrlPr>
                    </m:fPr>
                    <m:num>
                      <m:r>
                        <w:rPr>
                          <w:rFonts w:ascii="Cambria Math" w:hAnsi="Cambria Math" w:cstheme="majorHAnsi"/>
                          <w:color w:val="000000"/>
                        </w:rPr>
                        <m:t>2</m:t>
                      </m:r>
                      <m:sSub>
                        <m:sSubPr>
                          <m:ctrlPr>
                            <w:rPr>
                              <w:rFonts w:ascii="Cambria Math" w:hAnsi="Cambria Math" w:cstheme="majorHAnsi"/>
                              <w:i/>
                              <w:color w:val="000000"/>
                            </w:rPr>
                          </m:ctrlPr>
                        </m:sSubPr>
                        <m:e>
                          <m:r>
                            <w:rPr>
                              <w:rFonts w:ascii="Cambria Math" w:hAnsi="Cambria Math" w:cstheme="majorHAnsi"/>
                              <w:color w:val="000000"/>
                            </w:rPr>
                            <m:t>ρ</m:t>
                          </m:r>
                        </m:e>
                        <m:sub>
                          <m:r>
                            <m:rPr>
                              <m:nor/>
                            </m:rPr>
                            <w:rPr>
                              <w:rFonts w:cs="Times New Roman"/>
                              <w:i/>
                              <w:iCs/>
                              <w:color w:val="000000"/>
                            </w:rPr>
                            <m:t>mir</m:t>
                          </m:r>
                        </m:sub>
                      </m:sSub>
                    </m:num>
                    <m:den>
                      <m:d>
                        <m:dPr>
                          <m:ctrlPr>
                            <w:rPr>
                              <w:rFonts w:ascii="Cambria Math" w:hAnsi="Cambria Math" w:cstheme="majorHAnsi"/>
                              <w:i/>
                              <w:color w:val="000000"/>
                            </w:rPr>
                          </m:ctrlPr>
                        </m:dPr>
                        <m:e>
                          <m:sSub>
                            <m:sSubPr>
                              <m:ctrlPr>
                                <w:rPr>
                                  <w:rFonts w:ascii="Cambria Math" w:hAnsi="Cambria Math" w:cstheme="majorHAnsi"/>
                                  <w:i/>
                                  <w:color w:val="000000"/>
                                </w:rPr>
                              </m:ctrlPr>
                            </m:sSubPr>
                            <m:e>
                              <m:r>
                                <w:rPr>
                                  <w:rFonts w:ascii="Cambria Math" w:hAnsi="Cambria Math" w:cstheme="majorHAnsi"/>
                                  <w:color w:val="000000"/>
                                </w:rPr>
                                <m:t>ρ</m:t>
                              </m:r>
                            </m:e>
                            <m:sub>
                              <m:r>
                                <m:rPr>
                                  <m:nor/>
                                </m:rPr>
                                <w:rPr>
                                  <w:rFonts w:cs="Times New Roman"/>
                                  <w:i/>
                                  <w:iCs/>
                                  <w:color w:val="000000"/>
                                </w:rPr>
                                <m:t>mir</m:t>
                              </m:r>
                            </m:sub>
                          </m:sSub>
                          <m:r>
                            <w:rPr>
                              <w:rFonts w:ascii="Cambria Math" w:hAnsi="Cambria Math" w:cstheme="majorHAnsi"/>
                              <w:color w:val="000000"/>
                            </w:rPr>
                            <m:t>+</m:t>
                          </m:r>
                          <m:sSub>
                            <m:sSubPr>
                              <m:ctrlPr>
                                <w:rPr>
                                  <w:rFonts w:ascii="Cambria Math" w:hAnsi="Cambria Math" w:cstheme="majorHAnsi"/>
                                  <w:i/>
                                  <w:color w:val="000000"/>
                                </w:rPr>
                              </m:ctrlPr>
                            </m:sSubPr>
                            <m:e>
                              <m:r>
                                <w:rPr>
                                  <w:rFonts w:ascii="Cambria Math" w:hAnsi="Cambria Math" w:cstheme="majorHAnsi"/>
                                  <w:color w:val="000000"/>
                                </w:rPr>
                                <m:t>ρ</m:t>
                              </m:r>
                            </m:e>
                            <m:sub>
                              <m:r>
                                <m:rPr>
                                  <m:nor/>
                                </m:rPr>
                                <w:rPr>
                                  <w:rFonts w:cs="Times New Roman"/>
                                  <w:i/>
                                  <w:iCs/>
                                  <w:color w:val="000000"/>
                                </w:rPr>
                                <m:t>nir</m:t>
                              </m:r>
                            </m:sub>
                          </m:sSub>
                        </m:e>
                      </m:d>
                      <m:r>
                        <w:rPr>
                          <w:rFonts w:ascii="Cambria Math" w:hAnsi="Cambria Math" w:cstheme="majorHAnsi"/>
                          <w:color w:val="000000"/>
                        </w:rPr>
                        <m:t>+</m:t>
                      </m:r>
                    </m:den>
                  </m:f>
                  <m:r>
                    <w:rPr>
                      <w:rFonts w:ascii="Cambria Math" w:hAnsi="Cambria Math" w:cstheme="majorHAnsi"/>
                      <w:color w:val="000000"/>
                    </w:rPr>
                    <m:t>[</m:t>
                  </m:r>
                  <m:f>
                    <m:fPr>
                      <m:type m:val="lin"/>
                      <m:ctrlPr>
                        <w:rPr>
                          <w:rFonts w:ascii="Cambria Math" w:hAnsi="Cambria Math" w:cstheme="majorHAnsi"/>
                          <w:i/>
                          <w:color w:val="000000"/>
                        </w:rPr>
                      </m:ctrlPr>
                    </m:fPr>
                    <m:num>
                      <m:sSub>
                        <m:sSubPr>
                          <m:ctrlPr>
                            <w:rPr>
                              <w:rFonts w:ascii="Cambria Math" w:hAnsi="Cambria Math" w:cstheme="majorHAnsi"/>
                              <w:i/>
                              <w:color w:val="000000"/>
                            </w:rPr>
                          </m:ctrlPr>
                        </m:sSubPr>
                        <m:e>
                          <m:r>
                            <w:rPr>
                              <w:rFonts w:ascii="Cambria Math" w:hAnsi="Cambria Math" w:cstheme="majorHAnsi"/>
                              <w:color w:val="000000"/>
                            </w:rPr>
                            <m:t>ρ</m:t>
                          </m:r>
                        </m:e>
                        <m:sub>
                          <m:r>
                            <m:rPr>
                              <m:nor/>
                            </m:rPr>
                            <w:rPr>
                              <w:rFonts w:cs="Times New Roman"/>
                              <w:i/>
                              <w:iCs/>
                              <w:color w:val="000000"/>
                            </w:rPr>
                            <m:t>nir</m:t>
                          </m:r>
                        </m:sub>
                      </m:sSub>
                    </m:num>
                    <m:den>
                      <m:d>
                        <m:dPr>
                          <m:ctrlPr>
                            <w:rPr>
                              <w:rFonts w:ascii="Cambria Math" w:hAnsi="Cambria Math" w:cstheme="majorHAnsi"/>
                              <w:i/>
                              <w:color w:val="000000"/>
                            </w:rPr>
                          </m:ctrlPr>
                        </m:dPr>
                        <m:e>
                          <m:sSub>
                            <m:sSubPr>
                              <m:ctrlPr>
                                <w:rPr>
                                  <w:rFonts w:ascii="Cambria Math" w:hAnsi="Cambria Math" w:cstheme="majorHAnsi"/>
                                  <w:i/>
                                  <w:color w:val="000000"/>
                                </w:rPr>
                              </m:ctrlPr>
                            </m:sSubPr>
                            <m:e>
                              <m:r>
                                <w:rPr>
                                  <w:rFonts w:ascii="Cambria Math" w:hAnsi="Cambria Math" w:cstheme="majorHAnsi"/>
                                  <w:color w:val="000000"/>
                                </w:rPr>
                                <m:t>ρ</m:t>
                              </m:r>
                            </m:e>
                            <m:sub>
                              <m:r>
                                <m:rPr>
                                  <m:nor/>
                                </m:rPr>
                                <w:rPr>
                                  <w:rFonts w:cs="Times New Roman"/>
                                  <w:i/>
                                  <w:iCs/>
                                  <w:color w:val="000000"/>
                                </w:rPr>
                                <m:t>nir</m:t>
                              </m:r>
                            </m:sub>
                          </m:sSub>
                          <m:r>
                            <w:rPr>
                              <w:rFonts w:ascii="Cambria Math" w:hAnsi="Cambria Math" w:cstheme="majorHAnsi"/>
                              <w:color w:val="000000"/>
                            </w:rPr>
                            <m:t>+</m:t>
                          </m:r>
                          <m:sSub>
                            <m:sSubPr>
                              <m:ctrlPr>
                                <w:rPr>
                                  <w:rFonts w:ascii="Cambria Math" w:hAnsi="Cambria Math" w:cstheme="majorHAnsi"/>
                                  <w:i/>
                                  <w:color w:val="000000"/>
                                </w:rPr>
                              </m:ctrlPr>
                            </m:sSubPr>
                            <m:e>
                              <m:r>
                                <w:rPr>
                                  <w:rFonts w:ascii="Cambria Math" w:hAnsi="Cambria Math" w:cstheme="majorHAnsi"/>
                                  <w:color w:val="000000"/>
                                </w:rPr>
                                <m:t>ρ</m:t>
                              </m:r>
                            </m:e>
                            <m:sub>
                              <m:r>
                                <m:rPr>
                                  <m:nor/>
                                </m:rPr>
                                <w:rPr>
                                  <w:rFonts w:cs="Times New Roman"/>
                                  <w:i/>
                                  <w:iCs/>
                                  <w:color w:val="000000"/>
                                </w:rPr>
                                <m:t>red</m:t>
                              </m:r>
                            </m:sub>
                          </m:sSub>
                        </m:e>
                      </m:d>
                      <m:r>
                        <w:rPr>
                          <w:rFonts w:ascii="Cambria Math" w:hAnsi="Cambria Math" w:cstheme="majorHAnsi"/>
                          <w:color w:val="000000"/>
                        </w:rPr>
                        <m:t>+</m:t>
                      </m:r>
                      <m:f>
                        <m:fPr>
                          <m:type m:val="lin"/>
                          <m:ctrlPr>
                            <w:rPr>
                              <w:rFonts w:ascii="Cambria Math" w:hAnsi="Cambria Math" w:cstheme="majorHAnsi"/>
                              <w:i/>
                              <w:color w:val="000000"/>
                            </w:rPr>
                          </m:ctrlPr>
                        </m:fPr>
                        <m:num>
                          <m:sSub>
                            <m:sSubPr>
                              <m:ctrlPr>
                                <w:rPr>
                                  <w:rFonts w:ascii="Cambria Math" w:hAnsi="Cambria Math" w:cstheme="majorHAnsi"/>
                                  <w:i/>
                                  <w:color w:val="000000"/>
                                </w:rPr>
                              </m:ctrlPr>
                            </m:sSubPr>
                            <m:e>
                              <m:r>
                                <w:rPr>
                                  <w:rFonts w:ascii="Cambria Math" w:hAnsi="Cambria Math" w:cstheme="majorHAnsi"/>
                                  <w:color w:val="000000"/>
                                </w:rPr>
                                <m:t>ρ</m:t>
                              </m:r>
                            </m:e>
                            <m:sub>
                              <m:r>
                                <m:rPr>
                                  <m:nor/>
                                </m:rPr>
                                <w:rPr>
                                  <w:rFonts w:cs="Times New Roman"/>
                                  <w:i/>
                                  <w:iCs/>
                                  <w:color w:val="000000"/>
                                </w:rPr>
                                <m:t>green</m:t>
                              </m:r>
                            </m:sub>
                          </m:sSub>
                        </m:num>
                        <m:den>
                          <m:d>
                            <m:dPr>
                              <m:ctrlPr>
                                <w:rPr>
                                  <w:rFonts w:ascii="Cambria Math" w:hAnsi="Cambria Math" w:cstheme="majorHAnsi"/>
                                  <w:i/>
                                  <w:color w:val="000000"/>
                                </w:rPr>
                              </m:ctrlPr>
                            </m:dPr>
                            <m:e>
                              <m:sSub>
                                <m:sSubPr>
                                  <m:ctrlPr>
                                    <w:rPr>
                                      <w:rFonts w:ascii="Cambria Math" w:hAnsi="Cambria Math" w:cstheme="majorHAnsi"/>
                                      <w:i/>
                                      <w:color w:val="000000"/>
                                    </w:rPr>
                                  </m:ctrlPr>
                                </m:sSubPr>
                                <m:e>
                                  <m:r>
                                    <w:rPr>
                                      <w:rFonts w:ascii="Cambria Math" w:hAnsi="Cambria Math" w:cstheme="majorHAnsi"/>
                                      <w:color w:val="000000"/>
                                    </w:rPr>
                                    <m:t>ρ</m:t>
                                  </m:r>
                                </m:e>
                                <m:sub>
                                  <m:r>
                                    <m:rPr>
                                      <m:nor/>
                                    </m:rPr>
                                    <w:rPr>
                                      <w:rFonts w:cs="Times New Roman"/>
                                      <w:i/>
                                      <w:iCs/>
                                      <w:color w:val="000000"/>
                                    </w:rPr>
                                    <m:t>green</m:t>
                                  </m:r>
                                </m:sub>
                              </m:sSub>
                              <m:r>
                                <w:rPr>
                                  <w:rFonts w:ascii="Cambria Math" w:hAnsi="Cambria Math" w:cstheme="majorHAnsi"/>
                                  <w:color w:val="000000"/>
                                </w:rPr>
                                <m:t>+</m:t>
                              </m:r>
                              <m:sSub>
                                <m:sSubPr>
                                  <m:ctrlPr>
                                    <w:rPr>
                                      <w:rFonts w:ascii="Cambria Math" w:hAnsi="Cambria Math" w:cstheme="majorHAnsi"/>
                                      <w:i/>
                                      <w:color w:val="000000"/>
                                    </w:rPr>
                                  </m:ctrlPr>
                                </m:sSubPr>
                                <m:e>
                                  <m:r>
                                    <w:rPr>
                                      <w:rFonts w:ascii="Cambria Math" w:hAnsi="Cambria Math" w:cstheme="majorHAnsi"/>
                                      <w:color w:val="000000"/>
                                    </w:rPr>
                                    <m:t>ρ</m:t>
                                  </m:r>
                                </m:e>
                                <m:sub>
                                  <m:r>
                                    <m:rPr>
                                      <m:nor/>
                                    </m:rPr>
                                    <w:rPr>
                                      <w:rFonts w:cs="Times New Roman"/>
                                      <w:i/>
                                      <w:iCs/>
                                      <w:color w:val="000000"/>
                                    </w:rPr>
                                    <m:t>mir</m:t>
                                  </m:r>
                                </m:sub>
                              </m:sSub>
                            </m:e>
                          </m:d>
                        </m:den>
                      </m:f>
                    </m:den>
                  </m:f>
                </m:den>
              </m:f>
              <m:r>
                <w:rPr>
                  <w:rFonts w:ascii="Cambria Math" w:hAnsi="Cambria Math" w:cstheme="majorHAnsi"/>
                  <w:color w:val="000000"/>
                </w:rPr>
                <m:t>#</m:t>
              </m:r>
              <m:d>
                <m:dPr>
                  <m:ctrlPr>
                    <w:rPr>
                      <w:rFonts w:ascii="Cambria Math" w:hAnsi="Cambria Math" w:cstheme="majorHAnsi"/>
                      <w:color w:val="000000"/>
                    </w:rPr>
                  </m:ctrlPr>
                </m:dPr>
                <m:e>
                  <m:r>
                    <m:rPr>
                      <m:sty m:val="p"/>
                    </m:rPr>
                    <w:rPr>
                      <w:rFonts w:ascii="Cambria Math" w:hAnsi="Cambria Math" w:cstheme="majorHAnsi"/>
                      <w:color w:val="000000"/>
                    </w:rPr>
                    <m:t>2.13</m:t>
                  </m:r>
                </m:e>
              </m:d>
              <m:ctrlPr>
                <w:rPr>
                  <w:rFonts w:ascii="Cambria Math" w:hAnsi="Cambria Math" w:cstheme="majorHAnsi"/>
                  <w:i/>
                  <w:color w:val="000000"/>
                </w:rPr>
              </m:ctrlPr>
            </m:e>
          </m:eqArr>
        </m:oMath>
      </m:oMathPara>
    </w:p>
    <w:p w14:paraId="5AAD7022" w14:textId="77777777" w:rsidR="00D46586" w:rsidRDefault="00000000">
      <w:pPr>
        <w:pStyle w:val="2"/>
        <w:spacing w:before="156" w:after="156"/>
        <w:ind w:left="480"/>
      </w:pPr>
      <w:bookmarkStart w:id="71" w:name="_Toc25060"/>
      <w:bookmarkStart w:id="72" w:name="_Toc230693483"/>
      <w:bookmarkStart w:id="73" w:name="_Toc199366283"/>
      <w:bookmarkStart w:id="74" w:name="_Toc230815660"/>
      <w:r>
        <w:rPr>
          <w:rFonts w:hint="eastAsia"/>
        </w:rPr>
        <w:t xml:space="preserve">2.3 </w:t>
      </w:r>
      <w:r>
        <w:rPr>
          <w:rFonts w:hint="eastAsia"/>
        </w:rPr>
        <w:t>主成分分析法</w:t>
      </w:r>
      <w:bookmarkEnd w:id="71"/>
      <w:bookmarkEnd w:id="72"/>
      <w:bookmarkEnd w:id="73"/>
      <w:bookmarkEnd w:id="74"/>
    </w:p>
    <w:p w14:paraId="4AB3B273" w14:textId="77777777" w:rsidR="00D46586" w:rsidRDefault="00000000">
      <w:pPr>
        <w:pStyle w:val="3"/>
        <w:spacing w:before="78" w:after="78"/>
        <w:ind w:left="480"/>
      </w:pPr>
      <w:bookmarkStart w:id="75" w:name="_Toc199366284"/>
      <w:bookmarkStart w:id="76" w:name="_Toc22225"/>
      <w:bookmarkStart w:id="77" w:name="_Toc230693484"/>
      <w:bookmarkStart w:id="78" w:name="_Toc230815661"/>
      <w:r>
        <w:rPr>
          <w:rFonts w:hint="eastAsia"/>
        </w:rPr>
        <w:t xml:space="preserve">2.3.1 </w:t>
      </w:r>
      <w:r>
        <w:rPr>
          <w:rFonts w:hint="eastAsia"/>
        </w:rPr>
        <w:t>主成分分析法的基本原理</w:t>
      </w:r>
      <w:bookmarkEnd w:id="75"/>
      <w:bookmarkEnd w:id="76"/>
      <w:bookmarkEnd w:id="77"/>
      <w:bookmarkEnd w:id="78"/>
    </w:p>
    <w:p w14:paraId="6AD1C768" w14:textId="77777777" w:rsidR="00D46586" w:rsidRDefault="00000000">
      <w:pPr>
        <w:pStyle w:val="a3"/>
        <w:ind w:left="480" w:firstLine="480"/>
      </w:pPr>
      <w:r>
        <w:t>主成分分析（</w:t>
      </w:r>
      <w:r>
        <w:t>PCA</w:t>
      </w:r>
      <w:r>
        <w:t>）是一种通过线性变换实现</w:t>
      </w:r>
      <w:proofErr w:type="gramStart"/>
      <w:r>
        <w:t>数据降维的</w:t>
      </w:r>
      <w:proofErr w:type="gramEnd"/>
      <w:r>
        <w:t>统计方法。该方法将原始数据转换到新的坐标系，使数据在第一主成分方向具有最大方差，第二主成分方向保留次大方差，依此类推。</w:t>
      </w:r>
      <w:r>
        <w:rPr>
          <w:rFonts w:hint="eastAsia"/>
        </w:rPr>
        <w:t>它</w:t>
      </w:r>
      <w:r>
        <w:t>通过保留方差贡献最大的低阶主成分，在降低数据维度的同时保持主要特征信息。</w:t>
      </w:r>
    </w:p>
    <w:p w14:paraId="0CDBD4A0" w14:textId="77777777" w:rsidR="00D46586" w:rsidRDefault="00000000">
      <w:pPr>
        <w:pStyle w:val="a3"/>
        <w:ind w:left="480" w:firstLine="480"/>
      </w:pPr>
      <w:r>
        <w:t>主成分分析的原理是设法将原来变量重新组合成一组新的相互无关的几个综合变量，同时根据实际需要从中可以取出几个较少的总和变量尽可能多地</w:t>
      </w:r>
    </w:p>
    <w:p w14:paraId="6878AAB5" w14:textId="77777777" w:rsidR="00D46586" w:rsidRDefault="00000000">
      <w:pPr>
        <w:pStyle w:val="a3"/>
        <w:ind w:left="480" w:firstLine="480"/>
        <w:rPr>
          <w:color w:val="000000"/>
        </w:rPr>
      </w:pPr>
      <w:r>
        <w:t>反映原来变量的信息的统计方法叫做主成分分析或称主分量分析，也是数学上</w:t>
      </w:r>
      <w:proofErr w:type="gramStart"/>
      <w:r>
        <w:t>处理降维的</w:t>
      </w:r>
      <w:proofErr w:type="gramEnd"/>
      <w:r>
        <w:t>一种方法。主成分分析是设法将原来众多具有一定相关性（比如</w:t>
      </w:r>
      <w:r>
        <w:t>P</w:t>
      </w:r>
      <w:proofErr w:type="gramStart"/>
      <w:r>
        <w:t>个</w:t>
      </w:r>
      <w:proofErr w:type="gramEnd"/>
      <w:r>
        <w:t>指标，重新组合成一组新的互相无关的综合指标来代替原来的指标。通常数学上的处理就是将原来</w:t>
      </w:r>
      <w:r>
        <w:t>P</w:t>
      </w:r>
      <w:proofErr w:type="gramStart"/>
      <w:r>
        <w:t>个</w:t>
      </w:r>
      <w:proofErr w:type="gramEnd"/>
      <w:r>
        <w:t>指标作线性组合，作为新的综合指标。</w:t>
      </w:r>
      <w:proofErr w:type="gramStart"/>
      <w:r>
        <w:lastRenderedPageBreak/>
        <w:t>最</w:t>
      </w:r>
      <w:proofErr w:type="gramEnd"/>
      <w:r>
        <w:t>经典的做法就是用</w:t>
      </w:r>
      <w:r>
        <w:t>F1(</w:t>
      </w:r>
      <w:r>
        <w:t>选取的第一个线性组合，即第一个综合指标）的方差来表达，即</w:t>
      </w:r>
      <w:r>
        <w:t>Var(F1</w:t>
      </w:r>
      <w:r>
        <w:t>）越大，表示</w:t>
      </w:r>
      <w:r>
        <w:t>F1</w:t>
      </w:r>
      <w:r>
        <w:t>包含的信息越多。因此在所有的线性组合中选取的</w:t>
      </w:r>
      <w:r>
        <w:t>F1</w:t>
      </w:r>
      <w:r>
        <w:t>应该是方差最大的，故称</w:t>
      </w:r>
      <w:r>
        <w:t>F1</w:t>
      </w:r>
      <w:r>
        <w:t>为第一主成分。如果第一主成分不足以代表原来</w:t>
      </w:r>
      <w:r>
        <w:t>P</w:t>
      </w:r>
      <w:proofErr w:type="gramStart"/>
      <w:r>
        <w:t>个</w:t>
      </w:r>
      <w:proofErr w:type="gramEnd"/>
      <w:r>
        <w:t>指标的信息，再考虑选取</w:t>
      </w:r>
      <w:r>
        <w:t>F2</w:t>
      </w:r>
      <w:r>
        <w:t>即选第二个线性组合，为了有效地反映原来信息，</w:t>
      </w:r>
      <w:r>
        <w:t>F1</w:t>
      </w:r>
      <w:r>
        <w:t>已有的信息就不需要再出现再</w:t>
      </w:r>
      <w:r>
        <w:t>F2</w:t>
      </w:r>
      <w:r>
        <w:t>中，用数学语言表达就是要求</w:t>
      </w:r>
      <w:r>
        <w:t>Cov</w:t>
      </w:r>
      <w:r>
        <w:rPr>
          <w:rFonts w:hint="eastAsia"/>
        </w:rPr>
        <w:t>(F1,F2)=0</w:t>
      </w:r>
      <w:r>
        <w:t>，则称</w:t>
      </w:r>
      <w:r>
        <w:t>F2</w:t>
      </w:r>
      <w:r>
        <w:t>为第二主成分，依此类推可以构造出第三、第四</w:t>
      </w:r>
      <w:r>
        <w:rPr>
          <w:rFonts w:hint="eastAsia"/>
        </w:rPr>
        <w:t>、</w:t>
      </w:r>
      <w:r>
        <w:rPr>
          <w:rFonts w:hint="eastAsia"/>
        </w:rPr>
        <w:t>......</w:t>
      </w:r>
      <w:r>
        <w:t>..</w:t>
      </w:r>
      <w:r>
        <w:rPr>
          <w:rFonts w:hint="eastAsia"/>
        </w:rPr>
        <w:t>、</w:t>
      </w:r>
      <w:r>
        <w:t>第</w:t>
      </w:r>
      <w:r>
        <w:t>P</w:t>
      </w:r>
      <w:proofErr w:type="gramStart"/>
      <w:r>
        <w:t>个</w:t>
      </w:r>
      <w:proofErr w:type="gramEnd"/>
      <w:r>
        <w:t>主成分</w:t>
      </w:r>
      <w:r>
        <w:rPr>
          <w:rFonts w:hint="eastAsia"/>
        </w:rPr>
        <w:fldChar w:fldCharType="begin" w:fldLock="1"/>
      </w:r>
      <w:r>
        <w:rPr>
          <w:rFonts w:hint="eastAsia"/>
        </w:rPr>
        <w:instrText xml:space="preserve"> REF _Ref28849 \r \h </w:instrText>
      </w:r>
      <w:r>
        <w:instrText xml:space="preserve"> \* MERGEFORMAT </w:instrText>
      </w:r>
      <w:r>
        <w:rPr>
          <w:rFonts w:hint="eastAsia"/>
        </w:rPr>
      </w:r>
      <w:r>
        <w:rPr>
          <w:rFonts w:hint="eastAsia"/>
        </w:rPr>
        <w:fldChar w:fldCharType="separate"/>
      </w:r>
      <w:r>
        <w:rPr>
          <w:rFonts w:hint="eastAsia"/>
          <w:vertAlign w:val="superscript"/>
        </w:rPr>
        <w:t>[46]</w:t>
      </w:r>
      <w:r>
        <w:rPr>
          <w:rFonts w:hint="eastAsia"/>
        </w:rPr>
        <w:fldChar w:fldCharType="end"/>
      </w:r>
      <w:r>
        <w:rPr>
          <w:rFonts w:hint="eastAsia"/>
        </w:rPr>
        <w:t>。</w:t>
      </w:r>
      <w:r>
        <w:rPr>
          <w:rFonts w:hint="eastAsia"/>
          <w:color w:val="000000"/>
        </w:rPr>
        <w:t>主成分分析生成的新变量具有互不相关且方差递减的特性，既优化了原始变量的相关性，又避免了人为选择的主观偏差，有效实现了数据简化。</w:t>
      </w:r>
    </w:p>
    <w:p w14:paraId="7839BE83" w14:textId="77777777" w:rsidR="00D46586" w:rsidRDefault="00000000">
      <w:pPr>
        <w:pStyle w:val="3"/>
        <w:spacing w:before="78" w:after="78"/>
        <w:ind w:left="480"/>
      </w:pPr>
      <w:bookmarkStart w:id="79" w:name="_Toc199366285"/>
      <w:bookmarkStart w:id="80" w:name="_Toc230693485"/>
      <w:bookmarkStart w:id="81" w:name="_Toc6643"/>
      <w:bookmarkStart w:id="82" w:name="_Toc230815662"/>
      <w:r>
        <w:rPr>
          <w:rFonts w:hint="eastAsia"/>
        </w:rPr>
        <w:t xml:space="preserve">2.3.2 </w:t>
      </w:r>
      <w:r>
        <w:rPr>
          <w:rFonts w:hint="eastAsia"/>
        </w:rPr>
        <w:t>主成分分析法的计算模型</w:t>
      </w:r>
      <w:bookmarkEnd w:id="79"/>
      <w:bookmarkEnd w:id="80"/>
      <w:bookmarkEnd w:id="81"/>
      <w:bookmarkEnd w:id="82"/>
    </w:p>
    <w:p w14:paraId="5A4EA2D8" w14:textId="77777777" w:rsidR="00D46586" w:rsidRDefault="00000000">
      <w:pPr>
        <w:pStyle w:val="a3"/>
        <w:ind w:left="480" w:firstLine="480"/>
      </w:pPr>
      <w:r>
        <w:rPr>
          <w:rFonts w:hint="eastAsia"/>
        </w:rPr>
        <w:t>主成分分析是一种</w:t>
      </w:r>
      <w:proofErr w:type="gramStart"/>
      <w:r>
        <w:rPr>
          <w:rFonts w:hint="eastAsia"/>
        </w:rPr>
        <w:t>数据降维技术</w:t>
      </w:r>
      <w:proofErr w:type="gramEnd"/>
      <w:r>
        <w:rPr>
          <w:rFonts w:hint="eastAsia"/>
        </w:rPr>
        <w:t>，通过提取关键特征并剔除冗余信息来提升数据处理效率。该方法通过坐标旋转变换构建新的正交坐标系，使数据在新坐标轴上呈现最大离散度，并依据特征值大小对主成分进行排序，从而实现对高维数据的有效简化。从数学角度分析，假设有</w:t>
      </w:r>
      <w:r>
        <w:rPr>
          <w:rFonts w:hint="eastAsia"/>
        </w:rPr>
        <w:t>n</w:t>
      </w:r>
      <w:proofErr w:type="gramStart"/>
      <w:r>
        <w:rPr>
          <w:rFonts w:hint="eastAsia"/>
        </w:rPr>
        <w:t>个</w:t>
      </w:r>
      <w:proofErr w:type="gramEnd"/>
      <w:r>
        <w:rPr>
          <w:rFonts w:hint="eastAsia"/>
        </w:rPr>
        <w:t>样本，</w:t>
      </w:r>
      <w:r>
        <w:rPr>
          <w:rFonts w:hint="eastAsia"/>
        </w:rPr>
        <w:t>p</w:t>
      </w:r>
      <w:proofErr w:type="gramStart"/>
      <w:r>
        <w:rPr>
          <w:rFonts w:hint="eastAsia"/>
        </w:rPr>
        <w:t>个</w:t>
      </w:r>
      <w:proofErr w:type="gramEnd"/>
      <w:r>
        <w:rPr>
          <w:rFonts w:hint="eastAsia"/>
        </w:rPr>
        <w:t>指标，则可构成大小为</w:t>
      </w:r>
      <w:r>
        <w:rPr>
          <w:rFonts w:hint="eastAsia"/>
        </w:rPr>
        <w:t>n</w:t>
      </w:r>
      <w:r>
        <w:rPr>
          <w:rFonts w:hint="eastAsia"/>
        </w:rPr>
        <w:t>×</w:t>
      </w:r>
      <w:r>
        <w:rPr>
          <w:rFonts w:hint="eastAsia"/>
        </w:rPr>
        <w:t>p</w:t>
      </w:r>
      <w:r>
        <w:rPr>
          <w:rFonts w:hint="eastAsia"/>
        </w:rPr>
        <w:t>的样本矩阵</w:t>
      </w:r>
      <w:r>
        <w:rPr>
          <w:rFonts w:hint="eastAsia"/>
        </w:rPr>
        <w:t>x</w:t>
      </w:r>
      <w:r>
        <w:rPr>
          <w:rFonts w:hint="eastAsia"/>
        </w:rPr>
        <w:t>：</w:t>
      </w:r>
    </w:p>
    <w:p w14:paraId="15CA3108" w14:textId="77777777" w:rsidR="00D46586" w:rsidRDefault="00000000">
      <w:pPr>
        <w:ind w:left="480"/>
        <w:rPr>
          <w:color w:val="000000"/>
        </w:rPr>
      </w:pPr>
      <m:oMathPara>
        <m:oMath>
          <m:eqArr>
            <m:eqArrPr>
              <m:maxDist m:val="1"/>
              <m:ctrlPr>
                <w:rPr>
                  <w:rFonts w:ascii="Cambria Math" w:hAnsi="Cambria Math"/>
                  <w:i/>
                  <w:color w:val="000000"/>
                </w:rPr>
              </m:ctrlPr>
            </m:eqArrPr>
            <m:e>
              <m:r>
                <w:rPr>
                  <w:rFonts w:ascii="Cambria Math" w:hAnsi="Cambria Math"/>
                  <w:color w:val="000000"/>
                </w:rPr>
                <m:t>X=</m:t>
              </m:r>
              <m:d>
                <m:dPr>
                  <m:begChr m:val="["/>
                  <m:endChr m:val="]"/>
                  <m:ctrlPr>
                    <w:rPr>
                      <w:rFonts w:ascii="Cambria Math" w:hAnsi="Cambria Math"/>
                      <w:i/>
                      <w:color w:val="000000"/>
                    </w:rPr>
                  </m:ctrlPr>
                </m:dPr>
                <m:e>
                  <m:m>
                    <m:mPr>
                      <m:mcs>
                        <m:mc>
                          <m:mcPr>
                            <m:count m:val="2"/>
                            <m:mcJc m:val="center"/>
                          </m:mcPr>
                        </m:mc>
                      </m:mcs>
                      <m:ctrlPr>
                        <w:rPr>
                          <w:rFonts w:ascii="Cambria Math" w:hAnsi="Cambria Math"/>
                          <w:i/>
                          <w:color w:val="000000"/>
                        </w:rPr>
                      </m:ctrlPr>
                    </m:mPr>
                    <m:mr>
                      <m:e>
                        <m:m>
                          <m:mPr>
                            <m:mcs>
                              <m:mc>
                                <m:mcPr>
                                  <m:count m:val="2"/>
                                  <m:mcJc m:val="center"/>
                                </m:mcPr>
                              </m:mc>
                            </m:mcs>
                            <m:ctrlPr>
                              <w:rPr>
                                <w:rFonts w:ascii="Cambria Math" w:hAnsi="Cambria Math"/>
                                <w:i/>
                                <w:color w:val="000000"/>
                              </w:rPr>
                            </m:ctrlPr>
                          </m:mPr>
                          <m:m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11</m:t>
                                  </m:r>
                                </m:sub>
                              </m:sSub>
                            </m:e>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12</m:t>
                                  </m:r>
                                </m:sub>
                              </m:sSub>
                            </m:e>
                          </m:mr>
                          <m:m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21</m:t>
                                  </m:r>
                                </m:sub>
                              </m:sSub>
                            </m:e>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21</m:t>
                                  </m:r>
                                </m:sub>
                              </m:sSub>
                            </m:e>
                          </m:mr>
                        </m:m>
                      </m:e>
                      <m:e>
                        <m:m>
                          <m:mPr>
                            <m:mcs>
                              <m:mc>
                                <m:mcPr>
                                  <m:count m:val="2"/>
                                  <m:mcJc m:val="center"/>
                                </m:mcPr>
                              </m:mc>
                            </m:mcs>
                            <m:ctrlPr>
                              <w:rPr>
                                <w:rFonts w:ascii="Cambria Math" w:hAnsi="Cambria Math"/>
                                <w:i/>
                                <w:color w:val="000000"/>
                              </w:rPr>
                            </m:ctrlPr>
                          </m:mPr>
                          <m:mr>
                            <m:e>
                              <m:r>
                                <w:rPr>
                                  <w:rFonts w:ascii="Cambria Math" w:hAnsi="Cambria Math"/>
                                  <w:color w:val="000000"/>
                                </w:rPr>
                                <m:t>⋯</m:t>
                              </m:r>
                            </m:e>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1p</m:t>
                                  </m:r>
                                </m:sub>
                              </m:sSub>
                            </m:e>
                          </m:mr>
                          <m:mr>
                            <m:e>
                              <m:r>
                                <w:rPr>
                                  <w:rFonts w:ascii="Cambria Math" w:hAnsi="Cambria Math"/>
                                  <w:color w:val="000000"/>
                                </w:rPr>
                                <m:t>⋯</m:t>
                              </m:r>
                            </m:e>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2p</m:t>
                                  </m:r>
                                </m:sub>
                              </m:sSub>
                            </m:e>
                          </m:mr>
                        </m:m>
                      </m:e>
                    </m:mr>
                    <m:mr>
                      <m:e>
                        <m:m>
                          <m:mPr>
                            <m:mcs>
                              <m:mc>
                                <m:mcPr>
                                  <m:count m:val="2"/>
                                  <m:mcJc m:val="center"/>
                                </m:mcPr>
                              </m:mc>
                            </m:mcs>
                            <m:ctrlPr>
                              <w:rPr>
                                <w:rFonts w:ascii="Cambria Math" w:hAnsi="Cambria Math"/>
                                <w:i/>
                                <w:color w:val="000000"/>
                              </w:rPr>
                            </m:ctrlPr>
                          </m:mPr>
                          <m:mr>
                            <m:e>
                              <m:r>
                                <w:rPr>
                                  <w:rFonts w:ascii="Cambria Math" w:hAnsi="Cambria Math"/>
                                  <w:color w:val="000000"/>
                                </w:rPr>
                                <m:t>⋮</m:t>
                              </m:r>
                            </m:e>
                            <m:e>
                              <m:r>
                                <w:rPr>
                                  <w:rFonts w:ascii="Cambria Math" w:hAnsi="Cambria Math"/>
                                  <w:color w:val="000000"/>
                                </w:rPr>
                                <m:t>⋮</m:t>
                              </m:r>
                            </m:e>
                          </m:mr>
                          <m:m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n1</m:t>
                                  </m:r>
                                </m:sub>
                              </m:sSub>
                            </m:e>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n2</m:t>
                                  </m:r>
                                </m:sub>
                              </m:sSub>
                            </m:e>
                          </m:mr>
                        </m:m>
                      </m:e>
                      <m:e>
                        <m:m>
                          <m:mPr>
                            <m:mcs>
                              <m:mc>
                                <m:mcPr>
                                  <m:count m:val="2"/>
                                  <m:mcJc m:val="center"/>
                                </m:mcPr>
                              </m:mc>
                            </m:mcs>
                            <m:ctrlPr>
                              <w:rPr>
                                <w:rFonts w:ascii="Cambria Math" w:hAnsi="Cambria Math"/>
                                <w:i/>
                                <w:color w:val="000000"/>
                              </w:rPr>
                            </m:ctrlPr>
                          </m:mPr>
                          <m:mr>
                            <m:e>
                              <m:r>
                                <w:rPr>
                                  <w:rFonts w:ascii="Cambria Math" w:hAnsi="Cambria Math"/>
                                  <w:color w:val="000000"/>
                                </w:rPr>
                                <m:t>⋱</m:t>
                              </m:r>
                            </m:e>
                            <m:e>
                              <m:r>
                                <w:rPr>
                                  <w:rFonts w:ascii="Cambria Math" w:hAnsi="Cambria Math"/>
                                  <w:color w:val="000000"/>
                                </w:rPr>
                                <m:t>⋮</m:t>
                              </m:r>
                            </m:e>
                          </m:mr>
                          <m:mr>
                            <m:e>
                              <m:r>
                                <w:rPr>
                                  <w:rFonts w:ascii="Cambria Math" w:hAnsi="Cambria Math"/>
                                  <w:color w:val="000000"/>
                                </w:rPr>
                                <m:t>⋯</m:t>
                              </m:r>
                            </m:e>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np</m:t>
                                  </m:r>
                                </m:sub>
                              </m:sSub>
                            </m:e>
                          </m:mr>
                        </m:m>
                      </m:e>
                    </m:mr>
                  </m:m>
                </m:e>
              </m:d>
              <m:r>
                <w:rPr>
                  <w:rFonts w:ascii="Cambria Math" w:hAnsi="Cambria Math"/>
                  <w:color w:val="000000"/>
                </w:rPr>
                <m:t>=</m:t>
              </m:r>
              <m:d>
                <m:dPr>
                  <m:begChr m:val="["/>
                  <m:endChr m:val="]"/>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m:t>
                      </m:r>
                    </m:sub>
                  </m:sSub>
                  <m:r>
                    <w:rPr>
                      <w:rFonts w:ascii="Cambria Math" w:hAnsi="Cambria Math"/>
                      <w:color w:val="000000"/>
                    </w:rPr>
                    <m:t>,⋯</m:t>
                  </m:r>
                  <m:r>
                    <m:rPr>
                      <m:sty m:val="p"/>
                    </m:rP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p</m:t>
                      </m:r>
                    </m:sub>
                  </m:sSub>
                </m:e>
              </m:d>
              <m:r>
                <w:rPr>
                  <w:rFonts w:ascii="Cambria Math" w:hAnsi="Cambria Math"/>
                  <w:color w:val="000000"/>
                </w:rPr>
                <m:t>#</m:t>
              </m:r>
              <m:d>
                <m:dPr>
                  <m:ctrlPr>
                    <w:rPr>
                      <w:rFonts w:ascii="Cambria Math" w:hAnsi="Cambria Math"/>
                      <w:i/>
                      <w:color w:val="000000"/>
                    </w:rPr>
                  </m:ctrlPr>
                </m:dPr>
                <m:e>
                  <m:r>
                    <w:rPr>
                      <w:rFonts w:ascii="Cambria Math" w:hAnsi="Cambria Math"/>
                      <w:color w:val="000000"/>
                    </w:rPr>
                    <m:t>2.14</m:t>
                  </m:r>
                </m:e>
              </m:d>
            </m:e>
          </m:eqArr>
        </m:oMath>
      </m:oMathPara>
    </w:p>
    <w:p w14:paraId="08C7BD5A" w14:textId="77777777" w:rsidR="00D46586" w:rsidRDefault="00000000">
      <w:pPr>
        <w:pStyle w:val="a3"/>
        <w:ind w:left="480" w:firstLine="480"/>
      </w:pPr>
      <w:r>
        <w:rPr>
          <w:rFonts w:hint="eastAsia"/>
        </w:rPr>
        <w:t>其中：</w:t>
      </w:r>
      <m:oMath>
        <m:r>
          <w:rPr>
            <w:rFonts w:ascii="Cambria Math" w:hAnsi="Cambria Math" w:hint="eastAsia"/>
          </w:rPr>
          <m:t>xi</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hint="eastAsia"/>
                      </w:rPr>
                      <m:t>x</m:t>
                    </m:r>
                  </m:e>
                  <m:sub>
                    <m:r>
                      <m:rPr>
                        <m:sty m:val="p"/>
                      </m:rPr>
                      <w:rPr>
                        <w:rFonts w:ascii="Cambria Math" w:hAnsi="Cambria Math"/>
                      </w:rPr>
                      <m:t>1</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ni</m:t>
                    </m:r>
                  </m:sub>
                </m:sSub>
              </m:e>
            </m:d>
          </m:e>
          <m:sup>
            <m:r>
              <w:rPr>
                <w:rFonts w:ascii="Cambria Math" w:hAnsi="Cambria Math"/>
              </w:rPr>
              <m:t>T</m:t>
            </m:r>
          </m:sup>
        </m:sSup>
        <m:r>
          <m:rPr>
            <m:sty m:val="p"/>
          </m:rPr>
          <w:rPr>
            <w:rFonts w:ascii="Cambria Math" w:hAnsi="Cambria Math"/>
          </w:rPr>
          <m:t>,</m:t>
        </m:r>
        <m:r>
          <w:rPr>
            <w:rFonts w:ascii="Cambria Math" w:hAnsi="Cambria Math"/>
          </w:rPr>
          <m:t>i</m:t>
        </m:r>
        <m:r>
          <m:rPr>
            <m:sty m:val="p"/>
          </m:rPr>
          <w:rPr>
            <w:rFonts w:ascii="Cambria Math" w:hAnsi="Cambria Math"/>
          </w:rPr>
          <m:t>=1,2,⋯,</m:t>
        </m:r>
        <m:r>
          <w:rPr>
            <w:rFonts w:ascii="Cambria Math" w:hAnsi="Cambria Math"/>
          </w:rPr>
          <m:t>p</m:t>
        </m:r>
      </m:oMath>
    </w:p>
    <w:p w14:paraId="71B7D712" w14:textId="77777777" w:rsidR="00D46586" w:rsidRDefault="00000000">
      <w:pPr>
        <w:ind w:left="480"/>
        <w:rPr>
          <w:color w:val="000000"/>
        </w:rPr>
      </w:pPr>
      <w:r>
        <w:rPr>
          <w:rFonts w:ascii="TimesNewRoman" w:hAnsi="TimesNewRoman"/>
          <w:color w:val="000000"/>
        </w:rPr>
        <w:t>PCA</w:t>
      </w:r>
      <w:r>
        <w:rPr>
          <w:rFonts w:hint="eastAsia"/>
          <w:color w:val="000000"/>
        </w:rPr>
        <w:t>就是将原有的</w:t>
      </w:r>
      <w:r>
        <w:rPr>
          <w:rFonts w:ascii="TimesNewRoman" w:hAnsi="TimesNewRoman"/>
          <w:color w:val="000000"/>
        </w:rPr>
        <w:t>P</w:t>
      </w:r>
      <w:proofErr w:type="gramStart"/>
      <w:r>
        <w:rPr>
          <w:rFonts w:hint="eastAsia"/>
          <w:color w:val="000000"/>
        </w:rPr>
        <w:t>个</w:t>
      </w:r>
      <w:proofErr w:type="gramEnd"/>
      <w:r>
        <w:rPr>
          <w:rFonts w:hint="eastAsia"/>
          <w:color w:val="000000"/>
        </w:rPr>
        <w:t>观测变量</w:t>
      </w:r>
      <w:r>
        <w:rPr>
          <w:rFonts w:ascii="TimesNewRoman" w:hAnsi="TimesNewRoman"/>
          <w:color w:val="000000"/>
        </w:rPr>
        <w:t>X</w:t>
      </w:r>
      <w:r>
        <w:rPr>
          <w:rFonts w:ascii="TimesNewRoman" w:hAnsi="TimesNewRoman"/>
          <w:color w:val="000000"/>
          <w:sz w:val="16"/>
          <w:szCs w:val="16"/>
        </w:rPr>
        <w:t>1</w:t>
      </w:r>
      <w:r>
        <w:rPr>
          <w:rFonts w:hint="eastAsia"/>
          <w:color w:val="000000"/>
        </w:rPr>
        <w:t>,</w:t>
      </w:r>
      <w:r>
        <w:rPr>
          <w:rFonts w:ascii="TimesNewRoman" w:hAnsi="TimesNewRoman"/>
          <w:color w:val="000000"/>
        </w:rPr>
        <w:t>X</w:t>
      </w:r>
      <w:r>
        <w:rPr>
          <w:rFonts w:ascii="TimesNewRoman" w:hAnsi="TimesNewRoman"/>
          <w:color w:val="000000"/>
          <w:sz w:val="16"/>
          <w:szCs w:val="16"/>
        </w:rPr>
        <w:t>2</w:t>
      </w:r>
      <w:r>
        <w:rPr>
          <w:rFonts w:ascii="TimesNewRoman" w:hAnsi="TimesNewRoman"/>
          <w:color w:val="000000"/>
        </w:rPr>
        <w:t xml:space="preserve"> </w:t>
      </w:r>
      <w:r>
        <w:rPr>
          <w:rFonts w:ascii="TimesNewRoman" w:hAnsi="TimesNewRoman" w:hint="eastAsia"/>
          <w:color w:val="000000"/>
        </w:rPr>
        <w:t>,</w:t>
      </w:r>
      <w:r>
        <w:rPr>
          <w:rFonts w:ascii="宋体" w:hAnsi="宋体" w:hint="eastAsia"/>
          <w:color w:val="000000"/>
        </w:rPr>
        <w:t>…</w:t>
      </w:r>
      <w:r>
        <w:rPr>
          <w:rFonts w:ascii="TimesNewRoman" w:hAnsi="TimesNewRoman" w:hint="eastAsia"/>
          <w:color w:val="000000"/>
        </w:rPr>
        <w:t>,</w:t>
      </w:r>
      <w:r>
        <w:rPr>
          <w:rFonts w:ascii="TimesNewRoman" w:hAnsi="TimesNewRoman"/>
          <w:color w:val="000000"/>
        </w:rPr>
        <w:t>X</w:t>
      </w:r>
      <w:r>
        <w:rPr>
          <w:rFonts w:ascii="TimesNewRoman" w:hAnsi="TimesNewRoman"/>
          <w:color w:val="000000"/>
          <w:sz w:val="16"/>
          <w:szCs w:val="16"/>
        </w:rPr>
        <w:t xml:space="preserve">P </w:t>
      </w:r>
      <w:r>
        <w:rPr>
          <w:rFonts w:hint="eastAsia"/>
          <w:color w:val="000000"/>
        </w:rPr>
        <w:t>综合，形成</w:t>
      </w:r>
      <w:r>
        <w:rPr>
          <w:rFonts w:ascii="TimesNewRoman" w:hAnsi="TimesNewRoman"/>
          <w:color w:val="000000"/>
        </w:rPr>
        <w:t>P</w:t>
      </w:r>
      <w:proofErr w:type="gramStart"/>
      <w:r>
        <w:rPr>
          <w:rFonts w:hint="eastAsia"/>
          <w:color w:val="000000"/>
        </w:rPr>
        <w:t>个</w:t>
      </w:r>
      <w:proofErr w:type="gramEnd"/>
      <w:r>
        <w:rPr>
          <w:rFonts w:hint="eastAsia"/>
          <w:color w:val="000000"/>
        </w:rPr>
        <w:t>新变量，</w:t>
      </w:r>
      <w:r>
        <w:rPr>
          <w:rFonts w:hint="eastAsia"/>
          <w:color w:val="000000"/>
        </w:rPr>
        <w:t xml:space="preserve"> </w:t>
      </w:r>
      <w:r>
        <w:rPr>
          <w:rFonts w:hint="eastAsia"/>
          <w:color w:val="000000"/>
        </w:rPr>
        <w:t>即：</w:t>
      </w:r>
    </w:p>
    <w:p w14:paraId="34C2C247" w14:textId="77777777" w:rsidR="00D46586" w:rsidRDefault="00000000">
      <w:pPr>
        <w:ind w:left="480"/>
        <w:rPr>
          <w:color w:val="000000"/>
        </w:rPr>
      </w:pPr>
      <m:oMathPara>
        <m:oMath>
          <m:eqArr>
            <m:eqArrPr>
              <m:maxDist m:val="1"/>
              <m:ctrlPr>
                <w:rPr>
                  <w:rFonts w:ascii="Cambria Math" w:hAnsi="Cambria Math"/>
                  <w:i/>
                  <w:color w:val="000000"/>
                </w:rPr>
              </m:ctrlPr>
            </m:eqArrPr>
            <m:e>
              <m:d>
                <m:dPr>
                  <m:begChr m:val="{"/>
                  <m:endChr m:val=""/>
                  <m:ctrlPr>
                    <w:rPr>
                      <w:rFonts w:ascii="Cambria Math" w:hAnsi="Cambria Math"/>
                      <w:i/>
                      <w:color w:val="000000"/>
                    </w:rPr>
                  </m:ctrlPr>
                </m:dPr>
                <m:e>
                  <m:eqArr>
                    <m:eqArrPr>
                      <m:ctrlPr>
                        <w:rPr>
                          <w:rFonts w:ascii="Cambria Math" w:hAnsi="Cambria Math"/>
                          <w:i/>
                          <w:color w:val="000000"/>
                        </w:rPr>
                      </m:ctrlPr>
                    </m:eqArrPr>
                    <m:e>
                      <w:bookmarkStart w:id="83" w:name="_Hlk199069763"/>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11</m:t>
                          </m:r>
                        </m:sub>
                      </m:sSub>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12</m:t>
                          </m:r>
                        </m:sub>
                      </m:sSub>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1p</m:t>
                          </m:r>
                        </m:sub>
                      </m:sSub>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p</m:t>
                          </m:r>
                        </m:sub>
                      </m:sSub>
                      <w:bookmarkEnd w:id="83"/>
                    </m:e>
                    <m:e>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2</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21</m:t>
                          </m:r>
                        </m:sub>
                      </m:sSub>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22</m:t>
                          </m:r>
                        </m:sub>
                      </m:sSub>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2p</m:t>
                          </m:r>
                        </m:sub>
                      </m:sSub>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p</m:t>
                          </m:r>
                        </m:sub>
                      </m:sSub>
                    </m:e>
                    <m:e>
                      <m:f>
                        <m:fPr>
                          <m:type m:val="noBar"/>
                          <m:ctrlPr>
                            <w:rPr>
                              <w:rFonts w:ascii="Cambria Math" w:hAnsi="Cambria Math"/>
                              <w:i/>
                              <w:color w:val="000000"/>
                            </w:rPr>
                          </m:ctrlPr>
                        </m:fPr>
                        <m:num>
                          <m:r>
                            <w:rPr>
                              <w:rFonts w:ascii="Cambria Math" w:hAnsi="Cambria Math"/>
                              <w:color w:val="000000"/>
                            </w:rPr>
                            <m:t>⋯</m:t>
                          </m:r>
                        </m:num>
                        <m:den>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p</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p1</m:t>
                              </m:r>
                            </m:sub>
                          </m:sSub>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p2</m:t>
                              </m:r>
                            </m:sub>
                          </m:sSub>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pp</m:t>
                              </m:r>
                            </m:sub>
                          </m:sSub>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p</m:t>
                              </m:r>
                            </m:sub>
                          </m:sSub>
                        </m:den>
                      </m:f>
                    </m:e>
                  </m:eqArr>
                </m:e>
              </m:d>
              <m:r>
                <w:rPr>
                  <w:rFonts w:ascii="Cambria Math" w:hAnsi="Cambria Math"/>
                  <w:color w:val="000000"/>
                </w:rPr>
                <m:t>#</m:t>
              </m:r>
              <m:d>
                <m:dPr>
                  <m:ctrlPr>
                    <w:rPr>
                      <w:rFonts w:ascii="Cambria Math" w:hAnsi="Cambria Math"/>
                      <w:iCs/>
                      <w:color w:val="000000"/>
                    </w:rPr>
                  </m:ctrlPr>
                </m:dPr>
                <m:e>
                  <m:r>
                    <m:rPr>
                      <m:sty m:val="p"/>
                    </m:rPr>
                    <w:rPr>
                      <w:rFonts w:ascii="Cambria Math" w:hAnsi="Cambria Math"/>
                      <w:color w:val="000000"/>
                    </w:rPr>
                    <m:t>2.15</m:t>
                  </m:r>
                </m:e>
              </m:d>
            </m:e>
          </m:eqArr>
        </m:oMath>
      </m:oMathPara>
    </w:p>
    <w:p w14:paraId="2EA3F7A2" w14:textId="77777777" w:rsidR="00D46586" w:rsidRDefault="00000000">
      <w:pPr>
        <w:ind w:left="480" w:firstLineChars="200" w:firstLine="480"/>
        <w:rPr>
          <w:iCs/>
          <w:color w:val="000000"/>
        </w:rPr>
      </w:pPr>
      <w:r>
        <w:rPr>
          <w:rFonts w:hint="eastAsia"/>
          <w:iCs/>
          <w:color w:val="000000"/>
        </w:rPr>
        <w:t>简化为：</w:t>
      </w:r>
    </w:p>
    <w:p w14:paraId="635FD386" w14:textId="77777777" w:rsidR="00D46586" w:rsidRDefault="00000000">
      <w:pPr>
        <w:ind w:left="480"/>
        <w:rPr>
          <w:iCs/>
          <w:color w:val="000000"/>
        </w:rPr>
      </w:pPr>
      <m:oMathPara>
        <m:oMath>
          <m:eqArr>
            <m:eqArrPr>
              <m:maxDist m:val="1"/>
              <m:ctrlPr>
                <w:rPr>
                  <w:rFonts w:ascii="Cambria Math" w:hAnsi="Cambria Math"/>
                  <w:color w:val="000000"/>
                </w:rPr>
              </m:ctrlPr>
            </m:eqArrPr>
            <m:e>
              <m:sSub>
                <m:sSubPr>
                  <m:ctrlPr>
                    <w:rPr>
                      <w:rFonts w:ascii="Cambria Math" w:hAnsi="Cambria Math"/>
                      <w:i/>
                      <w:iCs/>
                      <w:color w:val="000000"/>
                    </w:rPr>
                  </m:ctrlPr>
                </m:sSubPr>
                <m:e>
                  <m:r>
                    <w:rPr>
                      <w:rFonts w:ascii="Cambria Math" w:hAnsi="Cambria Math"/>
                      <w:color w:val="000000"/>
                    </w:rPr>
                    <m:t>F</m:t>
                  </m:r>
                </m:e>
                <m:sub>
                  <m:r>
                    <w:rPr>
                      <w:rFonts w:ascii="Cambria Math" w:hAnsi="Cambria Math"/>
                      <w:color w:val="000000"/>
                    </w:rPr>
                    <m:t>i</m:t>
                  </m:r>
                </m:sub>
              </m:sSub>
              <m:r>
                <w:rPr>
                  <w:rFonts w:ascii="Cambria Math" w:hAnsi="Cambria Math"/>
                  <w:color w:val="000000"/>
                </w:rPr>
                <m:t>=</m:t>
              </m:r>
              <m:sSub>
                <m:sSubPr>
                  <m:ctrlPr>
                    <w:rPr>
                      <w:rFonts w:ascii="Cambria Math" w:hAnsi="Cambria Math"/>
                      <w:i/>
                      <w:iCs/>
                      <w:color w:val="000000"/>
                    </w:rPr>
                  </m:ctrlPr>
                </m:sSubPr>
                <m:e>
                  <m:r>
                    <w:rPr>
                      <w:rFonts w:ascii="Cambria Math" w:hAnsi="Cambria Math"/>
                      <w:color w:val="000000"/>
                    </w:rPr>
                    <m:t>w</m:t>
                  </m:r>
                </m:e>
                <m:sub>
                  <m:r>
                    <w:rPr>
                      <w:rFonts w:ascii="Cambria Math" w:hAnsi="Cambria Math"/>
                      <w:color w:val="000000"/>
                    </w:rPr>
                    <m:t>1i</m:t>
                  </m:r>
                </m:sub>
              </m:sSub>
              <m:sSub>
                <m:sSubPr>
                  <m:ctrlPr>
                    <w:rPr>
                      <w:rFonts w:ascii="Cambria Math" w:hAnsi="Cambria Math"/>
                      <w:i/>
                      <w:iCs/>
                      <w:color w:val="000000"/>
                    </w:rPr>
                  </m:ctrlPr>
                </m:sSubPr>
                <m:e>
                  <m:r>
                    <w:rPr>
                      <w:rFonts w:ascii="Cambria Math" w:hAnsi="Cambria Math"/>
                      <w:color w:val="000000"/>
                    </w:rPr>
                    <m:t>x</m:t>
                  </m:r>
                </m:e>
                <m:sub>
                  <m:r>
                    <w:rPr>
                      <w:rFonts w:ascii="Cambria Math" w:hAnsi="Cambria Math"/>
                      <w:color w:val="000000"/>
                    </w:rPr>
                    <m:t>1</m:t>
                  </m:r>
                </m:sub>
              </m:sSub>
              <m:r>
                <w:rPr>
                  <w:rFonts w:ascii="Cambria Math" w:hAnsi="Cambria Math"/>
                  <w:color w:val="000000"/>
                </w:rPr>
                <m:t>+</m:t>
              </m:r>
              <m:sSub>
                <m:sSubPr>
                  <m:ctrlPr>
                    <w:rPr>
                      <w:rFonts w:ascii="Cambria Math" w:hAnsi="Cambria Math"/>
                      <w:i/>
                      <w:iCs/>
                      <w:color w:val="000000"/>
                    </w:rPr>
                  </m:ctrlPr>
                </m:sSubPr>
                <m:e>
                  <m:r>
                    <w:rPr>
                      <w:rFonts w:ascii="Cambria Math" w:hAnsi="Cambria Math"/>
                      <w:color w:val="000000"/>
                    </w:rPr>
                    <m:t>w</m:t>
                  </m:r>
                </m:e>
                <m:sub>
                  <m:r>
                    <w:rPr>
                      <w:rFonts w:ascii="Cambria Math" w:hAnsi="Cambria Math"/>
                      <w:color w:val="000000"/>
                    </w:rPr>
                    <m:t>2i</m:t>
                  </m:r>
                </m:sub>
              </m:sSub>
              <m:sSub>
                <m:sSubPr>
                  <m:ctrlPr>
                    <w:rPr>
                      <w:rFonts w:ascii="Cambria Math" w:hAnsi="Cambria Math"/>
                      <w:i/>
                      <w:iCs/>
                      <w:color w:val="000000"/>
                    </w:rPr>
                  </m:ctrlPr>
                </m:sSubPr>
                <m:e>
                  <m:r>
                    <w:rPr>
                      <w:rFonts w:ascii="Cambria Math" w:hAnsi="Cambria Math"/>
                      <w:color w:val="000000"/>
                    </w:rPr>
                    <m:t>x</m:t>
                  </m:r>
                </m:e>
                <m:sub>
                  <m:r>
                    <w:rPr>
                      <w:rFonts w:ascii="Cambria Math" w:hAnsi="Cambria Math"/>
                      <w:color w:val="000000"/>
                    </w:rPr>
                    <m:t>2</m:t>
                  </m:r>
                </m:sub>
              </m:sSub>
              <m:r>
                <w:rPr>
                  <w:rFonts w:ascii="Cambria Math" w:hAnsi="Cambria Math"/>
                  <w:color w:val="000000"/>
                </w:rPr>
                <m:t>+⋯+</m:t>
              </m:r>
              <m:sSub>
                <m:sSubPr>
                  <m:ctrlPr>
                    <w:rPr>
                      <w:rFonts w:ascii="Cambria Math" w:hAnsi="Cambria Math"/>
                      <w:i/>
                      <w:iCs/>
                      <w:color w:val="000000"/>
                    </w:rPr>
                  </m:ctrlPr>
                </m:sSubPr>
                <m:e>
                  <m:r>
                    <w:rPr>
                      <w:rFonts w:ascii="Cambria Math" w:hAnsi="Cambria Math"/>
                      <w:color w:val="000000"/>
                    </w:rPr>
                    <m:t>w</m:t>
                  </m:r>
                </m:e>
                <m:sub>
                  <m:r>
                    <w:rPr>
                      <w:rFonts w:ascii="Cambria Math" w:hAnsi="Cambria Math"/>
                      <w:color w:val="000000"/>
                    </w:rPr>
                    <m:t>pi</m:t>
                  </m:r>
                </m:sub>
              </m:sSub>
              <m:sSub>
                <m:sSubPr>
                  <m:ctrlPr>
                    <w:rPr>
                      <w:rFonts w:ascii="Cambria Math" w:hAnsi="Cambria Math"/>
                      <w:i/>
                      <w:iCs/>
                      <w:color w:val="000000"/>
                    </w:rPr>
                  </m:ctrlPr>
                </m:sSubPr>
                <m:e>
                  <m:r>
                    <w:rPr>
                      <w:rFonts w:ascii="Cambria Math" w:hAnsi="Cambria Math"/>
                      <w:color w:val="000000"/>
                    </w:rPr>
                    <m:t>x</m:t>
                  </m:r>
                </m:e>
                <m:sub>
                  <m:r>
                    <w:rPr>
                      <w:rFonts w:ascii="Cambria Math" w:hAnsi="Cambria Math"/>
                      <w:color w:val="000000"/>
                    </w:rPr>
                    <m:t>p</m:t>
                  </m:r>
                </m:sub>
              </m:sSub>
              <m:r>
                <w:rPr>
                  <w:rFonts w:ascii="Cambria Math" w:hAnsi="Cambria Math" w:hint="eastAsia"/>
                  <w:color w:val="000000"/>
                </w:rPr>
                <m:t>，</m:t>
              </m:r>
              <m:r>
                <w:rPr>
                  <w:rFonts w:ascii="Cambria Math" w:hAnsi="Cambria Math"/>
                  <w:color w:val="000000"/>
                </w:rPr>
                <m:t>i=1,2,⋯,p#</m:t>
              </m:r>
              <m:d>
                <m:dPr>
                  <m:ctrlPr>
                    <w:rPr>
                      <w:rFonts w:ascii="Cambria Math" w:hAnsi="Cambria Math"/>
                      <w:color w:val="000000"/>
                    </w:rPr>
                  </m:ctrlPr>
                </m:dPr>
                <m:e>
                  <m:r>
                    <m:rPr>
                      <m:sty m:val="p"/>
                    </m:rPr>
                    <w:rPr>
                      <w:rFonts w:ascii="Cambria Math" w:hAnsi="Cambria Math"/>
                      <w:color w:val="000000"/>
                    </w:rPr>
                    <m:t>2.16</m:t>
                  </m:r>
                </m:e>
              </m:d>
              <m:ctrlPr>
                <w:rPr>
                  <w:rFonts w:ascii="Cambria Math" w:hAnsi="Cambria Math"/>
                  <w:i/>
                  <w:iCs/>
                  <w:color w:val="000000"/>
                </w:rPr>
              </m:ctrlPr>
            </m:e>
          </m:eqArr>
        </m:oMath>
      </m:oMathPara>
    </w:p>
    <w:p w14:paraId="6E429511" w14:textId="77777777" w:rsidR="00D46586" w:rsidRDefault="00000000">
      <w:pPr>
        <w:ind w:left="480"/>
      </w:pPr>
      <w:r>
        <w:rPr>
          <w:rFonts w:hint="eastAsia"/>
        </w:rPr>
        <w:t>上式中：</w:t>
      </w:r>
      <w:r>
        <w:rPr>
          <w:rFonts w:hint="eastAsia"/>
          <w:i/>
          <w:iCs/>
        </w:rPr>
        <w:t>x</w:t>
      </w:r>
      <w:r>
        <w:rPr>
          <w:rFonts w:hint="eastAsia"/>
          <w:i/>
          <w:iCs/>
          <w:vertAlign w:val="subscript"/>
        </w:rPr>
        <w:t>i</w:t>
      </w:r>
      <w:r>
        <w:rPr>
          <w:rFonts w:asciiTheme="minorEastAsia" w:hAnsiTheme="minorEastAsia" w:hint="eastAsia"/>
        </w:rPr>
        <w:t>和</w:t>
      </w:r>
      <w:r>
        <w:rPr>
          <w:rFonts w:hint="eastAsia"/>
          <w:i/>
          <w:iCs/>
        </w:rPr>
        <w:t>F</w:t>
      </w:r>
      <w:r>
        <w:rPr>
          <w:rFonts w:hint="eastAsia"/>
          <w:i/>
          <w:iCs/>
          <w:vertAlign w:val="subscript"/>
        </w:rPr>
        <w:t>i</w:t>
      </w:r>
      <w:r>
        <w:rPr>
          <w:rFonts w:hint="eastAsia"/>
        </w:rPr>
        <w:t>同为</w:t>
      </w:r>
      <w:r>
        <w:rPr>
          <w:rFonts w:hint="eastAsia"/>
          <w:i/>
          <w:iCs/>
        </w:rPr>
        <w:t>n</w:t>
      </w:r>
      <w:r>
        <w:rPr>
          <w:rFonts w:hint="eastAsia"/>
        </w:rPr>
        <w:t>维向量。</w:t>
      </w:r>
    </w:p>
    <w:p w14:paraId="0B5DA1C5" w14:textId="77777777" w:rsidR="00D46586" w:rsidRDefault="00000000">
      <w:pPr>
        <w:ind w:left="480"/>
      </w:pPr>
      <w:r>
        <w:rPr>
          <w:rFonts w:hint="eastAsia"/>
        </w:rPr>
        <w:t>上述公式需要满足如下条件：</w:t>
      </w:r>
    </w:p>
    <w:p w14:paraId="2213A7F5" w14:textId="77777777" w:rsidR="00D46586" w:rsidRDefault="00000000">
      <w:pPr>
        <w:pStyle w:val="afb"/>
        <w:numPr>
          <w:ilvl w:val="0"/>
          <w:numId w:val="1"/>
        </w:numPr>
        <w:spacing w:before="40" w:after="40" w:line="288" w:lineRule="auto"/>
        <w:ind w:left="840" w:firstLineChars="0"/>
        <w:rPr>
          <w:color w:val="000000"/>
        </w:rPr>
      </w:pPr>
      <w:bookmarkStart w:id="84" w:name="_Ref27722"/>
      <w:r>
        <w:rPr>
          <w:rFonts w:hint="eastAsia"/>
          <w:i/>
          <w:iCs/>
          <w:color w:val="000000"/>
        </w:rPr>
        <w:t>F</w:t>
      </w:r>
      <w:r>
        <w:rPr>
          <w:rFonts w:hint="eastAsia"/>
          <w:i/>
          <w:iCs/>
          <w:color w:val="000000"/>
          <w:vertAlign w:val="subscript"/>
        </w:rPr>
        <w:t>i</w:t>
      </w:r>
      <w:r>
        <w:rPr>
          <w:rFonts w:hint="eastAsia"/>
          <w:color w:val="000000"/>
        </w:rPr>
        <w:t>,</w:t>
      </w:r>
      <w:r>
        <w:rPr>
          <w:rFonts w:hint="eastAsia"/>
          <w:i/>
          <w:iCs/>
          <w:color w:val="000000"/>
        </w:rPr>
        <w:t xml:space="preserve"> F</w:t>
      </w:r>
      <w:r>
        <w:rPr>
          <w:rFonts w:hint="eastAsia"/>
          <w:i/>
          <w:iCs/>
          <w:color w:val="000000"/>
          <w:vertAlign w:val="subscript"/>
        </w:rPr>
        <w:t>j</w:t>
      </w:r>
      <w:r>
        <w:rPr>
          <w:rFonts w:hint="eastAsia"/>
          <w:color w:val="000000"/>
        </w:rPr>
        <w:t>互不相关。</w:t>
      </w:r>
      <w:r>
        <w:rPr>
          <w:rFonts w:hint="eastAsia"/>
          <w:color w:val="000000"/>
        </w:rPr>
        <w:t>(</w:t>
      </w:r>
      <m:oMath>
        <m:r>
          <w:rPr>
            <w:rFonts w:ascii="Cambria Math" w:hAnsi="Cambria Math" w:hint="eastAsia"/>
            <w:color w:val="000000"/>
          </w:rPr>
          <m:t>i</m:t>
        </m:r>
        <m:r>
          <w:rPr>
            <w:rFonts w:ascii="Cambria Math" w:hAnsi="Cambria Math"/>
            <w:color w:val="000000"/>
          </w:rPr>
          <m:t>≠</m:t>
        </m:r>
        <m:r>
          <w:rPr>
            <w:rFonts w:ascii="Cambria Math" w:hAnsi="Cambria Math" w:hint="eastAsia"/>
            <w:color w:val="000000"/>
          </w:rPr>
          <m:t>j</m:t>
        </m:r>
        <m:r>
          <m:rPr>
            <m:sty m:val="p"/>
          </m:rPr>
          <w:rPr>
            <w:rFonts w:ascii="Cambria Math" w:hAnsi="Cambria Math" w:hint="eastAsia"/>
            <w:color w:val="000000"/>
          </w:rPr>
          <m:t>，</m:t>
        </m:r>
        <m:r>
          <m:rPr>
            <m:sty m:val="p"/>
          </m:rPr>
          <w:rPr>
            <w:rFonts w:ascii="Cambria Math" w:hAnsi="Cambria Math"/>
            <w:color w:val="000000"/>
          </w:rPr>
          <m:t>I,j=1,2,⋯,p</m:t>
        </m:r>
      </m:oMath>
      <w:r>
        <w:rPr>
          <w:rFonts w:hint="eastAsia"/>
          <w:color w:val="000000"/>
        </w:rPr>
        <w:t>)</w:t>
      </w:r>
      <w:bookmarkEnd w:id="84"/>
    </w:p>
    <w:p w14:paraId="671F2DFB" w14:textId="77777777" w:rsidR="00D46586" w:rsidRDefault="00000000">
      <w:pPr>
        <w:pStyle w:val="afb"/>
        <w:numPr>
          <w:ilvl w:val="0"/>
          <w:numId w:val="1"/>
        </w:numPr>
        <w:spacing w:before="40" w:after="40" w:line="288" w:lineRule="auto"/>
        <w:ind w:left="840" w:firstLineChars="0"/>
        <w:rPr>
          <w:color w:val="000000"/>
        </w:rPr>
      </w:pPr>
      <w:r>
        <w:rPr>
          <w:rFonts w:hint="eastAsia"/>
          <w:i/>
          <w:iCs/>
          <w:color w:val="000000"/>
        </w:rPr>
        <w:lastRenderedPageBreak/>
        <w:t>F</w:t>
      </w:r>
      <w:r>
        <w:rPr>
          <w:rFonts w:hint="eastAsia"/>
          <w:i/>
          <w:iCs/>
          <w:color w:val="000000"/>
          <w:vertAlign w:val="subscript"/>
        </w:rPr>
        <w:t>1</w:t>
      </w:r>
      <w:r>
        <w:rPr>
          <w:rFonts w:hint="eastAsia"/>
          <w:color w:val="000000"/>
        </w:rPr>
        <w:t>的方差应大于</w:t>
      </w:r>
      <w:r>
        <w:rPr>
          <w:rFonts w:hint="eastAsia"/>
          <w:i/>
          <w:iCs/>
          <w:color w:val="000000"/>
        </w:rPr>
        <w:t>F</w:t>
      </w:r>
      <w:r>
        <w:rPr>
          <w:rFonts w:hint="eastAsia"/>
          <w:i/>
          <w:iCs/>
          <w:color w:val="000000"/>
          <w:vertAlign w:val="subscript"/>
        </w:rPr>
        <w:t>2</w:t>
      </w:r>
      <w:r>
        <w:rPr>
          <w:rFonts w:hint="eastAsia"/>
          <w:color w:val="000000"/>
        </w:rPr>
        <w:t>的方差，</w:t>
      </w:r>
      <w:r>
        <w:rPr>
          <w:rFonts w:hint="eastAsia"/>
          <w:i/>
          <w:iCs/>
          <w:color w:val="000000"/>
        </w:rPr>
        <w:t>F</w:t>
      </w:r>
      <w:r>
        <w:rPr>
          <w:rFonts w:hint="eastAsia"/>
          <w:i/>
          <w:iCs/>
          <w:color w:val="000000"/>
          <w:vertAlign w:val="subscript"/>
        </w:rPr>
        <w:t>2</w:t>
      </w:r>
      <w:r>
        <w:rPr>
          <w:rFonts w:hint="eastAsia"/>
          <w:color w:val="000000"/>
        </w:rPr>
        <w:t>的方差应大于</w:t>
      </w:r>
      <w:r>
        <w:rPr>
          <w:rFonts w:hint="eastAsia"/>
          <w:i/>
          <w:iCs/>
          <w:color w:val="000000"/>
        </w:rPr>
        <w:t>F</w:t>
      </w:r>
      <w:r>
        <w:rPr>
          <w:rFonts w:hint="eastAsia"/>
          <w:i/>
          <w:iCs/>
          <w:color w:val="000000"/>
          <w:vertAlign w:val="subscript"/>
        </w:rPr>
        <w:t>3</w:t>
      </w:r>
      <w:r>
        <w:rPr>
          <w:rFonts w:hint="eastAsia"/>
          <w:color w:val="000000"/>
        </w:rPr>
        <w:t>的方差，以此类推。</w:t>
      </w:r>
    </w:p>
    <w:p w14:paraId="3233D711" w14:textId="77777777" w:rsidR="00D46586" w:rsidRDefault="00000000">
      <w:pPr>
        <w:pStyle w:val="afb"/>
        <w:numPr>
          <w:ilvl w:val="0"/>
          <w:numId w:val="1"/>
        </w:numPr>
        <w:spacing w:before="40" w:after="40" w:line="288" w:lineRule="auto"/>
        <w:ind w:left="840" w:firstLineChars="0"/>
        <w:rPr>
          <w:color w:val="000000"/>
        </w:rPr>
      </w:pPr>
      <m:oMath>
        <m:sSup>
          <m:sSupPr>
            <m:ctrlPr>
              <w:rPr>
                <w:rFonts w:ascii="Cambria Math" w:hAnsi="Cambria Math"/>
                <w:i/>
                <w:color w:val="000000"/>
              </w:rPr>
            </m:ctrlPr>
          </m:sSupPr>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k1</m:t>
                </m:r>
              </m:sub>
            </m:sSub>
          </m:e>
          <m:sup>
            <m:r>
              <w:rPr>
                <w:rFonts w:ascii="Cambria Math" w:hAnsi="Cambria Math"/>
                <w:color w:val="000000"/>
              </w:rPr>
              <m:t>2</m:t>
            </m:r>
          </m:sup>
        </m:sSup>
        <m:r>
          <w:rPr>
            <w:rFonts w:ascii="Cambria Math" w:hAnsi="Cambria Math"/>
            <w:color w:val="000000"/>
          </w:rPr>
          <m:t>+</m:t>
        </m:r>
        <m:sSup>
          <m:sSupPr>
            <m:ctrlPr>
              <w:rPr>
                <w:rFonts w:ascii="Cambria Math" w:hAnsi="Cambria Math"/>
                <w:i/>
                <w:color w:val="000000"/>
              </w:rPr>
            </m:ctrlPr>
          </m:sSupPr>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k2</m:t>
                </m:r>
              </m:sub>
            </m:sSub>
          </m:e>
          <m:sup>
            <m:r>
              <w:rPr>
                <w:rFonts w:ascii="Cambria Math" w:hAnsi="Cambria Math"/>
                <w:color w:val="000000"/>
              </w:rPr>
              <m:t>2</m:t>
            </m:r>
          </m:sup>
        </m:sSup>
        <m:r>
          <w:rPr>
            <w:rFonts w:ascii="Cambria Math" w:hAnsi="Cambria Math"/>
            <w:color w:val="000000"/>
          </w:rPr>
          <m:t>+⋯+</m:t>
        </m:r>
        <m:sSup>
          <m:sSupPr>
            <m:ctrlPr>
              <w:rPr>
                <w:rFonts w:ascii="Cambria Math" w:hAnsi="Cambria Math"/>
                <w:i/>
                <w:color w:val="000000"/>
              </w:rPr>
            </m:ctrlPr>
          </m:sSupPr>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kp</m:t>
                </m:r>
              </m:sub>
            </m:sSub>
          </m:e>
          <m:sup>
            <m:r>
              <w:rPr>
                <w:rFonts w:ascii="Cambria Math" w:hAnsi="Cambria Math"/>
                <w:color w:val="000000"/>
              </w:rPr>
              <m:t>2</m:t>
            </m:r>
          </m:sup>
        </m:sSup>
        <m:r>
          <w:rPr>
            <w:rFonts w:ascii="Cambria Math" w:hAnsi="Cambria Math"/>
            <w:color w:val="000000"/>
          </w:rPr>
          <m:t>=1</m:t>
        </m:r>
        <m:r>
          <m:rPr>
            <m:sty m:val="p"/>
          </m:rPr>
          <w:rPr>
            <w:rFonts w:ascii="Cambria Math" w:hAnsi="Cambria Math" w:hint="eastAsia"/>
            <w:color w:val="000000"/>
          </w:rPr>
          <m:t>，</m:t>
        </m:r>
        <m:r>
          <m:rPr>
            <m:sty m:val="p"/>
          </m:rPr>
          <w:rPr>
            <w:rFonts w:ascii="Cambria Math" w:hAnsi="Cambria Math"/>
            <w:color w:val="000000"/>
          </w:rPr>
          <m:t>k=1,2,⋯,p</m:t>
        </m:r>
      </m:oMath>
    </w:p>
    <w:p w14:paraId="09CE7BB3" w14:textId="77777777" w:rsidR="00D46586" w:rsidRDefault="00000000">
      <w:pPr>
        <w:pStyle w:val="a3"/>
        <w:ind w:left="480" w:firstLine="480"/>
      </w:pPr>
      <w:r>
        <w:rPr>
          <w:rFonts w:hint="eastAsia"/>
        </w:rPr>
        <w:t>经变换后得到的新变量（主成分）满足相互独立且方差递减的特性，依次命名为第一主成分（</w:t>
      </w:r>
      <w:r>
        <w:rPr>
          <w:rFonts w:hint="eastAsia"/>
        </w:rPr>
        <w:t>F1</w:t>
      </w:r>
      <w:r>
        <w:rPr>
          <w:rFonts w:hint="eastAsia"/>
        </w:rPr>
        <w:t>）、第二主成分（</w:t>
      </w:r>
      <w:r>
        <w:rPr>
          <w:rFonts w:hint="eastAsia"/>
        </w:rPr>
        <w:t>F2</w:t>
      </w:r>
      <w:r>
        <w:rPr>
          <w:rFonts w:hint="eastAsia"/>
        </w:rPr>
        <w:t>）等。</w:t>
      </w:r>
    </w:p>
    <w:p w14:paraId="516C314E" w14:textId="77777777" w:rsidR="00D46586" w:rsidRDefault="00000000">
      <w:pPr>
        <w:pStyle w:val="a3"/>
        <w:ind w:left="480" w:firstLine="480"/>
      </w:pPr>
      <w:r>
        <w:rPr>
          <w:rFonts w:hint="eastAsia"/>
        </w:rPr>
        <w:t>使用矩阵表达上述形式：</w:t>
      </w:r>
      <m:oMath>
        <m:r>
          <w:rPr>
            <w:rFonts w:ascii="Cambria Math" w:hAnsi="Cambria Math"/>
          </w:rPr>
          <m:t>F=AX</m:t>
        </m:r>
      </m:oMath>
      <w:r>
        <w:rPr>
          <w:rFonts w:hint="eastAsia"/>
        </w:rPr>
        <w:t>，其中：</w:t>
      </w:r>
    </w:p>
    <w:p w14:paraId="3EAC6EC7" w14:textId="77777777" w:rsidR="00D46586" w:rsidRDefault="00000000">
      <w:pPr>
        <w:ind w:left="480"/>
        <w:rPr>
          <w:color w:val="000000"/>
        </w:rPr>
      </w:pPr>
      <m:oMathPara>
        <m:oMath>
          <m:eqArr>
            <m:eqArrPr>
              <m:maxDist m:val="1"/>
              <m:ctrlPr>
                <w:rPr>
                  <w:rFonts w:ascii="Cambria Math" w:hAnsi="Cambria Math"/>
                  <w:i/>
                  <w:color w:val="000000"/>
                </w:rPr>
              </m:ctrlPr>
            </m:eqArrPr>
            <m:e>
              <m:r>
                <w:rPr>
                  <w:rFonts w:ascii="Cambria Math" w:hAnsi="Cambria Math"/>
                  <w:color w:val="000000"/>
                </w:rPr>
                <m:t>F=</m:t>
              </m:r>
              <m:d>
                <m:dPr>
                  <m:ctrlPr>
                    <w:rPr>
                      <w:rFonts w:ascii="Cambria Math" w:hAnsi="Cambria Math"/>
                      <w:i/>
                      <w:color w:val="000000"/>
                    </w:rPr>
                  </m:ctrlPr>
                </m:dPr>
                <m:e>
                  <m:m>
                    <m:mPr>
                      <m:mcs>
                        <m:mc>
                          <m:mcPr>
                            <m:count m:val="1"/>
                            <m:mcJc m:val="center"/>
                          </m:mcPr>
                        </m:mc>
                      </m:mcs>
                      <m:ctrlPr>
                        <w:rPr>
                          <w:rFonts w:ascii="Cambria Math" w:hAnsi="Cambria Math"/>
                          <w:i/>
                          <w:color w:val="000000"/>
                        </w:rPr>
                      </m:ctrlPr>
                    </m:mPr>
                    <m:mr>
                      <m:e>
                        <m:m>
                          <m:mPr>
                            <m:mcs>
                              <m:mc>
                                <m:mcPr>
                                  <m:count m:val="1"/>
                                  <m:mcJc m:val="center"/>
                                </m:mcPr>
                              </m:mc>
                            </m:mcs>
                            <m:ctrlPr>
                              <w:rPr>
                                <w:rFonts w:ascii="Cambria Math" w:hAnsi="Cambria Math"/>
                                <w:i/>
                                <w:color w:val="000000"/>
                              </w:rPr>
                            </m:ctrlPr>
                          </m:mPr>
                          <m:mr>
                            <m:e>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1</m:t>
                                  </m:r>
                                </m:sub>
                              </m:sSub>
                            </m:e>
                          </m:mr>
                          <m:mr>
                            <m:e>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2</m:t>
                                  </m:r>
                                </m:sub>
                              </m:sSub>
                            </m:e>
                          </m:mr>
                        </m:m>
                      </m:e>
                    </m:mr>
                    <m:mr>
                      <m:e>
                        <m:m>
                          <m:mPr>
                            <m:mcs>
                              <m:mc>
                                <m:mcPr>
                                  <m:count m:val="1"/>
                                  <m:mcJc m:val="center"/>
                                </m:mcPr>
                              </m:mc>
                            </m:mcs>
                            <m:ctrlPr>
                              <w:rPr>
                                <w:rFonts w:ascii="Cambria Math" w:hAnsi="Cambria Math"/>
                                <w:i/>
                                <w:color w:val="000000"/>
                              </w:rPr>
                            </m:ctrlPr>
                          </m:mPr>
                          <m:mr>
                            <m:e>
                              <m:r>
                                <w:rPr>
                                  <w:rFonts w:ascii="Cambria Math" w:hAnsi="Cambria Math"/>
                                  <w:color w:val="000000"/>
                                </w:rPr>
                                <m:t>⋮</m:t>
                              </m:r>
                            </m:e>
                          </m:mr>
                          <m:mr>
                            <m:e>
                              <m:sSub>
                                <m:sSubPr>
                                  <m:ctrlPr>
                                    <w:rPr>
                                      <w:rFonts w:ascii="Cambria Math" w:hAnsi="Cambria Math"/>
                                      <w:i/>
                                      <w:color w:val="000000"/>
                                    </w:rPr>
                                  </m:ctrlPr>
                                </m:sSubPr>
                                <m:e>
                                  <m:r>
                                    <w:rPr>
                                      <w:rFonts w:ascii="Cambria Math" w:hAnsi="Cambria Math"/>
                                      <w:color w:val="000000"/>
                                    </w:rPr>
                                    <m:t>F</m:t>
                                  </m:r>
                                </m:e>
                                <m:sub>
                                  <m:r>
                                    <w:rPr>
                                      <w:rFonts w:ascii="Cambria Math" w:hAnsi="Cambria Math" w:hint="eastAsia"/>
                                      <w:color w:val="000000"/>
                                    </w:rPr>
                                    <m:t>p</m:t>
                                  </m:r>
                                </m:sub>
                              </m:sSub>
                            </m:e>
                          </m:mr>
                        </m:m>
                      </m:e>
                    </m:mr>
                  </m:m>
                </m:e>
              </m:d>
              <m:r>
                <w:rPr>
                  <w:rFonts w:ascii="Cambria Math" w:hAnsi="Cambria Math"/>
                  <w:color w:val="000000"/>
                </w:rPr>
                <m:t xml:space="preserve">               X=</m:t>
              </m:r>
              <m:d>
                <m:dPr>
                  <m:ctrlPr>
                    <w:rPr>
                      <w:rFonts w:ascii="Cambria Math" w:hAnsi="Cambria Math"/>
                      <w:i/>
                      <w:color w:val="000000"/>
                    </w:rPr>
                  </m:ctrlPr>
                </m:dPr>
                <m:e>
                  <m:m>
                    <m:mPr>
                      <m:mcs>
                        <m:mc>
                          <m:mcPr>
                            <m:count m:val="1"/>
                            <m:mcJc m:val="center"/>
                          </m:mcPr>
                        </m:mc>
                      </m:mcs>
                      <m:ctrlPr>
                        <w:rPr>
                          <w:rFonts w:ascii="Cambria Math" w:hAnsi="Cambria Math"/>
                          <w:i/>
                          <w:color w:val="000000"/>
                        </w:rPr>
                      </m:ctrlPr>
                    </m:mPr>
                    <m:mr>
                      <m:e>
                        <m:m>
                          <m:mPr>
                            <m:mcs>
                              <m:mc>
                                <m:mcPr>
                                  <m:count m:val="1"/>
                                  <m:mcJc m:val="center"/>
                                </m:mcPr>
                              </m:mc>
                            </m:mcs>
                            <m:ctrlPr>
                              <w:rPr>
                                <w:rFonts w:ascii="Cambria Math" w:hAnsi="Cambria Math"/>
                                <w:i/>
                                <w:color w:val="000000"/>
                              </w:rPr>
                            </m:ctrlPr>
                          </m:mPr>
                          <m:m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m:t>
                                  </m:r>
                                </m:sub>
                              </m:sSub>
                            </m:e>
                          </m:mr>
                          <m:m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m:t>
                                  </m:r>
                                </m:sub>
                              </m:sSub>
                            </m:e>
                          </m:mr>
                        </m:m>
                      </m:e>
                    </m:mr>
                    <m:mr>
                      <m:e>
                        <m:m>
                          <m:mPr>
                            <m:mcs>
                              <m:mc>
                                <m:mcPr>
                                  <m:count m:val="1"/>
                                  <m:mcJc m:val="center"/>
                                </m:mcPr>
                              </m:mc>
                            </m:mcs>
                            <m:ctrlPr>
                              <w:rPr>
                                <w:rFonts w:ascii="Cambria Math" w:hAnsi="Cambria Math"/>
                                <w:i/>
                                <w:color w:val="000000"/>
                              </w:rPr>
                            </m:ctrlPr>
                          </m:mPr>
                          <m:mr>
                            <m:e>
                              <m:r>
                                <w:rPr>
                                  <w:rFonts w:ascii="Cambria Math" w:hAnsi="Cambria Math"/>
                                  <w:color w:val="000000"/>
                                </w:rPr>
                                <m:t>⋮</m:t>
                              </m:r>
                            </m:e>
                          </m:mr>
                          <m:m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p</m:t>
                                  </m:r>
                                </m:sub>
                              </m:sSub>
                            </m:e>
                          </m:mr>
                        </m:m>
                      </m:e>
                    </m:mr>
                  </m:m>
                </m:e>
              </m:d>
              <m:r>
                <w:rPr>
                  <w:rFonts w:ascii="Cambria Math" w:hAnsi="Cambria Math"/>
                  <w:color w:val="000000"/>
                </w:rPr>
                <m:t>#</m:t>
              </m:r>
              <m:d>
                <m:dPr>
                  <m:ctrlPr>
                    <w:rPr>
                      <w:rFonts w:ascii="Cambria Math" w:hAnsi="Cambria Math"/>
                      <w:i/>
                      <w:color w:val="000000"/>
                    </w:rPr>
                  </m:ctrlPr>
                </m:dPr>
                <m:e>
                  <m:r>
                    <w:rPr>
                      <w:rFonts w:ascii="Cambria Math" w:hAnsi="Cambria Math"/>
                      <w:color w:val="000000"/>
                    </w:rPr>
                    <m:t>2.17</m:t>
                  </m:r>
                </m:e>
              </m:d>
            </m:e>
          </m:eqArr>
        </m:oMath>
      </m:oMathPara>
    </w:p>
    <w:p w14:paraId="7822A247" w14:textId="77777777" w:rsidR="00D46586" w:rsidRDefault="00000000">
      <w:pPr>
        <w:ind w:left="480"/>
        <w:rPr>
          <w:iCs/>
          <w:color w:val="000000"/>
        </w:rPr>
      </w:pPr>
      <m:oMathPara>
        <m:oMath>
          <m:eqArr>
            <m:eqArrPr>
              <m:maxDist m:val="1"/>
              <m:ctrlPr>
                <w:rPr>
                  <w:rFonts w:ascii="Cambria Math" w:hAnsi="Cambria Math"/>
                  <w:color w:val="000000"/>
                </w:rPr>
              </m:ctrlPr>
            </m:eqArrPr>
            <m:e>
              <m:r>
                <w:rPr>
                  <w:rFonts w:ascii="Cambria Math" w:hAnsi="Cambria Math"/>
                  <w:color w:val="000000"/>
                </w:rPr>
                <m:t>A=</m:t>
              </m:r>
              <m:d>
                <m:dPr>
                  <m:ctrlPr>
                    <w:rPr>
                      <w:rFonts w:ascii="Cambria Math" w:hAnsi="Cambria Math"/>
                      <w:i/>
                      <w:iCs/>
                      <w:color w:val="000000"/>
                    </w:rPr>
                  </m:ctrlPr>
                </m:dPr>
                <m:e>
                  <m:m>
                    <m:mPr>
                      <m:mcs>
                        <m:mc>
                          <m:mcPr>
                            <m:count m:val="2"/>
                            <m:mcJc m:val="center"/>
                          </m:mcPr>
                        </m:mc>
                      </m:mcs>
                      <m:ctrlPr>
                        <w:rPr>
                          <w:rFonts w:ascii="Cambria Math" w:hAnsi="Cambria Math"/>
                          <w:i/>
                          <w:iCs/>
                          <w:color w:val="000000"/>
                        </w:rPr>
                      </m:ctrlPr>
                    </m:mPr>
                    <m:mr>
                      <m:e>
                        <m:m>
                          <m:mPr>
                            <m:mcs>
                              <m:mc>
                                <m:mcPr>
                                  <m:count m:val="2"/>
                                  <m:mcJc m:val="center"/>
                                </m:mcPr>
                              </m:mc>
                            </m:mcs>
                            <m:ctrlPr>
                              <w:rPr>
                                <w:rFonts w:ascii="Cambria Math" w:hAnsi="Cambria Math"/>
                                <w:i/>
                                <w:iCs/>
                                <w:color w:val="000000"/>
                              </w:rPr>
                            </m:ctrlPr>
                          </m:mPr>
                          <m:mr>
                            <m:e>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11</m:t>
                                  </m:r>
                                </m:sub>
                              </m:sSub>
                            </m:e>
                            <m:e>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12</m:t>
                                  </m:r>
                                </m:sub>
                              </m:sSub>
                            </m:e>
                          </m:mr>
                          <m:mr>
                            <m:e>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21</m:t>
                                  </m:r>
                                </m:sub>
                              </m:sSub>
                            </m:e>
                            <m:e>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22</m:t>
                                  </m:r>
                                </m:sub>
                              </m:sSub>
                            </m:e>
                          </m:mr>
                        </m:m>
                      </m:e>
                      <m:e>
                        <m:m>
                          <m:mPr>
                            <m:mcs>
                              <m:mc>
                                <m:mcPr>
                                  <m:count m:val="2"/>
                                  <m:mcJc m:val="center"/>
                                </m:mcPr>
                              </m:mc>
                            </m:mcs>
                            <m:ctrlPr>
                              <w:rPr>
                                <w:rFonts w:ascii="Cambria Math" w:hAnsi="Cambria Math"/>
                                <w:i/>
                                <w:iCs/>
                                <w:color w:val="000000"/>
                              </w:rPr>
                            </m:ctrlPr>
                          </m:mPr>
                          <m:mr>
                            <m:e>
                              <m:r>
                                <w:rPr>
                                  <w:rFonts w:ascii="Cambria Math" w:hAnsi="Cambria Math"/>
                                  <w:color w:val="000000"/>
                                </w:rPr>
                                <m:t>⋯</m:t>
                              </m:r>
                            </m:e>
                            <m:e>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1p</m:t>
                                  </m:r>
                                </m:sub>
                              </m:sSub>
                            </m:e>
                          </m:mr>
                          <m:mr>
                            <m:e>
                              <m:r>
                                <w:rPr>
                                  <w:rFonts w:ascii="Cambria Math" w:hAnsi="Cambria Math"/>
                                  <w:color w:val="000000"/>
                                </w:rPr>
                                <m:t>⋯</m:t>
                              </m:r>
                            </m:e>
                            <m:e>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2p</m:t>
                                  </m:r>
                                </m:sub>
                              </m:sSub>
                            </m:e>
                          </m:mr>
                        </m:m>
                      </m:e>
                    </m:mr>
                    <m:mr>
                      <m:e>
                        <m:m>
                          <m:mPr>
                            <m:mcs>
                              <m:mc>
                                <m:mcPr>
                                  <m:count m:val="2"/>
                                  <m:mcJc m:val="center"/>
                                </m:mcPr>
                              </m:mc>
                            </m:mcs>
                            <m:ctrlPr>
                              <w:rPr>
                                <w:rFonts w:ascii="Cambria Math" w:hAnsi="Cambria Math"/>
                                <w:i/>
                                <w:iCs/>
                                <w:color w:val="000000"/>
                              </w:rPr>
                            </m:ctrlPr>
                          </m:mPr>
                          <m:mr>
                            <m:e>
                              <m:r>
                                <w:rPr>
                                  <w:rFonts w:ascii="Cambria Math" w:hAnsi="Cambria Math"/>
                                  <w:color w:val="000000"/>
                                </w:rPr>
                                <m:t>⋮</m:t>
                              </m:r>
                            </m:e>
                            <m:e>
                              <m:r>
                                <w:rPr>
                                  <w:rFonts w:ascii="Cambria Math" w:hAnsi="Cambria Math"/>
                                  <w:color w:val="000000"/>
                                </w:rPr>
                                <m:t>⋮</m:t>
                              </m:r>
                            </m:e>
                          </m:mr>
                          <m:mr>
                            <m:e>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p1</m:t>
                                  </m:r>
                                </m:sub>
                              </m:sSub>
                            </m:e>
                            <m:e>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p2</m:t>
                                  </m:r>
                                </m:sub>
                              </m:sSub>
                            </m:e>
                          </m:mr>
                        </m:m>
                      </m:e>
                      <m:e>
                        <m:m>
                          <m:mPr>
                            <m:mcs>
                              <m:mc>
                                <m:mcPr>
                                  <m:count m:val="2"/>
                                  <m:mcJc m:val="center"/>
                                </m:mcPr>
                              </m:mc>
                            </m:mcs>
                            <m:ctrlPr>
                              <w:rPr>
                                <w:rFonts w:ascii="Cambria Math" w:hAnsi="Cambria Math"/>
                                <w:i/>
                                <w:iCs/>
                                <w:color w:val="000000"/>
                              </w:rPr>
                            </m:ctrlPr>
                          </m:mPr>
                          <m:mr>
                            <m:e>
                              <m:r>
                                <w:rPr>
                                  <w:rFonts w:ascii="Cambria Math" w:hAnsi="Cambria Math"/>
                                  <w:color w:val="000000"/>
                                </w:rPr>
                                <m:t>⋱</m:t>
                              </m:r>
                            </m:e>
                            <m:e>
                              <m:r>
                                <w:rPr>
                                  <w:rFonts w:ascii="Cambria Math" w:hAnsi="Cambria Math"/>
                                  <w:color w:val="000000"/>
                                </w:rPr>
                                <m:t>⋮</m:t>
                              </m:r>
                            </m:e>
                          </m:mr>
                          <m:mr>
                            <m:e>
                              <m:r>
                                <w:rPr>
                                  <w:rFonts w:ascii="Cambria Math" w:hAnsi="Cambria Math"/>
                                  <w:color w:val="000000"/>
                                </w:rPr>
                                <m:t>⋯</m:t>
                              </m:r>
                            </m:e>
                            <m:e>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pp</m:t>
                                  </m:r>
                                </m:sub>
                              </m:sSub>
                            </m:e>
                          </m:mr>
                        </m:m>
                      </m:e>
                    </m:mr>
                  </m:m>
                </m:e>
              </m:d>
              <m:r>
                <w:rPr>
                  <w:rFonts w:ascii="Cambria Math" w:hAnsi="Cambria Math"/>
                  <w:color w:val="000000"/>
                </w:rPr>
                <m:t>=</m:t>
              </m:r>
              <m:d>
                <m:dPr>
                  <m:ctrlPr>
                    <w:rPr>
                      <w:rFonts w:ascii="Cambria Math" w:hAnsi="Cambria Math"/>
                      <w:i/>
                      <w:iCs/>
                      <w:color w:val="000000"/>
                    </w:rPr>
                  </m:ctrlPr>
                </m:dPr>
                <m:e>
                  <m:m>
                    <m:mPr>
                      <m:mcs>
                        <m:mc>
                          <m:mcPr>
                            <m:count m:val="1"/>
                            <m:mcJc m:val="center"/>
                          </m:mcPr>
                        </m:mc>
                      </m:mcs>
                      <m:ctrlPr>
                        <w:rPr>
                          <w:rFonts w:ascii="Cambria Math" w:hAnsi="Cambria Math"/>
                          <w:i/>
                          <w:iCs/>
                          <w:color w:val="000000"/>
                        </w:rPr>
                      </m:ctrlPr>
                    </m:mPr>
                    <m:mr>
                      <m:e>
                        <m:m>
                          <m:mPr>
                            <m:mcs>
                              <m:mc>
                                <m:mcPr>
                                  <m:count m:val="1"/>
                                  <m:mcJc m:val="center"/>
                                </m:mcPr>
                              </m:mc>
                            </m:mcs>
                            <m:ctrlPr>
                              <w:rPr>
                                <w:rFonts w:ascii="Cambria Math" w:hAnsi="Cambria Math"/>
                                <w:i/>
                                <w:iCs/>
                                <w:color w:val="000000"/>
                              </w:rPr>
                            </m:ctrlPr>
                          </m:mPr>
                          <m:mr>
                            <m:e>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1</m:t>
                                  </m:r>
                                </m:sub>
                              </m:sSub>
                            </m:e>
                          </m:mr>
                          <m:mr>
                            <m:e>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2</m:t>
                                  </m:r>
                                </m:sub>
                              </m:sSub>
                            </m:e>
                          </m:mr>
                        </m:m>
                      </m:e>
                    </m:mr>
                    <m:mr>
                      <m:e>
                        <m:m>
                          <m:mPr>
                            <m:mcs>
                              <m:mc>
                                <m:mcPr>
                                  <m:count m:val="1"/>
                                  <m:mcJc m:val="center"/>
                                </m:mcPr>
                              </m:mc>
                            </m:mcs>
                            <m:ctrlPr>
                              <w:rPr>
                                <w:rFonts w:ascii="Cambria Math" w:hAnsi="Cambria Math"/>
                                <w:i/>
                                <w:iCs/>
                                <w:color w:val="000000"/>
                              </w:rPr>
                            </m:ctrlPr>
                          </m:mPr>
                          <m:mr>
                            <m:e>
                              <m:r>
                                <w:rPr>
                                  <w:rFonts w:ascii="Cambria Math" w:hAnsi="Cambria Math"/>
                                  <w:color w:val="000000"/>
                                </w:rPr>
                                <m:t>⋮</m:t>
                              </m:r>
                            </m:e>
                          </m:mr>
                          <m:mr>
                            <m:e>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p</m:t>
                                  </m:r>
                                </m:sub>
                              </m:sSub>
                            </m:e>
                          </m:mr>
                        </m:m>
                      </m:e>
                    </m:mr>
                  </m:m>
                </m:e>
              </m:d>
              <m:r>
                <w:rPr>
                  <w:rFonts w:ascii="Cambria Math" w:hAnsi="Cambria Math"/>
                  <w:color w:val="000000"/>
                </w:rPr>
                <m:t>#</m:t>
              </m:r>
              <m:d>
                <m:dPr>
                  <m:ctrlPr>
                    <w:rPr>
                      <w:rFonts w:ascii="Cambria Math" w:hAnsi="Cambria Math"/>
                      <w:color w:val="000000"/>
                    </w:rPr>
                  </m:ctrlPr>
                </m:dPr>
                <m:e>
                  <m:r>
                    <m:rPr>
                      <m:sty m:val="p"/>
                    </m:rPr>
                    <w:rPr>
                      <w:rFonts w:ascii="Cambria Math" w:hAnsi="Cambria Math"/>
                      <w:color w:val="000000"/>
                    </w:rPr>
                    <m:t>2.18</m:t>
                  </m:r>
                </m:e>
              </m:d>
              <m:ctrlPr>
                <w:rPr>
                  <w:rFonts w:ascii="Cambria Math" w:hAnsi="Cambria Math"/>
                  <w:i/>
                  <w:iCs/>
                  <w:color w:val="000000"/>
                </w:rPr>
              </m:ctrlPr>
            </m:e>
          </m:eqArr>
        </m:oMath>
      </m:oMathPara>
    </w:p>
    <w:p w14:paraId="63B883C3" w14:textId="77777777" w:rsidR="00D46586" w:rsidRDefault="00000000">
      <w:pPr>
        <w:pStyle w:val="a3"/>
        <w:ind w:left="480" w:firstLine="480"/>
      </w:pPr>
      <w:r>
        <w:rPr>
          <w:rFonts w:hint="eastAsia"/>
        </w:rPr>
        <w:t>A</w:t>
      </w:r>
      <w:r>
        <w:rPr>
          <w:rFonts w:hint="eastAsia"/>
        </w:rPr>
        <w:t>为主成分系数矩阵。</w:t>
      </w:r>
    </w:p>
    <w:p w14:paraId="38A3C75A" w14:textId="77777777" w:rsidR="00D46586" w:rsidRDefault="00000000">
      <w:pPr>
        <w:pStyle w:val="a3"/>
        <w:ind w:left="480" w:firstLine="480"/>
      </w:pPr>
      <w:r>
        <w:rPr>
          <w:rFonts w:hint="eastAsia"/>
        </w:rPr>
        <w:t>主成分分析提取的多个主成分按方差递减排列，其包含的原始信息量依次降低。通常选取累积贡献率达标的前几个主成分进行分析，其中单个主成分贡献率反映其包含的原始信息比重，而累积贡献率则表征前</w:t>
      </w:r>
      <w:r>
        <w:rPr>
          <w:rFonts w:hint="eastAsia"/>
        </w:rPr>
        <w:t>m</w:t>
      </w:r>
      <w:proofErr w:type="gramStart"/>
      <w:r>
        <w:rPr>
          <w:rFonts w:hint="eastAsia"/>
        </w:rPr>
        <w:t>个</w:t>
      </w:r>
      <w:proofErr w:type="gramEnd"/>
      <w:r>
        <w:rPr>
          <w:rFonts w:hint="eastAsia"/>
        </w:rPr>
        <w:t>主成分保留的总体信息量。一般认为，累积贡献率大于</w:t>
      </w:r>
      <w:r>
        <w:t>85%</w:t>
      </w:r>
      <w:r>
        <w:rPr>
          <w:rFonts w:hint="eastAsia"/>
        </w:rPr>
        <w:t>时，才能确保综合指标中包含原有变量的大多数信息，则可以选用新的主成分替代原有变量来进行综合分析评价。</w:t>
      </w:r>
    </w:p>
    <w:p w14:paraId="7E2396AB" w14:textId="77777777" w:rsidR="00D46586" w:rsidRDefault="00000000">
      <w:pPr>
        <w:pStyle w:val="a3"/>
        <w:ind w:left="480" w:firstLine="480"/>
      </w:pPr>
      <w:r>
        <w:rPr>
          <w:rFonts w:hint="eastAsia"/>
        </w:rPr>
        <w:t>贡献率计算公式如下：</w:t>
      </w:r>
    </w:p>
    <w:p w14:paraId="36580932" w14:textId="77777777" w:rsidR="00D46586" w:rsidRDefault="00000000">
      <w:pPr>
        <w:ind w:left="480" w:firstLineChars="200" w:firstLine="480"/>
        <w:rPr>
          <w:color w:val="000000"/>
        </w:rPr>
      </w:pPr>
      <m:oMathPara>
        <m:oMath>
          <m:eqArr>
            <m:eqArrPr>
              <m:maxDist m:val="1"/>
              <m:ctrlPr>
                <w:rPr>
                  <w:rFonts w:ascii="Cambria Math" w:hAnsi="Cambria Math"/>
                  <w:iCs/>
                  <w:color w:val="000000"/>
                </w:rPr>
              </m:ctrlPr>
            </m:eqArrPr>
            <m:e>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1</m:t>
                  </m:r>
                </m:sub>
              </m:sSub>
              <m:r>
                <w:rPr>
                  <w:rFonts w:ascii="Cambria Math" w:hAnsi="Cambria Math"/>
                  <w:color w:val="000000"/>
                </w:rPr>
                <m:t>=</m:t>
              </m:r>
              <m:f>
                <m:fPr>
                  <m:ctrlPr>
                    <w:rPr>
                      <w:rFonts w:ascii="Cambria Math" w:hAnsi="Cambria Math"/>
                      <w:color w:val="000000"/>
                    </w:rPr>
                  </m:ctrlPr>
                </m:fPr>
                <m:num>
                  <m:sSub>
                    <m:sSubPr>
                      <m:ctrlPr>
                        <w:rPr>
                          <w:rFonts w:ascii="Cambria Math" w:hAnsi="Cambria Math"/>
                          <w:i/>
                          <w:color w:val="000000"/>
                        </w:rPr>
                      </m:ctrlPr>
                    </m:sSubPr>
                    <m:e>
                      <m:r>
                        <m:rPr>
                          <m:sty m:val="p"/>
                        </m:rPr>
                        <w:rPr>
                          <w:rFonts w:ascii="Cambria Math" w:hAnsi="Cambria Math"/>
                          <w:color w:val="000000"/>
                        </w:rPr>
                        <m:t>λ</m:t>
                      </m:r>
                    </m:e>
                    <m:sub>
                      <m:r>
                        <w:rPr>
                          <w:rFonts w:ascii="Cambria Math" w:hAnsi="Cambria Math" w:hint="eastAsia"/>
                          <w:color w:val="000000"/>
                        </w:rPr>
                        <m:t>i</m:t>
                      </m:r>
                    </m:sub>
                  </m:sSub>
                  <m:ctrlPr>
                    <w:rPr>
                      <w:rFonts w:ascii="Cambria Math" w:hAnsi="Cambria Math"/>
                      <w:i/>
                      <w:color w:val="000000"/>
                    </w:rPr>
                  </m:ctrlPr>
                </m:num>
                <m:den>
                  <m:nary>
                    <m:naryPr>
                      <m:chr m:val="∑"/>
                      <m:limLoc m:val="undOvr"/>
                      <m:ctrlPr>
                        <w:rPr>
                          <w:rFonts w:ascii="Cambria Math" w:hAnsi="Cambria Math"/>
                          <w:color w:val="000000"/>
                        </w:rPr>
                      </m:ctrlPr>
                    </m:naryPr>
                    <m:sub>
                      <m:r>
                        <w:rPr>
                          <w:rFonts w:ascii="Cambria Math" w:hAnsi="Cambria Math"/>
                          <w:color w:val="000000"/>
                        </w:rPr>
                        <m:t>i=1</m:t>
                      </m:r>
                      <m:ctrlPr>
                        <w:rPr>
                          <w:rFonts w:ascii="Cambria Math" w:hAnsi="Cambria Math"/>
                          <w:i/>
                          <w:color w:val="000000"/>
                        </w:rPr>
                      </m:ctrlPr>
                    </m:sub>
                    <m:sup>
                      <m:r>
                        <w:rPr>
                          <w:rFonts w:ascii="Cambria Math" w:hAnsi="Cambria Math"/>
                          <w:color w:val="000000"/>
                        </w:rPr>
                        <m:t>p</m:t>
                      </m:r>
                      <m:ctrlPr>
                        <w:rPr>
                          <w:rFonts w:ascii="Cambria Math" w:hAnsi="Cambria Math"/>
                          <w:i/>
                          <w:color w:val="000000"/>
                        </w:rPr>
                      </m:ctrlPr>
                    </m:sup>
                    <m:e>
                      <m:sSub>
                        <m:sSubPr>
                          <m:ctrlPr>
                            <w:rPr>
                              <w:rFonts w:ascii="Cambria Math" w:hAnsi="Cambria Math"/>
                              <w:i/>
                              <w:color w:val="000000"/>
                            </w:rPr>
                          </m:ctrlPr>
                        </m:sSubPr>
                        <m:e>
                          <m:r>
                            <m:rPr>
                              <m:sty m:val="p"/>
                            </m:rPr>
                            <w:rPr>
                              <w:rFonts w:ascii="Cambria Math" w:hAnsi="Cambria Math"/>
                              <w:color w:val="000000"/>
                            </w:rPr>
                            <m:t>λ</m:t>
                          </m:r>
                        </m:e>
                        <m:sub>
                          <m:r>
                            <w:rPr>
                              <w:rFonts w:ascii="Cambria Math" w:hAnsi="Cambria Math"/>
                              <w:color w:val="000000"/>
                            </w:rPr>
                            <m:t>i</m:t>
                          </m:r>
                        </m:sub>
                      </m:sSub>
                      <m:ctrlPr>
                        <w:rPr>
                          <w:rFonts w:ascii="Cambria Math" w:hAnsi="Cambria Math"/>
                          <w:i/>
                          <w:color w:val="000000"/>
                        </w:rPr>
                      </m:ctrlPr>
                    </m:e>
                  </m:nary>
                  <m:ctrlPr>
                    <w:rPr>
                      <w:rFonts w:ascii="Cambria Math" w:hAnsi="Cambria Math"/>
                      <w:i/>
                      <w:color w:val="000000"/>
                    </w:rPr>
                  </m:ctrlPr>
                </m:den>
              </m:f>
              <m:r>
                <w:rPr>
                  <w:rFonts w:ascii="Cambria Math" w:hAnsi="Cambria Math"/>
                  <w:color w:val="000000"/>
                </w:rPr>
                <m:t>#</m:t>
              </m:r>
              <m:d>
                <m:dPr>
                  <m:begChr m:val="（"/>
                  <m:endChr m:val="）"/>
                  <m:ctrlPr>
                    <w:rPr>
                      <w:rFonts w:ascii="Cambria Math" w:hAnsi="Cambria Math"/>
                      <w:iCs/>
                      <w:color w:val="000000"/>
                    </w:rPr>
                  </m:ctrlPr>
                </m:dPr>
                <m:e>
                  <m:r>
                    <m:rPr>
                      <m:sty m:val="p"/>
                    </m:rPr>
                    <w:rPr>
                      <w:rFonts w:ascii="Cambria Math" w:hAnsi="Cambria Math"/>
                      <w:color w:val="000000"/>
                    </w:rPr>
                    <m:t>2.19</m:t>
                  </m:r>
                </m:e>
              </m:d>
              <m:ctrlPr>
                <w:rPr>
                  <w:rFonts w:ascii="Cambria Math" w:hAnsi="Cambria Math"/>
                  <w:i/>
                  <w:color w:val="000000"/>
                </w:rPr>
              </m:ctrlPr>
            </m:e>
          </m:eqArr>
        </m:oMath>
      </m:oMathPara>
    </w:p>
    <w:p w14:paraId="6A658C5E" w14:textId="77777777" w:rsidR="00D46586" w:rsidRDefault="00000000">
      <w:pPr>
        <w:pStyle w:val="a3"/>
        <w:ind w:left="480" w:firstLine="480"/>
      </w:pPr>
      <w:r>
        <w:rPr>
          <w:rFonts w:hint="eastAsia"/>
        </w:rPr>
        <w:t>累计贡献率计算公式如下：</w:t>
      </w:r>
    </w:p>
    <w:p w14:paraId="54C6DDBF" w14:textId="77777777" w:rsidR="00D46586" w:rsidRDefault="00000000">
      <w:pPr>
        <w:ind w:left="480" w:firstLineChars="200" w:firstLine="480"/>
        <w:rPr>
          <w:iCs/>
          <w:color w:val="000000"/>
        </w:rPr>
      </w:pPr>
      <m:oMathPara>
        <m:oMath>
          <m:eqArr>
            <m:eqArrPr>
              <m:maxDist m:val="1"/>
              <m:ctrlPr>
                <w:rPr>
                  <w:rFonts w:ascii="Cambria Math" w:hAnsi="Cambria Math"/>
                  <w:i/>
                  <w:iCs/>
                  <w:color w:val="000000"/>
                </w:rPr>
              </m:ctrlPr>
            </m:eqArrPr>
            <m:e>
              <m:sSub>
                <m:sSubPr>
                  <m:ctrlPr>
                    <w:rPr>
                      <w:rFonts w:ascii="Cambria Math" w:hAnsi="Cambria Math"/>
                      <w:i/>
                      <w:iCs/>
                      <w:color w:val="000000"/>
                    </w:rPr>
                  </m:ctrlPr>
                </m:sSubPr>
                <m:e>
                  <m:r>
                    <w:rPr>
                      <w:rFonts w:ascii="Cambria Math" w:hAnsi="Cambria Math"/>
                      <w:color w:val="000000"/>
                    </w:rPr>
                    <m:t>F</m:t>
                  </m:r>
                </m:e>
                <m:sub>
                  <m:r>
                    <w:rPr>
                      <w:rFonts w:ascii="Cambria Math" w:hAnsi="Cambria Math"/>
                      <w:color w:val="000000"/>
                    </w:rPr>
                    <m:t>2</m:t>
                  </m:r>
                </m:sub>
              </m:sSub>
              <m:r>
                <w:rPr>
                  <w:rFonts w:ascii="Cambria Math" w:hAnsi="Cambria Math"/>
                  <w:color w:val="000000"/>
                </w:rPr>
                <m:t>=</m:t>
              </m:r>
              <m:nary>
                <m:naryPr>
                  <m:chr m:val="∑"/>
                  <m:ctrlPr>
                    <w:rPr>
                      <w:rFonts w:ascii="Cambria Math" w:hAnsi="Cambria Math"/>
                      <w:iCs/>
                      <w:color w:val="000000"/>
                    </w:rPr>
                  </m:ctrlPr>
                </m:naryPr>
                <m:sub>
                  <m:r>
                    <w:rPr>
                      <w:rFonts w:ascii="Cambria Math" w:hAnsi="Cambria Math"/>
                      <w:color w:val="000000"/>
                    </w:rPr>
                    <m:t>i=1</m:t>
                  </m:r>
                  <m:ctrlPr>
                    <w:rPr>
                      <w:rFonts w:ascii="Cambria Math" w:hAnsi="Cambria Math"/>
                      <w:i/>
                      <w:iCs/>
                      <w:color w:val="000000"/>
                    </w:rPr>
                  </m:ctrlPr>
                </m:sub>
                <m:sup>
                  <m:r>
                    <w:rPr>
                      <w:rFonts w:ascii="Cambria Math" w:hAnsi="Cambria Math"/>
                      <w:color w:val="000000"/>
                    </w:rPr>
                    <m:t>m</m:t>
                  </m:r>
                  <m:ctrlPr>
                    <w:rPr>
                      <w:rFonts w:ascii="Cambria Math" w:hAnsi="Cambria Math"/>
                      <w:i/>
                      <w:iCs/>
                      <w:color w:val="000000"/>
                    </w:rPr>
                  </m:ctrlPr>
                </m:sup>
                <m:e>
                  <m:d>
                    <m:dPr>
                      <m:ctrlPr>
                        <w:rPr>
                          <w:rFonts w:ascii="Cambria Math" w:hAnsi="Cambria Math"/>
                          <w:iCs/>
                          <w:color w:val="000000"/>
                        </w:rPr>
                      </m:ctrlPr>
                    </m:dPr>
                    <m:e>
                      <m:f>
                        <m:fPr>
                          <m:ctrlPr>
                            <w:rPr>
                              <w:rFonts w:ascii="Cambria Math" w:hAnsi="Cambria Math"/>
                              <w:iCs/>
                              <w:color w:val="000000"/>
                            </w:rPr>
                          </m:ctrlPr>
                        </m:fPr>
                        <m:num>
                          <m:sSub>
                            <m:sSubPr>
                              <m:ctrlPr>
                                <w:rPr>
                                  <w:rFonts w:ascii="Cambria Math" w:hAnsi="Cambria Math"/>
                                  <w:i/>
                                  <w:iCs/>
                                  <w:color w:val="000000"/>
                                </w:rPr>
                              </m:ctrlPr>
                            </m:sSubPr>
                            <m:e>
                              <m:r>
                                <m:rPr>
                                  <m:sty m:val="p"/>
                                </m:rPr>
                                <w:rPr>
                                  <w:rFonts w:ascii="Cambria Math" w:hAnsi="Cambria Math"/>
                                  <w:color w:val="000000"/>
                                </w:rPr>
                                <m:t>λ</m:t>
                              </m:r>
                            </m:e>
                            <m:sub>
                              <m:r>
                                <w:rPr>
                                  <w:rFonts w:ascii="Cambria Math" w:hAnsi="Cambria Math"/>
                                  <w:color w:val="000000"/>
                                </w:rPr>
                                <m:t>i</m:t>
                              </m:r>
                            </m:sub>
                          </m:sSub>
                          <m:ctrlPr>
                            <w:rPr>
                              <w:rFonts w:ascii="Cambria Math" w:hAnsi="Cambria Math"/>
                              <w:i/>
                              <w:iCs/>
                              <w:color w:val="000000"/>
                            </w:rPr>
                          </m:ctrlPr>
                        </m:num>
                        <m:den>
                          <m:nary>
                            <m:naryPr>
                              <m:chr m:val="∑"/>
                              <m:ctrlPr>
                                <w:rPr>
                                  <w:rFonts w:ascii="Cambria Math" w:hAnsi="Cambria Math"/>
                                  <w:iCs/>
                                  <w:color w:val="000000"/>
                                </w:rPr>
                              </m:ctrlPr>
                            </m:naryPr>
                            <m:sub>
                              <m:r>
                                <w:rPr>
                                  <w:rFonts w:ascii="Cambria Math" w:hAnsi="Cambria Math" w:hint="eastAsia"/>
                                  <w:color w:val="000000"/>
                                </w:rPr>
                                <m:t>i</m:t>
                              </m:r>
                              <m:r>
                                <w:rPr>
                                  <w:rFonts w:ascii="Cambria Math" w:hAnsi="Cambria Math"/>
                                  <w:color w:val="000000"/>
                                </w:rPr>
                                <m:t>=1</m:t>
                              </m:r>
                              <m:ctrlPr>
                                <w:rPr>
                                  <w:rFonts w:ascii="Cambria Math" w:hAnsi="Cambria Math"/>
                                  <w:i/>
                                  <w:iCs/>
                                  <w:color w:val="000000"/>
                                </w:rPr>
                              </m:ctrlPr>
                            </m:sub>
                            <m:sup>
                              <m:r>
                                <w:rPr>
                                  <w:rFonts w:ascii="Cambria Math" w:hAnsi="Cambria Math"/>
                                  <w:color w:val="000000"/>
                                </w:rPr>
                                <m:t>p</m:t>
                              </m:r>
                              <m:ctrlPr>
                                <w:rPr>
                                  <w:rFonts w:ascii="Cambria Math" w:hAnsi="Cambria Math"/>
                                  <w:i/>
                                  <w:iCs/>
                                  <w:color w:val="000000"/>
                                </w:rPr>
                              </m:ctrlPr>
                            </m:sup>
                            <m:e>
                              <m:sSub>
                                <m:sSubPr>
                                  <m:ctrlPr>
                                    <w:rPr>
                                      <w:rFonts w:ascii="Cambria Math" w:hAnsi="Cambria Math"/>
                                      <w:i/>
                                      <w:iCs/>
                                      <w:color w:val="000000"/>
                                    </w:rPr>
                                  </m:ctrlPr>
                                </m:sSubPr>
                                <m:e>
                                  <m:r>
                                    <m:rPr>
                                      <m:sty m:val="p"/>
                                    </m:rPr>
                                    <w:rPr>
                                      <w:rFonts w:ascii="Cambria Math" w:hAnsi="Cambria Math"/>
                                      <w:color w:val="000000"/>
                                    </w:rPr>
                                    <m:t>λ</m:t>
                                  </m:r>
                                </m:e>
                                <m:sub>
                                  <m:r>
                                    <w:rPr>
                                      <w:rFonts w:ascii="Cambria Math" w:hAnsi="Cambria Math"/>
                                      <w:color w:val="000000"/>
                                    </w:rPr>
                                    <m:t>j</m:t>
                                  </m:r>
                                </m:sub>
                              </m:sSub>
                              <m:ctrlPr>
                                <w:rPr>
                                  <w:rFonts w:ascii="Cambria Math" w:hAnsi="Cambria Math"/>
                                  <w:i/>
                                  <w:iCs/>
                                  <w:color w:val="000000"/>
                                </w:rPr>
                              </m:ctrlPr>
                            </m:e>
                          </m:nary>
                          <m:ctrlPr>
                            <w:rPr>
                              <w:rFonts w:ascii="Cambria Math" w:hAnsi="Cambria Math"/>
                              <w:i/>
                              <w:iCs/>
                              <w:color w:val="000000"/>
                            </w:rPr>
                          </m:ctrlPr>
                        </m:den>
                      </m:f>
                      <m:ctrlPr>
                        <w:rPr>
                          <w:rFonts w:ascii="Cambria Math" w:hAnsi="Cambria Math"/>
                          <w:i/>
                          <w:iCs/>
                          <w:color w:val="000000"/>
                        </w:rPr>
                      </m:ctrlPr>
                    </m:e>
                  </m:d>
                  <m:ctrlPr>
                    <w:rPr>
                      <w:rFonts w:ascii="Cambria Math" w:hAnsi="Cambria Math"/>
                      <w:i/>
                      <w:iCs/>
                      <w:color w:val="000000"/>
                    </w:rPr>
                  </m:ctrlPr>
                </m:e>
              </m:nary>
              <m:r>
                <w:rPr>
                  <w:rFonts w:ascii="Cambria Math" w:hAnsi="Cambria Math"/>
                  <w:color w:val="000000"/>
                </w:rPr>
                <m:t>#</m:t>
              </m:r>
              <m:d>
                <m:dPr>
                  <m:begChr m:val="（"/>
                  <m:endChr m:val="）"/>
                  <m:ctrlPr>
                    <w:rPr>
                      <w:rFonts w:ascii="Cambria Math" w:hAnsi="Cambria Math"/>
                      <w:color w:val="000000"/>
                    </w:rPr>
                  </m:ctrlPr>
                </m:dPr>
                <m:e>
                  <m:r>
                    <m:rPr>
                      <m:sty m:val="p"/>
                    </m:rPr>
                    <w:rPr>
                      <w:rFonts w:ascii="Cambria Math" w:hAnsi="Cambria Math"/>
                      <w:color w:val="000000"/>
                    </w:rPr>
                    <m:t>2.20</m:t>
                  </m:r>
                </m:e>
              </m:d>
            </m:e>
          </m:eqArr>
        </m:oMath>
      </m:oMathPara>
    </w:p>
    <w:p w14:paraId="6C35BBEE" w14:textId="77777777" w:rsidR="00D46586" w:rsidRDefault="00000000">
      <w:pPr>
        <w:pStyle w:val="a3"/>
        <w:ind w:left="480" w:firstLine="480"/>
        <w:rPr>
          <w:iCs/>
        </w:rPr>
      </w:pPr>
      <w:r>
        <w:rPr>
          <w:rFonts w:hint="eastAsia"/>
        </w:rPr>
        <w:t>上式中：</w:t>
      </w:r>
      <m:oMath>
        <m:r>
          <w:rPr>
            <w:rFonts w:ascii="Cambria Math" w:hAnsi="Cambria Math" w:cstheme="majorHAnsi"/>
          </w:rPr>
          <m:t>m</m:t>
        </m:r>
        <m:d>
          <m:dPr>
            <m:ctrlPr>
              <w:rPr>
                <w:rFonts w:ascii="Cambria Math" w:hAnsi="Cambria Math" w:cstheme="majorHAnsi"/>
              </w:rPr>
            </m:ctrlPr>
          </m:dPr>
          <m:e>
            <m:r>
              <w:rPr>
                <w:rFonts w:ascii="Cambria Math" w:hAnsi="Cambria Math" w:cstheme="majorHAnsi"/>
              </w:rPr>
              <m:t>m&lt;p</m:t>
            </m:r>
          </m:e>
        </m:d>
      </m:oMath>
      <w:r>
        <w:rPr>
          <w:rFonts w:hint="eastAsia"/>
          <w:iCs/>
        </w:rPr>
        <w:t>为前几个主成分，</w:t>
      </w:r>
      <w:r>
        <w:rPr>
          <w:rFonts w:hint="eastAsia"/>
          <w:iCs/>
        </w:rPr>
        <w:t>p</w:t>
      </w:r>
      <w:r>
        <w:rPr>
          <w:rFonts w:hint="eastAsia"/>
          <w:iCs/>
        </w:rPr>
        <w:t>为主成分的个数，</w:t>
      </w:r>
      <m:oMath>
        <m:sSub>
          <m:sSubPr>
            <m:ctrlPr>
              <w:rPr>
                <w:rFonts w:ascii="Cambria Math" w:hAnsi="Cambria Math"/>
                <w:i/>
                <w:iCs/>
              </w:rPr>
            </m:ctrlPr>
          </m:sSubPr>
          <m:e>
            <m:r>
              <w:rPr>
                <w:rFonts w:ascii="Cambria Math" w:hAnsi="Cambria Math"/>
              </w:rPr>
              <m:t>λ</m:t>
            </m:r>
          </m:e>
          <m:sub>
            <m:r>
              <w:rPr>
                <w:rFonts w:ascii="Cambria Math" w:hAnsi="Cambria Math"/>
              </w:rPr>
              <m:t>i</m:t>
            </m:r>
          </m:sub>
        </m:sSub>
      </m:oMath>
      <w:r>
        <w:rPr>
          <w:rFonts w:hint="eastAsia"/>
          <w:iCs/>
        </w:rPr>
        <w:t>为主成分特征值</w:t>
      </w:r>
      <m:oMath>
        <m:d>
          <m:dPr>
            <m:ctrlPr>
              <w:rPr>
                <w:rFonts w:ascii="Cambria Math" w:hAnsi="Cambria Math"/>
                <w:i/>
              </w:rPr>
            </m:ctrlPr>
          </m:dPr>
          <m:e>
            <m:r>
              <w:rPr>
                <w:rFonts w:ascii="Cambria Math" w:hAnsi="Cambria Math"/>
              </w:rPr>
              <m:t>i=1,2,⋯,p</m:t>
            </m:r>
          </m:e>
        </m:d>
      </m:oMath>
      <w:r>
        <w:rPr>
          <w:rFonts w:hint="eastAsia"/>
          <w:iCs/>
        </w:rPr>
        <w:t>。</w:t>
      </w:r>
    </w:p>
    <w:p w14:paraId="6477879B" w14:textId="77777777" w:rsidR="00D46586" w:rsidRDefault="00000000">
      <w:pPr>
        <w:pStyle w:val="a3"/>
        <w:ind w:left="480" w:firstLine="480"/>
        <w:rPr>
          <w:iCs/>
        </w:rPr>
      </w:pPr>
      <w:r>
        <w:rPr>
          <w:rFonts w:hint="eastAsia"/>
          <w:iCs/>
        </w:rPr>
        <w:t>主成分分析后得到的数据分析过程中，应结合专业知识和具体问题，对线性变换后的综合指标给出合理解释，达到能说明实际问题深刻分析的意义。</w:t>
      </w:r>
    </w:p>
    <w:p w14:paraId="589A1FBF" w14:textId="77777777" w:rsidR="00D46586" w:rsidRDefault="00000000">
      <w:pPr>
        <w:pStyle w:val="2"/>
        <w:spacing w:before="156" w:after="156"/>
        <w:ind w:left="480"/>
      </w:pPr>
      <w:bookmarkStart w:id="85" w:name="_Toc16834"/>
      <w:bookmarkStart w:id="86" w:name="_Toc230693486"/>
      <w:bookmarkStart w:id="87" w:name="_Toc230815663"/>
      <w:r>
        <w:rPr>
          <w:rFonts w:hint="eastAsia"/>
        </w:rPr>
        <w:lastRenderedPageBreak/>
        <w:t xml:space="preserve">2.4 </w:t>
      </w:r>
      <w:r>
        <w:rPr>
          <w:rFonts w:hint="eastAsia"/>
        </w:rPr>
        <w:t>地理探测器模型</w:t>
      </w:r>
      <w:bookmarkEnd w:id="85"/>
      <w:bookmarkEnd w:id="86"/>
      <w:bookmarkEnd w:id="87"/>
    </w:p>
    <w:p w14:paraId="2BC0C572" w14:textId="77777777" w:rsidR="00D46586" w:rsidRDefault="00000000">
      <w:pPr>
        <w:pStyle w:val="a3"/>
        <w:ind w:left="480" w:firstLine="480"/>
      </w:pPr>
      <w:r>
        <w:rPr>
          <w:rFonts w:hint="eastAsia"/>
        </w:rPr>
        <w:t>2016</w:t>
      </w:r>
      <w:r>
        <w:rPr>
          <w:rFonts w:hint="eastAsia"/>
        </w:rPr>
        <w:t>年，王劲松团队在《地理学报》提出地理探测器模型，该统计方法能够解析空间分异性及其驱动因素，适用于定量与定性数据的分析。相比传统统计模型，它能评估因子的解释力、揭示多因子交互作用，并分析自变量与因变量及自变量间的关系（包括线性</w:t>
      </w:r>
      <w:r>
        <w:rPr>
          <w:rFonts w:hint="eastAsia"/>
        </w:rPr>
        <w:t>/</w:t>
      </w:r>
      <w:r>
        <w:rPr>
          <w:rFonts w:hint="eastAsia"/>
        </w:rPr>
        <w:t>非线性、作用强度及方向）</w:t>
      </w:r>
      <w:r>
        <w:rPr>
          <w:rFonts w:hint="eastAsia"/>
        </w:rPr>
        <w:fldChar w:fldCharType="begin" w:fldLock="1"/>
      </w:r>
      <w:r>
        <w:rPr>
          <w:rFonts w:hint="eastAsia"/>
        </w:rPr>
        <w:instrText xml:space="preserve"> REF _Ref29162 \r \h </w:instrText>
      </w:r>
      <w:r>
        <w:instrText xml:space="preserve"> \* MERGEFORMAT </w:instrText>
      </w:r>
      <w:r>
        <w:rPr>
          <w:rFonts w:hint="eastAsia"/>
        </w:rPr>
      </w:r>
      <w:r>
        <w:rPr>
          <w:rFonts w:hint="eastAsia"/>
        </w:rPr>
        <w:fldChar w:fldCharType="separate"/>
      </w:r>
      <w:r>
        <w:rPr>
          <w:rFonts w:hint="eastAsia"/>
          <w:vertAlign w:val="superscript"/>
        </w:rPr>
        <w:t>[47]</w:t>
      </w:r>
      <w:r>
        <w:rPr>
          <w:rFonts w:hint="eastAsia"/>
        </w:rPr>
        <w:fldChar w:fldCharType="end"/>
      </w:r>
      <w:r>
        <w:rPr>
          <w:rFonts w:hint="eastAsia"/>
        </w:rPr>
        <w:t>。模型包括四个探测器：</w:t>
      </w:r>
      <w:proofErr w:type="gramStart"/>
      <w:r>
        <w:rPr>
          <w:rFonts w:hint="eastAsia"/>
        </w:rPr>
        <w:t>分异及因子</w:t>
      </w:r>
      <w:proofErr w:type="gramEnd"/>
      <w:r>
        <w:rPr>
          <w:rFonts w:hint="eastAsia"/>
        </w:rPr>
        <w:t>探测器、生态探测器、交互作用探测器、风险探测器。本文使用交互作用探测器来对研究区进行驱动力分析。以下为该探测器的介绍：</w:t>
      </w:r>
    </w:p>
    <w:p w14:paraId="1D635ED6" w14:textId="77777777" w:rsidR="00D46586" w:rsidRDefault="00000000">
      <w:pPr>
        <w:pStyle w:val="a3"/>
        <w:ind w:left="480" w:firstLine="480"/>
      </w:pPr>
      <w:r>
        <w:rPr>
          <w:rFonts w:hint="eastAsia"/>
        </w:rPr>
        <w:t>交互作用探测器：该模型能够分析变量间的交互效应，量化自变量单独及协同作用对因变量空间分异性的解释力差异。两个自变量会出现</w:t>
      </w:r>
      <w:r>
        <w:rPr>
          <w:rFonts w:hint="eastAsia"/>
        </w:rPr>
        <w:t>5</w:t>
      </w:r>
      <w:r>
        <w:rPr>
          <w:rFonts w:hint="eastAsia"/>
        </w:rPr>
        <w:t>种交互情况分别为：</w:t>
      </w:r>
    </w:p>
    <w:p w14:paraId="083A08F8" w14:textId="77777777" w:rsidR="00D46586" w:rsidRDefault="00000000">
      <w:pPr>
        <w:pStyle w:val="a3"/>
        <w:ind w:left="480" w:firstLine="480"/>
      </w:pPr>
      <w:r>
        <w:rPr>
          <w:rFonts w:hint="eastAsia"/>
        </w:rPr>
        <w:t>a.</w:t>
      </w:r>
      <w:r>
        <w:rPr>
          <w:rFonts w:hint="eastAsia"/>
        </w:rPr>
        <w:t>若</w:t>
      </w:r>
      <w:r>
        <w:rPr>
          <w:rFonts w:hint="eastAsia"/>
        </w:rPr>
        <w:t>PA</w:t>
      </w:r>
      <w:r>
        <w:rPr>
          <w:rFonts w:hint="eastAsia"/>
        </w:rPr>
        <w:t>∩</w:t>
      </w:r>
      <w:r>
        <w:rPr>
          <w:rFonts w:hint="eastAsia"/>
        </w:rPr>
        <w:t>B&lt;</w:t>
      </w:r>
      <w:proofErr w:type="spellStart"/>
      <w:r>
        <w:rPr>
          <w:rFonts w:hint="eastAsia"/>
        </w:rPr>
        <w:t>minPA,PB</w:t>
      </w:r>
      <w:proofErr w:type="spellEnd"/>
      <w:r>
        <w:rPr>
          <w:rFonts w:hint="eastAsia"/>
        </w:rPr>
        <w:t>，则两因子交互后影响作用非线性减弱；</w:t>
      </w:r>
    </w:p>
    <w:p w14:paraId="3576C1AD" w14:textId="77777777" w:rsidR="00D46586" w:rsidRDefault="00000000">
      <w:pPr>
        <w:pStyle w:val="a3"/>
        <w:ind w:left="480" w:firstLine="480"/>
      </w:pPr>
      <w:r>
        <w:rPr>
          <w:rFonts w:hint="eastAsia"/>
        </w:rPr>
        <w:t>b.</w:t>
      </w:r>
      <w:r>
        <w:rPr>
          <w:rFonts w:hint="eastAsia"/>
        </w:rPr>
        <w:t>若</w:t>
      </w:r>
      <w:proofErr w:type="spellStart"/>
      <w:r>
        <w:rPr>
          <w:rFonts w:hint="eastAsia"/>
        </w:rPr>
        <w:t>minPA,PB</w:t>
      </w:r>
      <w:proofErr w:type="spellEnd"/>
      <w:r>
        <w:rPr>
          <w:rFonts w:hint="eastAsia"/>
        </w:rPr>
        <w:t>&lt;PA</w:t>
      </w:r>
      <w:r>
        <w:rPr>
          <w:rFonts w:hint="eastAsia"/>
        </w:rPr>
        <w:t>∩</w:t>
      </w:r>
      <w:r>
        <w:rPr>
          <w:rFonts w:hint="eastAsia"/>
        </w:rPr>
        <w:t>B&lt;</w:t>
      </w:r>
      <w:proofErr w:type="spellStart"/>
      <w:r>
        <w:rPr>
          <w:rFonts w:hint="eastAsia"/>
        </w:rPr>
        <w:t>maxPA,PB</w:t>
      </w:r>
      <w:proofErr w:type="spellEnd"/>
      <w:r>
        <w:rPr>
          <w:rFonts w:hint="eastAsia"/>
        </w:rPr>
        <w:t>，则单线性减弱；</w:t>
      </w:r>
    </w:p>
    <w:p w14:paraId="27F0CA70" w14:textId="77777777" w:rsidR="00D46586" w:rsidRDefault="00000000">
      <w:pPr>
        <w:pStyle w:val="a3"/>
        <w:ind w:left="480" w:firstLine="480"/>
      </w:pPr>
      <w:r>
        <w:rPr>
          <w:rFonts w:hint="eastAsia"/>
        </w:rPr>
        <w:t>c.</w:t>
      </w:r>
      <w:r>
        <w:rPr>
          <w:rFonts w:hint="eastAsia"/>
        </w:rPr>
        <w:t>若</w:t>
      </w:r>
      <w:r>
        <w:rPr>
          <w:rFonts w:hint="eastAsia"/>
        </w:rPr>
        <w:t>PA</w:t>
      </w:r>
      <w:r>
        <w:rPr>
          <w:rFonts w:hint="eastAsia"/>
        </w:rPr>
        <w:t>∩</w:t>
      </w:r>
      <w:r>
        <w:rPr>
          <w:rFonts w:hint="eastAsia"/>
        </w:rPr>
        <w:t>B&gt;</w:t>
      </w:r>
      <w:proofErr w:type="spellStart"/>
      <w:r>
        <w:rPr>
          <w:rFonts w:hint="eastAsia"/>
        </w:rPr>
        <w:t>maxPA,PB</w:t>
      </w:r>
      <w:proofErr w:type="spellEnd"/>
      <w:r>
        <w:rPr>
          <w:rFonts w:hint="eastAsia"/>
        </w:rPr>
        <w:t>，则双因子增强；</w:t>
      </w:r>
    </w:p>
    <w:p w14:paraId="5B92F431" w14:textId="77777777" w:rsidR="00D46586" w:rsidRDefault="00000000">
      <w:pPr>
        <w:pStyle w:val="a3"/>
        <w:ind w:left="480" w:firstLine="480"/>
      </w:pPr>
      <w:r>
        <w:rPr>
          <w:rFonts w:hint="eastAsia"/>
        </w:rPr>
        <w:t>d.</w:t>
      </w:r>
      <w:r>
        <w:rPr>
          <w:rFonts w:hint="eastAsia"/>
        </w:rPr>
        <w:t>若</w:t>
      </w:r>
      <w:r>
        <w:rPr>
          <w:rFonts w:hint="eastAsia"/>
        </w:rPr>
        <w:t>PA</w:t>
      </w:r>
      <w:r>
        <w:rPr>
          <w:rFonts w:hint="eastAsia"/>
        </w:rPr>
        <w:t>∩</w:t>
      </w:r>
      <w:r>
        <w:rPr>
          <w:rFonts w:hint="eastAsia"/>
        </w:rPr>
        <w:t>B&lt;PA+PB</w:t>
      </w:r>
      <w:r>
        <w:rPr>
          <w:rFonts w:hint="eastAsia"/>
        </w:rPr>
        <w:t>，则双因子增强；</w:t>
      </w:r>
    </w:p>
    <w:p w14:paraId="2FAEDCE9" w14:textId="77777777" w:rsidR="00D46586" w:rsidRDefault="00000000">
      <w:pPr>
        <w:pStyle w:val="a3"/>
        <w:ind w:left="480" w:firstLine="480"/>
      </w:pPr>
      <w:r>
        <w:rPr>
          <w:rFonts w:hint="eastAsia"/>
        </w:rPr>
        <w:t>e.</w:t>
      </w:r>
      <w:r>
        <w:rPr>
          <w:rFonts w:hint="eastAsia"/>
        </w:rPr>
        <w:t>若</w:t>
      </w:r>
      <w:r>
        <w:rPr>
          <w:rFonts w:hint="eastAsia"/>
        </w:rPr>
        <w:t>PA</w:t>
      </w:r>
      <w:r>
        <w:rPr>
          <w:rFonts w:hint="eastAsia"/>
        </w:rPr>
        <w:t>∩</w:t>
      </w:r>
      <w:r>
        <w:rPr>
          <w:rFonts w:hint="eastAsia"/>
        </w:rPr>
        <w:t>B&gt;PA+PB</w:t>
      </w:r>
      <w:r>
        <w:rPr>
          <w:rFonts w:hint="eastAsia"/>
        </w:rPr>
        <w:t>，则非线性增强；若</w:t>
      </w:r>
      <w:r>
        <w:rPr>
          <w:rFonts w:hint="eastAsia"/>
        </w:rPr>
        <w:t>PA</w:t>
      </w:r>
      <w:r>
        <w:rPr>
          <w:rFonts w:hint="eastAsia"/>
        </w:rPr>
        <w:t>∩</w:t>
      </w:r>
      <w:r>
        <w:rPr>
          <w:rFonts w:hint="eastAsia"/>
        </w:rPr>
        <w:t>B=PA+PB</w:t>
      </w:r>
      <w:r>
        <w:rPr>
          <w:rFonts w:hint="eastAsia"/>
        </w:rPr>
        <w:t>，则相互独立。</w:t>
      </w:r>
    </w:p>
    <w:p w14:paraId="625D99B4" w14:textId="77777777" w:rsidR="00D46586" w:rsidRDefault="00000000">
      <w:pPr>
        <w:pStyle w:val="2"/>
        <w:spacing w:before="156" w:after="156"/>
        <w:ind w:left="480"/>
      </w:pPr>
      <w:bookmarkStart w:id="88" w:name="_Toc12772"/>
      <w:bookmarkStart w:id="89" w:name="_Toc230693487"/>
      <w:bookmarkStart w:id="90" w:name="_Toc199366287"/>
      <w:bookmarkStart w:id="91" w:name="_Toc230815664"/>
      <w:r>
        <w:rPr>
          <w:rFonts w:hint="eastAsia"/>
        </w:rPr>
        <w:t xml:space="preserve">2.5 </w:t>
      </w:r>
      <w:r>
        <w:rPr>
          <w:rFonts w:hint="eastAsia"/>
        </w:rPr>
        <w:t>本章小结</w:t>
      </w:r>
      <w:bookmarkEnd w:id="88"/>
      <w:bookmarkEnd w:id="89"/>
      <w:bookmarkEnd w:id="90"/>
      <w:bookmarkEnd w:id="91"/>
    </w:p>
    <w:p w14:paraId="3BDE7E09" w14:textId="77777777" w:rsidR="00D46586" w:rsidRDefault="00000000">
      <w:pPr>
        <w:pStyle w:val="a3"/>
        <w:ind w:left="480" w:firstLine="480"/>
      </w:pPr>
      <w:bookmarkStart w:id="92" w:name="_Toc14651"/>
      <w:bookmarkStart w:id="93" w:name="_Toc199366288"/>
      <w:r>
        <w:rPr>
          <w:rFonts w:hint="eastAsia"/>
        </w:rPr>
        <w:t>本章旨在系统梳理当前生态环境质量评价中应用比较广泛的方法体系，并从理论基础和技术实现两个维</w:t>
      </w:r>
      <w:proofErr w:type="gramStart"/>
      <w:r>
        <w:rPr>
          <w:rFonts w:hint="eastAsia"/>
        </w:rPr>
        <w:t>度展开</w:t>
      </w:r>
      <w:proofErr w:type="gramEnd"/>
      <w:r>
        <w:rPr>
          <w:rFonts w:hint="eastAsia"/>
        </w:rPr>
        <w:t>深入的论述。先是对比分析了国内外主流的生态环境评价方法，指出了这些方法在数据需求、权重确定、非线性关系处理等方面的适用性与局限性。在此基础上，重点阐释了由徐涵秋所提出的遥感生态指数</w:t>
      </w:r>
      <w:r>
        <w:rPr>
          <w:rFonts w:hint="eastAsia"/>
        </w:rPr>
        <w:t>RSEI</w:t>
      </w:r>
      <w:r>
        <w:rPr>
          <w:rFonts w:hint="eastAsia"/>
        </w:rPr>
        <w:t>，</w:t>
      </w:r>
      <w:r>
        <w:rPr>
          <w:rFonts w:hint="eastAsia"/>
        </w:rPr>
        <w:t>RSEI</w:t>
      </w:r>
      <w:r>
        <w:rPr>
          <w:rFonts w:hint="eastAsia"/>
        </w:rPr>
        <w:t>完全基于遥感数据，能够快速且客观地反映出区域的生态环境状况，其核心构成指标包括了绿度指标、湿度指标、干度指标和热度指标。</w:t>
      </w:r>
    </w:p>
    <w:p w14:paraId="6195EB78" w14:textId="77777777" w:rsidR="00D46586" w:rsidRDefault="00000000">
      <w:pPr>
        <w:pStyle w:val="a3"/>
        <w:ind w:left="480" w:firstLine="480"/>
      </w:pPr>
      <w:r>
        <w:rPr>
          <w:rFonts w:hint="eastAsia"/>
        </w:rPr>
        <w:t>本章节进一步详细推导了</w:t>
      </w:r>
      <w:r>
        <w:rPr>
          <w:rFonts w:hint="eastAsia"/>
        </w:rPr>
        <w:t>PCA</w:t>
      </w:r>
      <w:r>
        <w:rPr>
          <w:rFonts w:hint="eastAsia"/>
        </w:rPr>
        <w:t>的数学原理：包括特征值分解算法（把协方差矩阵分解为特征向量与特征值）、方差贡献率的计算（各主成分解释了原始信息量的比例），以及载荷矩阵的解析（揭示出原始指标与主成分之</w:t>
      </w:r>
      <w:r>
        <w:rPr>
          <w:rFonts w:hint="eastAsia"/>
        </w:rPr>
        <w:lastRenderedPageBreak/>
        <w:t>间的相关关系）。通过</w:t>
      </w:r>
      <w:r>
        <w:rPr>
          <w:rFonts w:hint="eastAsia"/>
        </w:rPr>
        <w:t>PCA</w:t>
      </w:r>
      <w:r>
        <w:rPr>
          <w:rFonts w:hint="eastAsia"/>
        </w:rPr>
        <w:t>变换，第一主成分（</w:t>
      </w:r>
      <w:r>
        <w:rPr>
          <w:rFonts w:hint="eastAsia"/>
        </w:rPr>
        <w:t>PC1</w:t>
      </w:r>
      <w:r>
        <w:rPr>
          <w:rFonts w:hint="eastAsia"/>
        </w:rPr>
        <w:t>）通常会集中四个指标的大部分方差信息，能够充当</w:t>
      </w:r>
      <w:r>
        <w:rPr>
          <w:rFonts w:hint="eastAsia"/>
        </w:rPr>
        <w:t>RSEI</w:t>
      </w:r>
      <w:r>
        <w:rPr>
          <w:rFonts w:hint="eastAsia"/>
        </w:rPr>
        <w:t>的定量表达。论证表明，</w:t>
      </w:r>
      <w:r>
        <w:rPr>
          <w:rFonts w:hint="eastAsia"/>
        </w:rPr>
        <w:t>PCA</w:t>
      </w:r>
      <w:r>
        <w:rPr>
          <w:rFonts w:hint="eastAsia"/>
        </w:rPr>
        <w:t>在</w:t>
      </w:r>
      <w:proofErr w:type="gramStart"/>
      <w:r>
        <w:rPr>
          <w:rFonts w:hint="eastAsia"/>
        </w:rPr>
        <w:t>指标降维与</w:t>
      </w:r>
      <w:proofErr w:type="gramEnd"/>
      <w:r>
        <w:rPr>
          <w:rFonts w:hint="eastAsia"/>
        </w:rPr>
        <w:t>集成当中有着相当显著的技术优势：一是完全基于数据驱动的权重分配，避免了主观赋权带来的偏差；二是能够有效去除指标之间的冗余信息，把生态环境质量的主要变化方向突显出来；三是计算过程规范、可重复性强，方便用于不同区域和时相的对比研究。</w:t>
      </w:r>
    </w:p>
    <w:p w14:paraId="4F775061" w14:textId="77777777" w:rsidR="00D46586" w:rsidRDefault="00000000">
      <w:pPr>
        <w:pStyle w:val="1"/>
        <w:spacing w:before="312" w:after="312"/>
        <w:ind w:left="480"/>
      </w:pPr>
      <w:bookmarkStart w:id="94" w:name="_Toc230693488"/>
      <w:bookmarkStart w:id="95" w:name="_Toc230815665"/>
      <w:r>
        <w:rPr>
          <w:rFonts w:hint="eastAsia"/>
        </w:rPr>
        <w:t xml:space="preserve">3  </w:t>
      </w:r>
      <w:r>
        <w:rPr>
          <w:rFonts w:hint="eastAsia"/>
        </w:rPr>
        <w:t>研究区域概况及主要研究方法</w:t>
      </w:r>
      <w:bookmarkEnd w:id="94"/>
      <w:bookmarkEnd w:id="95"/>
    </w:p>
    <w:p w14:paraId="2F5387C2" w14:textId="77777777" w:rsidR="00D46586" w:rsidRDefault="00000000">
      <w:pPr>
        <w:pStyle w:val="2"/>
        <w:spacing w:before="156" w:after="156"/>
        <w:ind w:left="480"/>
      </w:pPr>
      <w:bookmarkStart w:id="96" w:name="_Toc230693489"/>
      <w:bookmarkStart w:id="97" w:name="_Toc199366289"/>
      <w:bookmarkStart w:id="98" w:name="_Toc12462"/>
      <w:bookmarkStart w:id="99" w:name="_Toc230815666"/>
      <w:r>
        <w:rPr>
          <w:rFonts w:hint="eastAsia"/>
        </w:rPr>
        <w:t xml:space="preserve">3.1 </w:t>
      </w:r>
      <w:r>
        <w:rPr>
          <w:rFonts w:hint="eastAsia"/>
        </w:rPr>
        <w:t>地理及气候概况</w:t>
      </w:r>
      <w:bookmarkEnd w:id="96"/>
      <w:bookmarkEnd w:id="97"/>
      <w:bookmarkEnd w:id="98"/>
      <w:bookmarkEnd w:id="99"/>
    </w:p>
    <w:p w14:paraId="328BF43F" w14:textId="77777777" w:rsidR="00D46586" w:rsidRDefault="00D46586">
      <w:pPr>
        <w:pStyle w:val="a3"/>
        <w:ind w:leftChars="83" w:left="199" w:firstLineChars="175"/>
      </w:pPr>
    </w:p>
    <w:bookmarkEnd w:id="92"/>
    <w:bookmarkEnd w:id="93"/>
    <w:p w14:paraId="3E25D567" w14:textId="77777777" w:rsidR="00D46586" w:rsidRDefault="00000000">
      <w:pPr>
        <w:keepNext/>
        <w:ind w:left="480"/>
      </w:pPr>
      <w:r>
        <w:rPr>
          <w:noProof/>
        </w:rPr>
        <w:drawing>
          <wp:inline distT="0" distB="0" distL="114300" distR="114300" wp14:anchorId="4C574111" wp14:editId="4A67FFF1">
            <wp:extent cx="5078095" cy="3256280"/>
            <wp:effectExtent l="0" t="0" r="12065" b="508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6"/>
                    <a:stretch>
                      <a:fillRect/>
                    </a:stretch>
                  </pic:blipFill>
                  <pic:spPr>
                    <a:xfrm>
                      <a:off x="0" y="0"/>
                      <a:ext cx="5078095" cy="3256280"/>
                    </a:xfrm>
                    <a:prstGeom prst="rect">
                      <a:avLst/>
                    </a:prstGeom>
                    <a:noFill/>
                    <a:ln>
                      <a:noFill/>
                    </a:ln>
                  </pic:spPr>
                </pic:pic>
              </a:graphicData>
            </a:graphic>
          </wp:inline>
        </w:drawing>
      </w:r>
    </w:p>
    <w:p w14:paraId="4C7892F4" w14:textId="77777777" w:rsidR="00D46586" w:rsidRDefault="00000000">
      <w:pPr>
        <w:ind w:left="480"/>
        <w:jc w:val="center"/>
      </w:pPr>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1</w:t>
      </w:r>
      <w:r>
        <w:fldChar w:fldCharType="end"/>
      </w:r>
      <w:r>
        <w:rPr>
          <w:rFonts w:hint="eastAsia"/>
        </w:rPr>
        <w:t>研究区指示图</w:t>
      </w:r>
    </w:p>
    <w:p w14:paraId="48AA7FDE" w14:textId="77777777" w:rsidR="00D46586" w:rsidRDefault="00D46586">
      <w:pPr>
        <w:ind w:left="480"/>
        <w:jc w:val="center"/>
      </w:pPr>
    </w:p>
    <w:p w14:paraId="4FF850B2" w14:textId="77777777" w:rsidR="00D46586" w:rsidRDefault="00000000">
      <w:pPr>
        <w:pStyle w:val="3"/>
        <w:spacing w:before="78" w:after="78"/>
        <w:ind w:left="480"/>
      </w:pPr>
      <w:bookmarkStart w:id="100" w:name="_Toc230693490"/>
      <w:bookmarkStart w:id="101" w:name="_Toc9183"/>
      <w:bookmarkStart w:id="102" w:name="_Toc199366290"/>
      <w:bookmarkStart w:id="103" w:name="_Toc230815667"/>
      <w:r>
        <w:rPr>
          <w:rFonts w:hint="eastAsia"/>
        </w:rPr>
        <w:t xml:space="preserve">3.1.1 </w:t>
      </w:r>
      <w:r>
        <w:rPr>
          <w:rFonts w:hint="eastAsia"/>
        </w:rPr>
        <w:t>地理概况</w:t>
      </w:r>
      <w:bookmarkEnd w:id="100"/>
      <w:bookmarkEnd w:id="101"/>
      <w:bookmarkEnd w:id="102"/>
      <w:bookmarkEnd w:id="103"/>
    </w:p>
    <w:p w14:paraId="043CAFD5" w14:textId="77777777" w:rsidR="00D46586" w:rsidRDefault="00000000">
      <w:pPr>
        <w:pStyle w:val="a3"/>
        <w:ind w:left="480" w:firstLine="480"/>
      </w:pPr>
      <w:bookmarkStart w:id="104" w:name="_Toc199366291"/>
      <w:bookmarkStart w:id="105" w:name="_Toc30688"/>
      <w:r>
        <w:rPr>
          <w:rFonts w:hint="eastAsia"/>
        </w:rPr>
        <w:t>吉林省东北防护林建设区属于东北三北防护林建设区的一部分，作为全球最大生态工程——中国三北防护林体系的重要战略区域，自</w:t>
      </w:r>
      <w:r>
        <w:rPr>
          <w:rFonts w:hint="eastAsia"/>
        </w:rPr>
        <w:t>1978</w:t>
      </w:r>
      <w:r>
        <w:rPr>
          <w:rFonts w:hint="eastAsia"/>
        </w:rPr>
        <w:t>年启动</w:t>
      </w:r>
      <w:r>
        <w:rPr>
          <w:rFonts w:hint="eastAsia"/>
        </w:rPr>
        <w:lastRenderedPageBreak/>
        <w:t>建设以来，规划一直要到</w:t>
      </w:r>
      <w:r>
        <w:rPr>
          <w:rFonts w:hint="eastAsia"/>
        </w:rPr>
        <w:t>2050</w:t>
      </w:r>
      <w:r>
        <w:rPr>
          <w:rFonts w:hint="eastAsia"/>
        </w:rPr>
        <w:t>年才能全面完成。该工程的东西跨度涵盖了东经</w:t>
      </w:r>
      <w:r>
        <w:rPr>
          <w:rFonts w:hint="eastAsia"/>
        </w:rPr>
        <w:t>118</w:t>
      </w:r>
      <w:r>
        <w:rPr>
          <w:rFonts w:hint="eastAsia"/>
        </w:rPr>
        <w:t>°</w:t>
      </w:r>
      <w:r>
        <w:rPr>
          <w:rFonts w:hint="eastAsia"/>
        </w:rPr>
        <w:t>-135</w:t>
      </w:r>
      <w:r>
        <w:rPr>
          <w:rFonts w:hint="eastAsia"/>
        </w:rPr>
        <w:t>°、南北横跨北纬</w:t>
      </w:r>
      <w:r>
        <w:rPr>
          <w:rFonts w:hint="eastAsia"/>
        </w:rPr>
        <w:t>40</w:t>
      </w:r>
      <w:r>
        <w:rPr>
          <w:rFonts w:hint="eastAsia"/>
        </w:rPr>
        <w:t>°</w:t>
      </w:r>
      <w:r>
        <w:rPr>
          <w:rFonts w:hint="eastAsia"/>
        </w:rPr>
        <w:t>-53</w:t>
      </w:r>
      <w:r>
        <w:rPr>
          <w:rFonts w:hint="eastAsia"/>
        </w:rPr>
        <w:t>°的广阔范围，重点建设了松嫩平原防护林网、科尔沁沙地固沙林等核心生态带，目标是构筑起一道稳固的北方生态安全屏障。这一区域是三北防护林体系中的重要部分，承担着减缓蒙古</w:t>
      </w:r>
      <w:r>
        <w:rPr>
          <w:rFonts w:hint="eastAsia"/>
        </w:rPr>
        <w:t>-</w:t>
      </w:r>
      <w:r>
        <w:rPr>
          <w:rFonts w:hint="eastAsia"/>
        </w:rPr>
        <w:t>西伯利亚寒流南下、阻断科尔沁沙地东移、保护东北黑土</w:t>
      </w:r>
      <w:proofErr w:type="gramStart"/>
      <w:r>
        <w:rPr>
          <w:rFonts w:hint="eastAsia"/>
        </w:rPr>
        <w:t>带关键</w:t>
      </w:r>
      <w:proofErr w:type="gramEnd"/>
      <w:r>
        <w:rPr>
          <w:rFonts w:hint="eastAsia"/>
        </w:rPr>
        <w:t>地带。工程累计造林已超过</w:t>
      </w:r>
      <w:r>
        <w:rPr>
          <w:rFonts w:hint="eastAsia"/>
        </w:rPr>
        <w:t>300</w:t>
      </w:r>
      <w:r>
        <w:rPr>
          <w:rFonts w:hint="eastAsia"/>
        </w:rPr>
        <w:t>万公顷，构成了</w:t>
      </w:r>
      <w:r>
        <w:rPr>
          <w:rFonts w:hint="eastAsia"/>
        </w:rPr>
        <w:t>"</w:t>
      </w:r>
      <w:r>
        <w:rPr>
          <w:rFonts w:hint="eastAsia"/>
        </w:rPr>
        <w:t>带</w:t>
      </w:r>
      <w:r>
        <w:rPr>
          <w:rFonts w:hint="eastAsia"/>
        </w:rPr>
        <w:t>-</w:t>
      </w:r>
      <w:r>
        <w:rPr>
          <w:rFonts w:hint="eastAsia"/>
        </w:rPr>
        <w:t>片</w:t>
      </w:r>
      <w:r>
        <w:rPr>
          <w:rFonts w:hint="eastAsia"/>
        </w:rPr>
        <w:t>-</w:t>
      </w:r>
      <w:r>
        <w:rPr>
          <w:rFonts w:hint="eastAsia"/>
        </w:rPr>
        <w:t>网</w:t>
      </w:r>
      <w:r>
        <w:rPr>
          <w:rFonts w:hint="eastAsia"/>
        </w:rPr>
        <w:t>"</w:t>
      </w:r>
      <w:r>
        <w:rPr>
          <w:rFonts w:hint="eastAsia"/>
        </w:rPr>
        <w:t>相结合的立体防护体系。</w:t>
      </w:r>
    </w:p>
    <w:p w14:paraId="273238D3" w14:textId="77777777" w:rsidR="00D46586" w:rsidRDefault="00000000">
      <w:pPr>
        <w:pStyle w:val="3"/>
        <w:spacing w:before="78" w:after="78"/>
        <w:ind w:left="480"/>
      </w:pPr>
      <w:bookmarkStart w:id="106" w:name="_Toc230693491"/>
      <w:bookmarkStart w:id="107" w:name="_Toc230815668"/>
      <w:r>
        <w:rPr>
          <w:rFonts w:hint="eastAsia"/>
        </w:rPr>
        <w:t xml:space="preserve">3.1.2 </w:t>
      </w:r>
      <w:r>
        <w:rPr>
          <w:rFonts w:hint="eastAsia"/>
        </w:rPr>
        <w:t>气候水文概况</w:t>
      </w:r>
      <w:bookmarkEnd w:id="104"/>
      <w:bookmarkEnd w:id="105"/>
      <w:bookmarkEnd w:id="106"/>
      <w:bookmarkEnd w:id="107"/>
    </w:p>
    <w:p w14:paraId="4CBAC434" w14:textId="77777777" w:rsidR="00D46586" w:rsidRDefault="00000000">
      <w:pPr>
        <w:pStyle w:val="a3"/>
        <w:ind w:left="480" w:firstLine="480"/>
      </w:pPr>
      <w:bookmarkStart w:id="108" w:name="_Toc1166"/>
      <w:bookmarkStart w:id="109" w:name="_Toc199366292"/>
      <w:r>
        <w:rPr>
          <w:rFonts w:hint="eastAsia"/>
        </w:rPr>
        <w:t>吉林省地处温带大陆性季风气候区，四季比较分明，年均气温在</w:t>
      </w:r>
      <w:r>
        <w:rPr>
          <w:rFonts w:hint="eastAsia"/>
        </w:rPr>
        <w:t>2</w:t>
      </w:r>
      <w:r>
        <w:rPr>
          <w:rFonts w:hint="eastAsia"/>
        </w:rPr>
        <w:t>℃至</w:t>
      </w:r>
      <w:r>
        <w:rPr>
          <w:rFonts w:hint="eastAsia"/>
        </w:rPr>
        <w:t>6</w:t>
      </w:r>
      <w:r>
        <w:rPr>
          <w:rFonts w:hint="eastAsia"/>
        </w:rPr>
        <w:t>℃之间，年均降水量为</w:t>
      </w:r>
      <w:r>
        <w:rPr>
          <w:rFonts w:hint="eastAsia"/>
        </w:rPr>
        <w:t>400</w:t>
      </w:r>
      <w:r>
        <w:rPr>
          <w:rFonts w:hint="eastAsia"/>
        </w:rPr>
        <w:t>至</w:t>
      </w:r>
      <w:r>
        <w:rPr>
          <w:rFonts w:hint="eastAsia"/>
        </w:rPr>
        <w:t>600mm</w:t>
      </w:r>
      <w:r>
        <w:rPr>
          <w:rFonts w:hint="eastAsia"/>
        </w:rPr>
        <w:t>，其中约</w:t>
      </w:r>
      <w:r>
        <w:rPr>
          <w:rFonts w:hint="eastAsia"/>
        </w:rPr>
        <w:t>80%</w:t>
      </w:r>
      <w:r>
        <w:rPr>
          <w:rFonts w:hint="eastAsia"/>
        </w:rPr>
        <w:t>都集中在夏季。受到地势从东南向西北倾斜的影响，气候与水文特征呈现出了明显的带状分布规律：东部湿润，是松花江、鸭绿江、图们江的发源地，年均降水量可以达到</w:t>
      </w:r>
      <w:r>
        <w:rPr>
          <w:rFonts w:hint="eastAsia"/>
        </w:rPr>
        <w:t>750mm</w:t>
      </w:r>
      <w:r>
        <w:rPr>
          <w:rFonts w:hint="eastAsia"/>
        </w:rPr>
        <w:t>；中部半湿润，雨热同季，比较适宜农业生产；西部则逐渐过渡到了半干旱区，年均降水量降至</w:t>
      </w:r>
      <w:r>
        <w:rPr>
          <w:rFonts w:hint="eastAsia"/>
        </w:rPr>
        <w:t>400</w:t>
      </w:r>
      <w:r>
        <w:rPr>
          <w:rFonts w:hint="eastAsia"/>
        </w:rPr>
        <w:t>至</w:t>
      </w:r>
      <w:r>
        <w:rPr>
          <w:rFonts w:hint="eastAsia"/>
        </w:rPr>
        <w:t>370mm</w:t>
      </w:r>
      <w:r>
        <w:rPr>
          <w:rFonts w:hint="eastAsia"/>
        </w:rPr>
        <w:t>，蒸发却非常强烈，年蒸发量能达到降水量的</w:t>
      </w:r>
      <w:r>
        <w:rPr>
          <w:rFonts w:hint="eastAsia"/>
        </w:rPr>
        <w:t>3</w:t>
      </w:r>
      <w:r>
        <w:rPr>
          <w:rFonts w:hint="eastAsia"/>
        </w:rPr>
        <w:t>至</w:t>
      </w:r>
      <w:r>
        <w:rPr>
          <w:rFonts w:hint="eastAsia"/>
        </w:rPr>
        <w:t>4</w:t>
      </w:r>
      <w:r>
        <w:rPr>
          <w:rFonts w:hint="eastAsia"/>
        </w:rPr>
        <w:t>倍。全省河流分属于松花江、辽河等五大水系，水资源总量为</w:t>
      </w:r>
      <w:r>
        <w:rPr>
          <w:rFonts w:hint="eastAsia"/>
        </w:rPr>
        <w:t>404.25</w:t>
      </w:r>
      <w:r>
        <w:rPr>
          <w:rFonts w:hint="eastAsia"/>
        </w:rPr>
        <w:t>亿立方米，但人均水资源占有量仅有</w:t>
      </w:r>
      <w:r>
        <w:rPr>
          <w:rFonts w:hint="eastAsia"/>
        </w:rPr>
        <w:t>1500</w:t>
      </w:r>
      <w:r>
        <w:rPr>
          <w:rFonts w:hint="eastAsia"/>
        </w:rPr>
        <w:t>立方米，相当于全国人均水平的</w:t>
      </w:r>
      <w:r>
        <w:rPr>
          <w:rFonts w:hint="eastAsia"/>
        </w:rPr>
        <w:t>2/3</w:t>
      </w:r>
      <w:r>
        <w:rPr>
          <w:rFonts w:hint="eastAsia"/>
        </w:rPr>
        <w:t>、世界人均水平的</w:t>
      </w:r>
      <w:r>
        <w:rPr>
          <w:rFonts w:hint="eastAsia"/>
        </w:rPr>
        <w:t>1/5</w:t>
      </w:r>
      <w:r>
        <w:rPr>
          <w:rFonts w:hint="eastAsia"/>
        </w:rPr>
        <w:t>，属于全面缺水的省份，资源型、水质型和工程型缺水的情况同时存在。西部生态是脆弱区，因为降水不足、蒸发剧烈，长期面临着风沙与干旱的双重挑战，一直是防护林建设的重点区域。</w:t>
      </w:r>
    </w:p>
    <w:p w14:paraId="3405D8A8" w14:textId="77777777" w:rsidR="00D46586" w:rsidRDefault="00000000">
      <w:pPr>
        <w:pStyle w:val="3"/>
        <w:spacing w:before="78" w:after="78"/>
        <w:ind w:left="480"/>
      </w:pPr>
      <w:bookmarkStart w:id="110" w:name="_Toc230693492"/>
      <w:bookmarkStart w:id="111" w:name="_Toc230815669"/>
      <w:r>
        <w:rPr>
          <w:rFonts w:hint="eastAsia"/>
        </w:rPr>
        <w:t xml:space="preserve">3.1.3 </w:t>
      </w:r>
      <w:r>
        <w:rPr>
          <w:rFonts w:hint="eastAsia"/>
        </w:rPr>
        <w:t>自然资源概况</w:t>
      </w:r>
      <w:bookmarkEnd w:id="108"/>
      <w:bookmarkEnd w:id="109"/>
      <w:bookmarkEnd w:id="110"/>
      <w:bookmarkEnd w:id="111"/>
    </w:p>
    <w:p w14:paraId="5F556FBC" w14:textId="77777777" w:rsidR="00D46586" w:rsidRDefault="00000000">
      <w:pPr>
        <w:pStyle w:val="a3"/>
        <w:ind w:left="480" w:firstLine="480"/>
      </w:pPr>
      <w:bookmarkStart w:id="112" w:name="_Toc199366293"/>
      <w:bookmarkStart w:id="113" w:name="_Toc20517"/>
      <w:r>
        <w:rPr>
          <w:rFonts w:hint="eastAsia"/>
        </w:rPr>
        <w:t>吉林省自然资源丰富，拥有从东部山地森林到西部草原湿地的完整生态系统梯度。在生物资源方面，森林植被类型以针阔混交林为主体，针叶林主要有红松、落叶松、云杉等，阔叶林则以柞树、椴树、榆树等为主，近年来吉林省生物多样性保护成效显著，野生东北虎的数量已经增加到了约</w:t>
      </w:r>
      <w:r>
        <w:rPr>
          <w:rFonts w:hint="eastAsia"/>
        </w:rPr>
        <w:t>70</w:t>
      </w:r>
      <w:r>
        <w:rPr>
          <w:rFonts w:hint="eastAsia"/>
        </w:rPr>
        <w:t>只、东北</w:t>
      </w:r>
      <w:proofErr w:type="gramStart"/>
      <w:r>
        <w:rPr>
          <w:rFonts w:hint="eastAsia"/>
        </w:rPr>
        <w:t>豹</w:t>
      </w:r>
      <w:proofErr w:type="gramEnd"/>
      <w:r>
        <w:rPr>
          <w:rFonts w:hint="eastAsia"/>
        </w:rPr>
        <w:t>增至约</w:t>
      </w:r>
      <w:r>
        <w:rPr>
          <w:rFonts w:hint="eastAsia"/>
        </w:rPr>
        <w:t>80</w:t>
      </w:r>
      <w:r>
        <w:rPr>
          <w:rFonts w:hint="eastAsia"/>
        </w:rPr>
        <w:t>只，被誉为</w:t>
      </w:r>
      <w:r>
        <w:rPr>
          <w:rFonts w:hint="eastAsia"/>
        </w:rPr>
        <w:t>"</w:t>
      </w:r>
      <w:r>
        <w:rPr>
          <w:rFonts w:hint="eastAsia"/>
        </w:rPr>
        <w:t>鸟中大熊猫</w:t>
      </w:r>
      <w:r>
        <w:rPr>
          <w:rFonts w:hint="eastAsia"/>
        </w:rPr>
        <w:t>"</w:t>
      </w:r>
      <w:r>
        <w:rPr>
          <w:rFonts w:hint="eastAsia"/>
        </w:rPr>
        <w:t>的中华秋沙鸭从</w:t>
      </w:r>
      <w:r>
        <w:rPr>
          <w:rFonts w:hint="eastAsia"/>
        </w:rPr>
        <w:t>2018</w:t>
      </w:r>
      <w:r>
        <w:rPr>
          <w:rFonts w:hint="eastAsia"/>
        </w:rPr>
        <w:t>年的不足</w:t>
      </w:r>
      <w:r>
        <w:rPr>
          <w:rFonts w:hint="eastAsia"/>
        </w:rPr>
        <w:t>300</w:t>
      </w:r>
      <w:r>
        <w:rPr>
          <w:rFonts w:hint="eastAsia"/>
        </w:rPr>
        <w:t>只增长到了</w:t>
      </w:r>
      <w:r>
        <w:rPr>
          <w:rFonts w:hint="eastAsia"/>
        </w:rPr>
        <w:t>600</w:t>
      </w:r>
      <w:r>
        <w:rPr>
          <w:rFonts w:hint="eastAsia"/>
        </w:rPr>
        <w:t>只以上，有</w:t>
      </w:r>
      <w:r>
        <w:rPr>
          <w:rFonts w:hint="eastAsia"/>
        </w:rPr>
        <w:t>"</w:t>
      </w:r>
      <w:r>
        <w:rPr>
          <w:rFonts w:hint="eastAsia"/>
        </w:rPr>
        <w:t>植物活化石</w:t>
      </w:r>
      <w:r>
        <w:rPr>
          <w:rFonts w:hint="eastAsia"/>
        </w:rPr>
        <w:t>"</w:t>
      </w:r>
      <w:r>
        <w:rPr>
          <w:rFonts w:hint="eastAsia"/>
        </w:rPr>
        <w:t>之称的东北红豆</w:t>
      </w:r>
      <w:proofErr w:type="gramStart"/>
      <w:r>
        <w:rPr>
          <w:rFonts w:hint="eastAsia"/>
        </w:rPr>
        <w:t>杉</w:t>
      </w:r>
      <w:proofErr w:type="gramEnd"/>
      <w:r>
        <w:rPr>
          <w:rFonts w:hint="eastAsia"/>
        </w:rPr>
        <w:t>种群数量已达</w:t>
      </w:r>
      <w:r>
        <w:rPr>
          <w:rFonts w:hint="eastAsia"/>
        </w:rPr>
        <w:t>31.8</w:t>
      </w:r>
      <w:r>
        <w:rPr>
          <w:rFonts w:hint="eastAsia"/>
        </w:rPr>
        <w:t>万株，国家重点保护野生动植物的种群保护率均达到了</w:t>
      </w:r>
      <w:r>
        <w:rPr>
          <w:rFonts w:hint="eastAsia"/>
        </w:rPr>
        <w:t>95%</w:t>
      </w:r>
      <w:r>
        <w:rPr>
          <w:rFonts w:hint="eastAsia"/>
        </w:rPr>
        <w:t>以上。在森林资源方面，全省有林地面积已增至</w:t>
      </w:r>
      <w:r>
        <w:rPr>
          <w:rFonts w:hint="eastAsia"/>
        </w:rPr>
        <w:t>841.76</w:t>
      </w:r>
      <w:r>
        <w:rPr>
          <w:rFonts w:hint="eastAsia"/>
        </w:rPr>
        <w:t>万公顷，森林蓄积量达到了</w:t>
      </w:r>
      <w:r>
        <w:rPr>
          <w:rFonts w:hint="eastAsia"/>
        </w:rPr>
        <w:t>11.91</w:t>
      </w:r>
      <w:r>
        <w:rPr>
          <w:rFonts w:hint="eastAsia"/>
        </w:rPr>
        <w:lastRenderedPageBreak/>
        <w:t>亿立方米。在土地资源方面，吉林省东部为山地森林区，中部为台地平原区，西部为草原湿地风沙区，西部的科尔沁沙地是北方防沙带中的重点区域，沙化土地的治理率已达</w:t>
      </w:r>
      <w:r>
        <w:rPr>
          <w:rFonts w:hint="eastAsia"/>
        </w:rPr>
        <w:t>60.23%</w:t>
      </w:r>
      <w:r>
        <w:rPr>
          <w:rFonts w:hint="eastAsia"/>
        </w:rPr>
        <w:t>以上。在水资源方面，全省多年平均当地水资源量为</w:t>
      </w:r>
      <w:r>
        <w:rPr>
          <w:rFonts w:hint="eastAsia"/>
        </w:rPr>
        <w:t>398.83</w:t>
      </w:r>
      <w:r>
        <w:rPr>
          <w:rFonts w:hint="eastAsia"/>
        </w:rPr>
        <w:t>亿立方米，其中地表水资源量</w:t>
      </w:r>
      <w:r>
        <w:rPr>
          <w:rFonts w:hint="eastAsia"/>
        </w:rPr>
        <w:t>344.17</w:t>
      </w:r>
      <w:r>
        <w:rPr>
          <w:rFonts w:hint="eastAsia"/>
        </w:rPr>
        <w:t>亿立方米，地下水资源量</w:t>
      </w:r>
      <w:r>
        <w:rPr>
          <w:rFonts w:hint="eastAsia"/>
        </w:rPr>
        <w:t>123.60</w:t>
      </w:r>
      <w:r>
        <w:rPr>
          <w:rFonts w:hint="eastAsia"/>
        </w:rPr>
        <w:t>亿立方米。在自然保护地体系建设方面，吉林省已经初步架构起了以</w:t>
      </w:r>
      <w:r>
        <w:rPr>
          <w:rFonts w:hint="eastAsia"/>
        </w:rPr>
        <w:t>"</w:t>
      </w:r>
      <w:r>
        <w:rPr>
          <w:rFonts w:hint="eastAsia"/>
        </w:rPr>
        <w:t>一山</w:t>
      </w:r>
      <w:proofErr w:type="gramStart"/>
      <w:r>
        <w:rPr>
          <w:rFonts w:hint="eastAsia"/>
        </w:rPr>
        <w:t>两园三湖</w:t>
      </w:r>
      <w:proofErr w:type="gramEnd"/>
      <w:r>
        <w:rPr>
          <w:rFonts w:hint="eastAsia"/>
        </w:rPr>
        <w:t>"</w:t>
      </w:r>
      <w:r>
        <w:rPr>
          <w:rFonts w:hint="eastAsia"/>
        </w:rPr>
        <w:t>为核心、</w:t>
      </w:r>
      <w:r>
        <w:rPr>
          <w:rFonts w:hint="eastAsia"/>
        </w:rPr>
        <w:t>"</w:t>
      </w:r>
      <w:r>
        <w:rPr>
          <w:rFonts w:hint="eastAsia"/>
        </w:rPr>
        <w:t>十</w:t>
      </w:r>
      <w:proofErr w:type="gramStart"/>
      <w:r>
        <w:rPr>
          <w:rFonts w:hint="eastAsia"/>
        </w:rPr>
        <w:t>区十园</w:t>
      </w:r>
      <w:proofErr w:type="gramEnd"/>
      <w:r>
        <w:rPr>
          <w:rFonts w:hint="eastAsia"/>
        </w:rPr>
        <w:t>"</w:t>
      </w:r>
      <w:r>
        <w:rPr>
          <w:rFonts w:hint="eastAsia"/>
        </w:rPr>
        <w:t>为骨架的自然保护地格局，</w:t>
      </w:r>
      <w:r>
        <w:rPr>
          <w:rFonts w:hint="eastAsia"/>
        </w:rPr>
        <w:t>167</w:t>
      </w:r>
      <w:r>
        <w:rPr>
          <w:rFonts w:hint="eastAsia"/>
        </w:rPr>
        <w:t>个自然保护地整合优化为了</w:t>
      </w:r>
      <w:r>
        <w:rPr>
          <w:rFonts w:hint="eastAsia"/>
        </w:rPr>
        <w:t>115</w:t>
      </w:r>
      <w:r>
        <w:rPr>
          <w:rFonts w:hint="eastAsia"/>
        </w:rPr>
        <w:t>个。</w:t>
      </w:r>
    </w:p>
    <w:p w14:paraId="6BAC5CCE" w14:textId="77777777" w:rsidR="00D46586" w:rsidRDefault="00000000">
      <w:pPr>
        <w:pStyle w:val="2"/>
        <w:spacing w:before="156" w:after="156"/>
        <w:ind w:left="480"/>
      </w:pPr>
      <w:bookmarkStart w:id="114" w:name="_Toc230815670"/>
      <w:r>
        <w:rPr>
          <w:rFonts w:hint="eastAsia"/>
        </w:rPr>
        <w:t xml:space="preserve">3.2 </w:t>
      </w:r>
      <w:r>
        <w:rPr>
          <w:rFonts w:hint="eastAsia"/>
        </w:rPr>
        <w:t>生态环境现状</w:t>
      </w:r>
      <w:bookmarkEnd w:id="112"/>
      <w:bookmarkEnd w:id="113"/>
      <w:bookmarkEnd w:id="114"/>
    </w:p>
    <w:p w14:paraId="4E713F0D" w14:textId="77777777" w:rsidR="00D46586" w:rsidRDefault="00000000">
      <w:pPr>
        <w:pStyle w:val="a3"/>
        <w:ind w:left="480" w:firstLine="480"/>
        <w:rPr>
          <w:rFonts w:ascii="宋体" w:hAnsi="宋体" w:cs="宋体" w:hint="eastAsia"/>
          <w:color w:val="000000"/>
        </w:rPr>
      </w:pPr>
      <w:r>
        <w:rPr>
          <w:rFonts w:ascii="宋体" w:hAnsi="宋体" w:cs="宋体"/>
          <w:color w:val="000000"/>
        </w:rPr>
        <w:t>吉林省的生态环境在总体上保持着持续向好的态势，区域之间的差异却十分明显，西部生态脆弱区仍然是治理的主要战场。从整体上看，全省地表水国家考核断面的优良水体比例，已由2020年的74.1%提升到了2025年的91.7%；环境空气质量的优良天数比例，也从89.8%提高到了92.8%，PM2.5的平均浓度则被降到了每立方米28.5微克；土壤和地下水的环境质量，保持着稳中向好的势头。在森林保护方面，重特大森林火灾在全省已经连续45年没有发生，松材线虫病疫情也连续两年被控制在了动态清零的状态。</w:t>
      </w:r>
    </w:p>
    <w:p w14:paraId="698CA512" w14:textId="77777777" w:rsidR="00D46586" w:rsidRDefault="00000000">
      <w:pPr>
        <w:pStyle w:val="a3"/>
        <w:ind w:left="480" w:firstLine="480"/>
        <w:rPr>
          <w:rFonts w:ascii="宋体" w:hAnsi="宋体" w:cs="宋体" w:hint="eastAsia"/>
          <w:color w:val="000000"/>
        </w:rPr>
      </w:pPr>
      <w:r>
        <w:rPr>
          <w:rFonts w:ascii="宋体" w:hAnsi="宋体" w:cs="宋体"/>
          <w:color w:val="000000"/>
        </w:rPr>
        <w:t>针对上面所提到的问题，吉林省政府开展了一系列重大的生态修复工程。省内的各个城市通过实施“林草湿生态连通工程”，累计完成了各类造林85.03万亩、草原治理85.32万亩和湿地修复63.04万亩，这样一来，初步形成了“带、片、网”交织、“乔、灌、草”结合的立体化生态防护体系。全省累计完成的“三北”工程综合治理面积达360万亩，这让工程区的林草覆盖率达到了38.57%，沙化土地的植被综合盖度也达到了69.86%，从而实现了从“沙进人退”到“绿进沙退”的历史性转变。在盐碱地治理方面，大安市获得了国家盐碱地等耕地后备资源综合利用试点的批准，中化环境在当地已经开展了4.1万亩盐碱地（水田）和4.4万亩盐碱地（旱田）的治理工作。镇赉县通过应用“重度苏打盐碱土全程绿色种稻改良技术”</w:t>
      </w:r>
      <w:r>
        <w:rPr>
          <w:rFonts w:ascii="宋体" w:hAnsi="宋体" w:cs="宋体" w:hint="eastAsia"/>
          <w:color w:val="000000"/>
        </w:rPr>
        <w:t>。</w:t>
      </w:r>
      <w:r>
        <w:rPr>
          <w:rFonts w:ascii="宋体" w:hAnsi="宋体" w:cs="宋体"/>
          <w:color w:val="000000"/>
        </w:rPr>
        <w:t>经过系统的治理，白城的降水量已经连续三年突破500毫米，空气质量优良天数比例也超过了96%；全域正在加快形成农田林网化、道路河湖林荫化、村屯</w:t>
      </w:r>
      <w:proofErr w:type="gramStart"/>
      <w:r>
        <w:rPr>
          <w:rFonts w:ascii="宋体" w:hAnsi="宋体" w:cs="宋体"/>
          <w:color w:val="000000"/>
        </w:rPr>
        <w:t>林围化</w:t>
      </w:r>
      <w:proofErr w:type="gramEnd"/>
      <w:r>
        <w:rPr>
          <w:rFonts w:ascii="宋体" w:hAnsi="宋体" w:cs="宋体"/>
          <w:color w:val="000000"/>
        </w:rPr>
        <w:t>的优美生态连通格局</w:t>
      </w:r>
      <w:r>
        <w:rPr>
          <w:rFonts w:ascii="宋体" w:hAnsi="宋体" w:cs="宋体" w:hint="eastAsia"/>
          <w:color w:val="000000"/>
        </w:rPr>
        <w:t>。</w:t>
      </w:r>
    </w:p>
    <w:p w14:paraId="53A58B17" w14:textId="77777777" w:rsidR="00D46586" w:rsidRDefault="00000000">
      <w:pPr>
        <w:pStyle w:val="2"/>
        <w:spacing w:before="156" w:after="156"/>
        <w:ind w:left="480"/>
      </w:pPr>
      <w:bookmarkStart w:id="115" w:name="_Toc230693493"/>
      <w:bookmarkStart w:id="116" w:name="_Toc199366294"/>
      <w:bookmarkStart w:id="117" w:name="_Toc13674"/>
      <w:bookmarkStart w:id="118" w:name="_Toc230815671"/>
      <w:r>
        <w:rPr>
          <w:rFonts w:hint="eastAsia"/>
        </w:rPr>
        <w:lastRenderedPageBreak/>
        <w:t xml:space="preserve">3.3 </w:t>
      </w:r>
      <w:r>
        <w:rPr>
          <w:rFonts w:hint="eastAsia"/>
        </w:rPr>
        <w:t>遥感数据介绍</w:t>
      </w:r>
      <w:bookmarkEnd w:id="115"/>
      <w:bookmarkEnd w:id="116"/>
      <w:bookmarkEnd w:id="117"/>
      <w:bookmarkEnd w:id="118"/>
    </w:p>
    <w:p w14:paraId="10D5CC3F" w14:textId="77777777" w:rsidR="00D46586" w:rsidRDefault="00000000">
      <w:pPr>
        <w:pStyle w:val="a3"/>
        <w:ind w:left="480" w:firstLine="480"/>
        <w:rPr>
          <w:color w:val="333333"/>
        </w:rPr>
      </w:pPr>
      <w:r>
        <w:rPr>
          <w:rFonts w:hint="eastAsia"/>
          <w:shd w:val="clear" w:color="auto" w:fill="FFFFFF"/>
        </w:rPr>
        <w:t>Landsat</w:t>
      </w:r>
      <w:r>
        <w:rPr>
          <w:rFonts w:hint="eastAsia"/>
          <w:shd w:val="clear" w:color="auto" w:fill="FFFFFF"/>
        </w:rPr>
        <w:t>系列卫星是由美国</w:t>
      </w:r>
      <w:r>
        <w:rPr>
          <w:rFonts w:hint="eastAsia"/>
          <w:shd w:val="clear" w:color="auto" w:fill="FFFFFF"/>
        </w:rPr>
        <w:t>NASA</w:t>
      </w:r>
      <w:r>
        <w:rPr>
          <w:rFonts w:hint="eastAsia"/>
          <w:shd w:val="clear" w:color="auto" w:fill="FFFFFF"/>
        </w:rPr>
        <w:t>主导的陆地观测计划研制，自</w:t>
      </w:r>
      <w:r>
        <w:rPr>
          <w:rFonts w:hint="eastAsia"/>
          <w:shd w:val="clear" w:color="auto" w:fill="FFFFFF"/>
        </w:rPr>
        <w:t>1972</w:t>
      </w:r>
      <w:r>
        <w:rPr>
          <w:rFonts w:hint="eastAsia"/>
          <w:shd w:val="clear" w:color="auto" w:fill="FFFFFF"/>
        </w:rPr>
        <w:t>年起已成功发射了</w:t>
      </w:r>
      <w:r>
        <w:rPr>
          <w:rFonts w:hint="eastAsia"/>
          <w:shd w:val="clear" w:color="auto" w:fill="FFFFFF"/>
        </w:rPr>
        <w:t>8</w:t>
      </w:r>
      <w:r>
        <w:rPr>
          <w:rFonts w:hint="eastAsia"/>
          <w:shd w:val="clear" w:color="auto" w:fill="FFFFFF"/>
        </w:rPr>
        <w:t>颗卫星。</w:t>
      </w:r>
      <w:r>
        <w:rPr>
          <w:rFonts w:hint="eastAsia"/>
          <w:shd w:val="clear" w:color="auto" w:fill="FFFFFF"/>
        </w:rPr>
        <w:t>Landsat 5</w:t>
      </w:r>
      <w:r>
        <w:rPr>
          <w:rFonts w:hint="eastAsia"/>
          <w:shd w:val="clear" w:color="auto" w:fill="FFFFFF"/>
        </w:rPr>
        <w:t>是美国地质调查局（</w:t>
      </w:r>
      <w:r>
        <w:rPr>
          <w:rFonts w:hint="eastAsia"/>
          <w:shd w:val="clear" w:color="auto" w:fill="FFFFFF"/>
        </w:rPr>
        <w:t>USGS</w:t>
      </w:r>
      <w:r>
        <w:rPr>
          <w:rFonts w:hint="eastAsia"/>
          <w:shd w:val="clear" w:color="auto" w:fill="FFFFFF"/>
        </w:rPr>
        <w:t>）与</w:t>
      </w:r>
      <w:r>
        <w:rPr>
          <w:rFonts w:hint="eastAsia"/>
          <w:shd w:val="clear" w:color="auto" w:fill="FFFFFF"/>
        </w:rPr>
        <w:t>NASA</w:t>
      </w:r>
      <w:r>
        <w:rPr>
          <w:rFonts w:hint="eastAsia"/>
          <w:shd w:val="clear" w:color="auto" w:fill="FFFFFF"/>
        </w:rPr>
        <w:t>联合运营的陆地观测卫星，于</w:t>
      </w:r>
      <w:r>
        <w:rPr>
          <w:rFonts w:hint="eastAsia"/>
          <w:shd w:val="clear" w:color="auto" w:fill="FFFFFF"/>
        </w:rPr>
        <w:t>1984</w:t>
      </w:r>
      <w:r>
        <w:rPr>
          <w:rFonts w:hint="eastAsia"/>
          <w:shd w:val="clear" w:color="auto" w:fill="FFFFFF"/>
        </w:rPr>
        <w:t>年</w:t>
      </w:r>
      <w:r>
        <w:rPr>
          <w:rFonts w:hint="eastAsia"/>
          <w:shd w:val="clear" w:color="auto" w:fill="FFFFFF"/>
        </w:rPr>
        <w:t>3</w:t>
      </w:r>
      <w:r>
        <w:rPr>
          <w:rFonts w:hint="eastAsia"/>
          <w:shd w:val="clear" w:color="auto" w:fill="FFFFFF"/>
        </w:rPr>
        <w:t>月</w:t>
      </w:r>
      <w:r>
        <w:rPr>
          <w:rFonts w:hint="eastAsia"/>
          <w:shd w:val="clear" w:color="auto" w:fill="FFFFFF"/>
        </w:rPr>
        <w:t>1</w:t>
      </w:r>
      <w:r>
        <w:rPr>
          <w:rFonts w:hint="eastAsia"/>
          <w:shd w:val="clear" w:color="auto" w:fill="FFFFFF"/>
        </w:rPr>
        <w:t>日发射，该卫星持续运行了</w:t>
      </w:r>
      <w:r>
        <w:rPr>
          <w:rFonts w:hint="eastAsia"/>
          <w:shd w:val="clear" w:color="auto" w:fill="FFFFFF"/>
        </w:rPr>
        <w:t>29</w:t>
      </w:r>
      <w:r>
        <w:rPr>
          <w:rFonts w:hint="eastAsia"/>
          <w:shd w:val="clear" w:color="auto" w:fill="FFFFFF"/>
        </w:rPr>
        <w:t>年</w:t>
      </w:r>
      <w:r>
        <w:rPr>
          <w:rFonts w:hint="eastAsia"/>
          <w:shd w:val="clear" w:color="auto" w:fill="FFFFFF"/>
        </w:rPr>
        <w:t>3</w:t>
      </w:r>
      <w:r>
        <w:rPr>
          <w:rFonts w:hint="eastAsia"/>
          <w:shd w:val="clear" w:color="auto" w:fill="FFFFFF"/>
        </w:rPr>
        <w:t>个月，创下了地球观测卫星最长服役的纪录，一直到</w:t>
      </w:r>
      <w:r>
        <w:rPr>
          <w:rFonts w:hint="eastAsia"/>
          <w:shd w:val="clear" w:color="auto" w:fill="FFFFFF"/>
        </w:rPr>
        <w:t>2013</w:t>
      </w:r>
      <w:r>
        <w:rPr>
          <w:rFonts w:hint="eastAsia"/>
          <w:shd w:val="clear" w:color="auto" w:fill="FFFFFF"/>
        </w:rPr>
        <w:t>年</w:t>
      </w:r>
      <w:r>
        <w:rPr>
          <w:rFonts w:hint="eastAsia"/>
          <w:shd w:val="clear" w:color="auto" w:fill="FFFFFF"/>
        </w:rPr>
        <w:t>6</w:t>
      </w:r>
      <w:r>
        <w:rPr>
          <w:rFonts w:hint="eastAsia"/>
          <w:shd w:val="clear" w:color="auto" w:fill="FFFFFF"/>
        </w:rPr>
        <w:t>月才正式退役。</w:t>
      </w:r>
      <w:r>
        <w:rPr>
          <w:rFonts w:hint="eastAsia"/>
          <w:shd w:val="clear" w:color="auto" w:fill="FFFFFF"/>
        </w:rPr>
        <w:t>Landsat 8</w:t>
      </w:r>
      <w:r>
        <w:rPr>
          <w:rFonts w:hint="eastAsia"/>
          <w:shd w:val="clear" w:color="auto" w:fill="FFFFFF"/>
        </w:rPr>
        <w:t>同样是美国地质调查局（</w:t>
      </w:r>
      <w:r>
        <w:rPr>
          <w:rFonts w:hint="eastAsia"/>
          <w:shd w:val="clear" w:color="auto" w:fill="FFFFFF"/>
        </w:rPr>
        <w:t>USGS</w:t>
      </w:r>
      <w:r>
        <w:rPr>
          <w:rFonts w:hint="eastAsia"/>
          <w:shd w:val="clear" w:color="auto" w:fill="FFFFFF"/>
        </w:rPr>
        <w:t>）与</w:t>
      </w:r>
      <w:r>
        <w:rPr>
          <w:rFonts w:hint="eastAsia"/>
          <w:shd w:val="clear" w:color="auto" w:fill="FFFFFF"/>
        </w:rPr>
        <w:t>NASA</w:t>
      </w:r>
      <w:r>
        <w:rPr>
          <w:rFonts w:hint="eastAsia"/>
          <w:shd w:val="clear" w:color="auto" w:fill="FFFFFF"/>
        </w:rPr>
        <w:t>联合运营的陆地观测卫星，于</w:t>
      </w:r>
      <w:r>
        <w:rPr>
          <w:rFonts w:hint="eastAsia"/>
          <w:shd w:val="clear" w:color="auto" w:fill="FFFFFF"/>
        </w:rPr>
        <w:t>2013</w:t>
      </w:r>
      <w:r>
        <w:rPr>
          <w:rFonts w:hint="eastAsia"/>
          <w:shd w:val="clear" w:color="auto" w:fill="FFFFFF"/>
        </w:rPr>
        <w:t>年</w:t>
      </w:r>
      <w:r>
        <w:rPr>
          <w:rFonts w:hint="eastAsia"/>
          <w:shd w:val="clear" w:color="auto" w:fill="FFFFFF"/>
        </w:rPr>
        <w:t>2</w:t>
      </w:r>
      <w:r>
        <w:rPr>
          <w:rFonts w:hint="eastAsia"/>
          <w:shd w:val="clear" w:color="auto" w:fill="FFFFFF"/>
        </w:rPr>
        <w:t>月</w:t>
      </w:r>
      <w:r>
        <w:rPr>
          <w:rFonts w:hint="eastAsia"/>
          <w:shd w:val="clear" w:color="auto" w:fill="FFFFFF"/>
        </w:rPr>
        <w:t>11</w:t>
      </w:r>
      <w:r>
        <w:rPr>
          <w:rFonts w:hint="eastAsia"/>
          <w:shd w:val="clear" w:color="auto" w:fill="FFFFFF"/>
        </w:rPr>
        <w:t>日发射，是</w:t>
      </w:r>
      <w:r>
        <w:rPr>
          <w:rFonts w:hint="eastAsia"/>
          <w:shd w:val="clear" w:color="auto" w:fill="FFFFFF"/>
        </w:rPr>
        <w:t>Landsat</w:t>
      </w:r>
      <w:r>
        <w:rPr>
          <w:rFonts w:hint="eastAsia"/>
          <w:shd w:val="clear" w:color="auto" w:fill="FFFFFF"/>
        </w:rPr>
        <w:t>系列的第</w:t>
      </w:r>
      <w:r>
        <w:rPr>
          <w:rFonts w:hint="eastAsia"/>
          <w:shd w:val="clear" w:color="auto" w:fill="FFFFFF"/>
        </w:rPr>
        <w:t>8</w:t>
      </w:r>
      <w:r>
        <w:rPr>
          <w:rFonts w:hint="eastAsia"/>
          <w:shd w:val="clear" w:color="auto" w:fill="FFFFFF"/>
        </w:rPr>
        <w:t>颗卫星，持续为全球地表监测提供着高精度的数据。本文的影像数据主要来源于</w:t>
      </w:r>
      <w:r>
        <w:rPr>
          <w:rFonts w:hint="eastAsia"/>
          <w:shd w:val="clear" w:color="auto" w:fill="FFFFFF"/>
        </w:rPr>
        <w:t>Landsat 5</w:t>
      </w:r>
      <w:r>
        <w:rPr>
          <w:rFonts w:hint="eastAsia"/>
          <w:shd w:val="clear" w:color="auto" w:fill="FFFFFF"/>
        </w:rPr>
        <w:t>和</w:t>
      </w:r>
      <w:r>
        <w:rPr>
          <w:rFonts w:hint="eastAsia"/>
          <w:shd w:val="clear" w:color="auto" w:fill="FFFFFF"/>
        </w:rPr>
        <w:t>Landsat 8</w:t>
      </w:r>
      <w:r>
        <w:rPr>
          <w:rFonts w:hint="eastAsia"/>
          <w:shd w:val="clear" w:color="auto" w:fill="FFFFFF"/>
        </w:rPr>
        <w:t>卫星所采集的影像，其观测数据主要包含了红、绿、蓝、近红外、中红外及热红外等</w:t>
      </w:r>
      <w:r>
        <w:rPr>
          <w:rFonts w:hint="eastAsia"/>
          <w:shd w:val="clear" w:color="auto" w:fill="FFFFFF"/>
        </w:rPr>
        <w:t>7</w:t>
      </w:r>
      <w:r>
        <w:rPr>
          <w:rFonts w:hint="eastAsia"/>
          <w:shd w:val="clear" w:color="auto" w:fill="FFFFFF"/>
        </w:rPr>
        <w:t>个特征波段，表</w:t>
      </w:r>
      <w:r>
        <w:rPr>
          <w:rFonts w:hint="eastAsia"/>
          <w:shd w:val="clear" w:color="auto" w:fill="FFFFFF"/>
        </w:rPr>
        <w:t>3.1</w:t>
      </w:r>
      <w:r>
        <w:rPr>
          <w:rFonts w:hint="eastAsia"/>
          <w:shd w:val="clear" w:color="auto" w:fill="FFFFFF"/>
        </w:rPr>
        <w:t>给出的是卫星运行参数。其中</w:t>
      </w:r>
      <w:r>
        <w:rPr>
          <w:rFonts w:hint="eastAsia"/>
          <w:shd w:val="clear" w:color="auto" w:fill="FFFFFF"/>
        </w:rPr>
        <w:t>Landsat 5</w:t>
      </w:r>
      <w:r>
        <w:rPr>
          <w:rFonts w:hint="eastAsia"/>
          <w:shd w:val="clear" w:color="auto" w:fill="FFFFFF"/>
        </w:rPr>
        <w:t>和</w:t>
      </w:r>
      <w:r>
        <w:rPr>
          <w:rFonts w:hint="eastAsia"/>
          <w:shd w:val="clear" w:color="auto" w:fill="FFFFFF"/>
        </w:rPr>
        <w:t>Landsat 8</w:t>
      </w:r>
      <w:r>
        <w:rPr>
          <w:rFonts w:hint="eastAsia"/>
          <w:shd w:val="clear" w:color="auto" w:fill="FFFFFF"/>
        </w:rPr>
        <w:t>覆盖周期和扫描宽度相同，分别为：</w:t>
      </w:r>
      <w:r>
        <w:rPr>
          <w:rFonts w:hint="eastAsia"/>
          <w:shd w:val="clear" w:color="auto" w:fill="FFFFFF"/>
        </w:rPr>
        <w:t>16</w:t>
      </w:r>
      <w:r>
        <w:rPr>
          <w:rFonts w:hint="eastAsia"/>
          <w:shd w:val="clear" w:color="auto" w:fill="FFFFFF"/>
        </w:rPr>
        <w:t>天、</w:t>
      </w:r>
      <w:r>
        <w:rPr>
          <w:rFonts w:hint="eastAsia"/>
          <w:shd w:val="clear" w:color="auto" w:fill="FFFFFF"/>
        </w:rPr>
        <w:t>185km</w:t>
      </w:r>
      <w:r>
        <w:rPr>
          <w:rFonts w:hint="eastAsia"/>
          <w:shd w:val="clear" w:color="auto" w:fill="FFFFFF"/>
        </w:rPr>
        <w:t>。</w:t>
      </w:r>
    </w:p>
    <w:p w14:paraId="75094D06"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 xml:space="preserve">表3.1 </w:t>
      </w:r>
      <w:r>
        <w:rPr>
          <w:rFonts w:eastAsiaTheme="majorEastAsia" w:cs="Times New Roman"/>
          <w:color w:val="000000"/>
          <w:sz w:val="21"/>
          <w:szCs w:val="21"/>
        </w:rPr>
        <w:t>Landsat</w:t>
      </w:r>
      <w:r>
        <w:rPr>
          <w:rFonts w:asciiTheme="majorEastAsia" w:eastAsiaTheme="majorEastAsia" w:hAnsiTheme="majorEastAsia" w:cs="Times New Roman" w:hint="eastAsia"/>
          <w:color w:val="000000"/>
          <w:sz w:val="21"/>
          <w:szCs w:val="21"/>
        </w:rPr>
        <w:t>卫星运行参数</w:t>
      </w:r>
    </w:p>
    <w:tbl>
      <w:tblPr>
        <w:tblStyle w:val="af1"/>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00"/>
        <w:gridCol w:w="1500"/>
        <w:gridCol w:w="1500"/>
        <w:gridCol w:w="807"/>
        <w:gridCol w:w="1125"/>
        <w:gridCol w:w="1874"/>
      </w:tblGrid>
      <w:tr w:rsidR="00D46586" w14:paraId="177A48E9" w14:textId="77777777">
        <w:tc>
          <w:tcPr>
            <w:tcW w:w="903" w:type="pct"/>
            <w:tcBorders>
              <w:top w:val="single" w:sz="12" w:space="0" w:color="auto"/>
              <w:bottom w:val="single" w:sz="12" w:space="0" w:color="auto"/>
            </w:tcBorders>
          </w:tcPr>
          <w:p w14:paraId="00DCCB9B" w14:textId="77777777" w:rsidR="00D46586" w:rsidRDefault="00000000">
            <w:pPr>
              <w:spacing w:line="240" w:lineRule="auto"/>
              <w:ind w:leftChars="0" w:left="0"/>
              <w:jc w:val="center"/>
              <w:rPr>
                <w:rFonts w:ascii="宋体" w:hAnsi="宋体" w:cs="Times New Roman" w:hint="eastAsia"/>
                <w:color w:val="000000"/>
                <w:sz w:val="21"/>
                <w:szCs w:val="21"/>
              </w:rPr>
            </w:pPr>
            <w:r>
              <w:rPr>
                <w:rFonts w:ascii="宋体" w:hAnsi="宋体" w:cs="Times New Roman"/>
                <w:color w:val="000000"/>
                <w:sz w:val="21"/>
                <w:szCs w:val="21"/>
              </w:rPr>
              <w:t>卫星参数</w:t>
            </w:r>
          </w:p>
        </w:tc>
        <w:tc>
          <w:tcPr>
            <w:tcW w:w="903" w:type="pct"/>
            <w:tcBorders>
              <w:top w:val="single" w:sz="12" w:space="0" w:color="auto"/>
              <w:bottom w:val="single" w:sz="12" w:space="0" w:color="auto"/>
            </w:tcBorders>
          </w:tcPr>
          <w:p w14:paraId="317BA67E" w14:textId="77777777" w:rsidR="00D46586" w:rsidRDefault="00000000">
            <w:pPr>
              <w:spacing w:line="240" w:lineRule="auto"/>
              <w:ind w:leftChars="0" w:left="0"/>
              <w:jc w:val="center"/>
              <w:rPr>
                <w:rFonts w:ascii="宋体" w:hAnsi="宋体" w:cs="Times New Roman" w:hint="eastAsia"/>
                <w:color w:val="000000"/>
                <w:sz w:val="21"/>
                <w:szCs w:val="21"/>
              </w:rPr>
            </w:pPr>
            <w:r>
              <w:rPr>
                <w:rFonts w:ascii="宋体" w:hAnsi="宋体" w:cs="Times New Roman"/>
                <w:color w:val="000000"/>
                <w:sz w:val="21"/>
                <w:szCs w:val="21"/>
              </w:rPr>
              <w:t>发射时间</w:t>
            </w:r>
          </w:p>
        </w:tc>
        <w:tc>
          <w:tcPr>
            <w:tcW w:w="903" w:type="pct"/>
            <w:tcBorders>
              <w:top w:val="single" w:sz="12" w:space="0" w:color="auto"/>
              <w:bottom w:val="single" w:sz="12" w:space="0" w:color="auto"/>
            </w:tcBorders>
          </w:tcPr>
          <w:p w14:paraId="6FAEF78E" w14:textId="77777777" w:rsidR="00D46586" w:rsidRDefault="00000000">
            <w:pPr>
              <w:spacing w:line="240" w:lineRule="auto"/>
              <w:ind w:leftChars="0" w:left="0"/>
              <w:jc w:val="center"/>
              <w:rPr>
                <w:rFonts w:ascii="宋体" w:hAnsi="宋体" w:cs="Times New Roman" w:hint="eastAsia"/>
                <w:color w:val="000000"/>
                <w:sz w:val="21"/>
                <w:szCs w:val="21"/>
              </w:rPr>
            </w:pPr>
            <w:r>
              <w:rPr>
                <w:rFonts w:ascii="宋体" w:hAnsi="宋体" w:cs="Times New Roman"/>
                <w:color w:val="000000"/>
                <w:sz w:val="21"/>
                <w:szCs w:val="21"/>
              </w:rPr>
              <w:t>卫星高度</w:t>
            </w:r>
          </w:p>
        </w:tc>
        <w:tc>
          <w:tcPr>
            <w:tcW w:w="486" w:type="pct"/>
            <w:tcBorders>
              <w:top w:val="single" w:sz="12" w:space="0" w:color="auto"/>
              <w:bottom w:val="single" w:sz="12" w:space="0" w:color="auto"/>
            </w:tcBorders>
          </w:tcPr>
          <w:p w14:paraId="265BE861" w14:textId="77777777" w:rsidR="00D46586" w:rsidRDefault="00000000">
            <w:pPr>
              <w:spacing w:line="240" w:lineRule="auto"/>
              <w:ind w:leftChars="0" w:left="0"/>
              <w:jc w:val="center"/>
              <w:rPr>
                <w:rFonts w:ascii="宋体" w:hAnsi="宋体" w:cs="Times New Roman" w:hint="eastAsia"/>
                <w:color w:val="000000"/>
                <w:sz w:val="21"/>
                <w:szCs w:val="21"/>
              </w:rPr>
            </w:pPr>
            <w:r>
              <w:rPr>
                <w:rFonts w:ascii="宋体" w:hAnsi="宋体" w:cs="Times New Roman"/>
                <w:color w:val="000000"/>
                <w:sz w:val="21"/>
                <w:szCs w:val="21"/>
              </w:rPr>
              <w:t>倾角</w:t>
            </w:r>
          </w:p>
        </w:tc>
        <w:tc>
          <w:tcPr>
            <w:tcW w:w="677" w:type="pct"/>
            <w:tcBorders>
              <w:top w:val="single" w:sz="12" w:space="0" w:color="auto"/>
              <w:bottom w:val="single" w:sz="12" w:space="0" w:color="auto"/>
            </w:tcBorders>
          </w:tcPr>
          <w:p w14:paraId="2EEE8EC1" w14:textId="77777777" w:rsidR="00D46586" w:rsidRDefault="00000000">
            <w:pPr>
              <w:spacing w:line="240" w:lineRule="auto"/>
              <w:ind w:leftChars="0" w:left="0"/>
              <w:jc w:val="center"/>
              <w:rPr>
                <w:rFonts w:ascii="宋体" w:hAnsi="宋体" w:cs="Times New Roman" w:hint="eastAsia"/>
                <w:color w:val="000000"/>
                <w:sz w:val="21"/>
                <w:szCs w:val="21"/>
              </w:rPr>
            </w:pPr>
            <w:r>
              <w:rPr>
                <w:rFonts w:ascii="宋体" w:hAnsi="宋体" w:cs="Times New Roman"/>
                <w:color w:val="000000"/>
                <w:sz w:val="21"/>
                <w:szCs w:val="21"/>
              </w:rPr>
              <w:t>波段数</w:t>
            </w:r>
          </w:p>
        </w:tc>
        <w:tc>
          <w:tcPr>
            <w:tcW w:w="1129" w:type="pct"/>
            <w:tcBorders>
              <w:top w:val="single" w:sz="12" w:space="0" w:color="auto"/>
              <w:bottom w:val="single" w:sz="12" w:space="0" w:color="auto"/>
            </w:tcBorders>
          </w:tcPr>
          <w:p w14:paraId="10E760D3" w14:textId="77777777" w:rsidR="00D46586" w:rsidRDefault="00000000">
            <w:pPr>
              <w:spacing w:line="240" w:lineRule="auto"/>
              <w:ind w:leftChars="0" w:left="0"/>
              <w:jc w:val="center"/>
              <w:rPr>
                <w:rFonts w:ascii="宋体" w:hAnsi="宋体" w:cs="Times New Roman" w:hint="eastAsia"/>
                <w:color w:val="000000"/>
                <w:sz w:val="21"/>
                <w:szCs w:val="21"/>
              </w:rPr>
            </w:pPr>
            <w:r>
              <w:rPr>
                <w:rFonts w:ascii="宋体" w:hAnsi="宋体" w:cs="Times New Roman"/>
                <w:color w:val="000000"/>
                <w:sz w:val="21"/>
                <w:szCs w:val="21"/>
              </w:rPr>
              <w:t>机载传感器</w:t>
            </w:r>
          </w:p>
        </w:tc>
      </w:tr>
      <w:tr w:rsidR="00D46586" w14:paraId="788BD1BC" w14:textId="77777777">
        <w:tc>
          <w:tcPr>
            <w:tcW w:w="903" w:type="pct"/>
            <w:tcBorders>
              <w:top w:val="single" w:sz="12" w:space="0" w:color="auto"/>
            </w:tcBorders>
          </w:tcPr>
          <w:p w14:paraId="494BC658"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Landsat 5</w:t>
            </w:r>
          </w:p>
        </w:tc>
        <w:tc>
          <w:tcPr>
            <w:tcW w:w="903" w:type="pct"/>
            <w:tcBorders>
              <w:top w:val="single" w:sz="12" w:space="0" w:color="auto"/>
            </w:tcBorders>
          </w:tcPr>
          <w:p w14:paraId="7B05048B" w14:textId="77777777" w:rsidR="00D46586" w:rsidRDefault="00000000">
            <w:pPr>
              <w:spacing w:line="240" w:lineRule="auto"/>
              <w:ind w:leftChars="0" w:left="0"/>
              <w:jc w:val="center"/>
              <w:rPr>
                <w:rFonts w:ascii="宋体" w:hAnsi="宋体" w:cs="Times New Roman" w:hint="eastAsia"/>
                <w:color w:val="000000"/>
                <w:sz w:val="21"/>
                <w:szCs w:val="21"/>
              </w:rPr>
            </w:pPr>
            <w:r>
              <w:rPr>
                <w:rFonts w:ascii="TimesNewRoman" w:hAnsi="TimesNewRoman" w:cs="Times New Roman"/>
                <w:color w:val="000000"/>
                <w:sz w:val="21"/>
                <w:szCs w:val="21"/>
              </w:rPr>
              <w:t>1984.3.1</w:t>
            </w:r>
          </w:p>
        </w:tc>
        <w:tc>
          <w:tcPr>
            <w:tcW w:w="903" w:type="pct"/>
            <w:tcBorders>
              <w:top w:val="single" w:sz="12" w:space="0" w:color="auto"/>
            </w:tcBorders>
          </w:tcPr>
          <w:p w14:paraId="0A8C3BE4"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705km</w:t>
            </w:r>
          </w:p>
        </w:tc>
        <w:tc>
          <w:tcPr>
            <w:tcW w:w="486" w:type="pct"/>
            <w:tcBorders>
              <w:top w:val="single" w:sz="12" w:space="0" w:color="auto"/>
            </w:tcBorders>
          </w:tcPr>
          <w:p w14:paraId="40E242D0"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98.2°</w:t>
            </w:r>
          </w:p>
        </w:tc>
        <w:tc>
          <w:tcPr>
            <w:tcW w:w="677" w:type="pct"/>
            <w:tcBorders>
              <w:top w:val="single" w:sz="12" w:space="0" w:color="auto"/>
            </w:tcBorders>
          </w:tcPr>
          <w:p w14:paraId="432A0D1D"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7</w:t>
            </w:r>
          </w:p>
        </w:tc>
        <w:tc>
          <w:tcPr>
            <w:tcW w:w="1129" w:type="pct"/>
            <w:tcBorders>
              <w:top w:val="single" w:sz="12" w:space="0" w:color="auto"/>
            </w:tcBorders>
          </w:tcPr>
          <w:p w14:paraId="3F45EC6C"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TM</w:t>
            </w:r>
          </w:p>
        </w:tc>
      </w:tr>
      <w:tr w:rsidR="00D46586" w14:paraId="49779FE0" w14:textId="77777777">
        <w:tc>
          <w:tcPr>
            <w:tcW w:w="903" w:type="pct"/>
          </w:tcPr>
          <w:p w14:paraId="26FA05B8"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Landsat 8</w:t>
            </w:r>
          </w:p>
        </w:tc>
        <w:tc>
          <w:tcPr>
            <w:tcW w:w="903" w:type="pct"/>
          </w:tcPr>
          <w:p w14:paraId="60BA3763" w14:textId="77777777" w:rsidR="00D46586" w:rsidRDefault="00000000">
            <w:pPr>
              <w:spacing w:line="240" w:lineRule="auto"/>
              <w:ind w:leftChars="0" w:left="0"/>
              <w:jc w:val="center"/>
              <w:rPr>
                <w:rFonts w:ascii="宋体" w:hAnsi="宋体" w:cs="Times New Roman" w:hint="eastAsia"/>
                <w:color w:val="000000"/>
                <w:sz w:val="21"/>
                <w:szCs w:val="21"/>
              </w:rPr>
            </w:pPr>
            <w:r>
              <w:rPr>
                <w:rFonts w:ascii="TimesNewRoman" w:hAnsi="TimesNewRoman" w:cs="Times New Roman"/>
                <w:color w:val="000000"/>
                <w:sz w:val="21"/>
                <w:szCs w:val="21"/>
              </w:rPr>
              <w:t>2013.2.11</w:t>
            </w:r>
          </w:p>
        </w:tc>
        <w:tc>
          <w:tcPr>
            <w:tcW w:w="903" w:type="pct"/>
          </w:tcPr>
          <w:p w14:paraId="62EBBF1C" w14:textId="77777777" w:rsidR="00D46586" w:rsidRDefault="00000000">
            <w:pPr>
              <w:spacing w:line="240" w:lineRule="auto"/>
              <w:ind w:leftChars="0" w:left="0"/>
              <w:jc w:val="center"/>
              <w:rPr>
                <w:rFonts w:ascii="宋体" w:hAnsi="宋体" w:cs="Times New Roman" w:hint="eastAsia"/>
                <w:color w:val="000000"/>
                <w:sz w:val="21"/>
                <w:szCs w:val="21"/>
              </w:rPr>
            </w:pPr>
            <w:r>
              <w:rPr>
                <w:rFonts w:cs="Times New Roman"/>
                <w:color w:val="000000"/>
                <w:sz w:val="21"/>
                <w:szCs w:val="21"/>
              </w:rPr>
              <w:t>705km</w:t>
            </w:r>
          </w:p>
        </w:tc>
        <w:tc>
          <w:tcPr>
            <w:tcW w:w="486" w:type="pct"/>
          </w:tcPr>
          <w:p w14:paraId="090F6F77" w14:textId="77777777" w:rsidR="00D46586" w:rsidRDefault="00000000">
            <w:pPr>
              <w:spacing w:line="240" w:lineRule="auto"/>
              <w:ind w:leftChars="0" w:left="0"/>
              <w:jc w:val="center"/>
              <w:rPr>
                <w:rFonts w:ascii="宋体" w:hAnsi="宋体" w:cs="Times New Roman" w:hint="eastAsia"/>
                <w:color w:val="000000"/>
                <w:sz w:val="21"/>
                <w:szCs w:val="21"/>
              </w:rPr>
            </w:pPr>
            <w:r>
              <w:rPr>
                <w:rFonts w:ascii="TimesNewRoman" w:hAnsi="TimesNewRoman" w:cs="Times New Roman"/>
                <w:color w:val="000000"/>
                <w:sz w:val="21"/>
                <w:szCs w:val="21"/>
              </w:rPr>
              <w:t>98.2°</w:t>
            </w:r>
          </w:p>
        </w:tc>
        <w:tc>
          <w:tcPr>
            <w:tcW w:w="677" w:type="pct"/>
          </w:tcPr>
          <w:p w14:paraId="3033D6FD"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11</w:t>
            </w:r>
          </w:p>
        </w:tc>
        <w:tc>
          <w:tcPr>
            <w:tcW w:w="1129" w:type="pct"/>
          </w:tcPr>
          <w:p w14:paraId="4FCB6893"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OLI</w:t>
            </w:r>
            <w:r>
              <w:rPr>
                <w:rFonts w:cs="Times New Roman"/>
                <w:color w:val="000000"/>
                <w:sz w:val="21"/>
                <w:szCs w:val="21"/>
              </w:rPr>
              <w:t>、</w:t>
            </w:r>
            <w:r>
              <w:rPr>
                <w:rFonts w:cs="Times New Roman"/>
                <w:color w:val="000000"/>
                <w:sz w:val="21"/>
                <w:szCs w:val="21"/>
              </w:rPr>
              <w:t>TIRS</w:t>
            </w:r>
          </w:p>
        </w:tc>
      </w:tr>
    </w:tbl>
    <w:p w14:paraId="0D3D315D" w14:textId="77777777" w:rsidR="00D46586" w:rsidRDefault="00D46586">
      <w:pPr>
        <w:ind w:left="480"/>
        <w:jc w:val="center"/>
        <w:rPr>
          <w:rFonts w:asciiTheme="majorEastAsia" w:eastAsiaTheme="majorEastAsia" w:hAnsiTheme="majorEastAsia" w:cs="Times New Roman" w:hint="eastAsia"/>
          <w:color w:val="000000"/>
          <w:sz w:val="21"/>
          <w:szCs w:val="21"/>
        </w:rPr>
      </w:pPr>
    </w:p>
    <w:p w14:paraId="7F9B8038" w14:textId="77777777" w:rsidR="00D46586" w:rsidRDefault="00000000">
      <w:pPr>
        <w:ind w:left="480"/>
        <w:rPr>
          <w:rFonts w:eastAsiaTheme="majorEastAsia" w:cs="Times New Roman"/>
          <w:color w:val="000000"/>
        </w:rPr>
      </w:pPr>
      <w:r>
        <w:rPr>
          <w:rFonts w:eastAsiaTheme="majorEastAsia" w:cs="Times New Roman"/>
          <w:color w:val="000000"/>
        </w:rPr>
        <w:t>Landsat</w:t>
      </w:r>
      <w:bookmarkStart w:id="119" w:name="_Hlk199098725"/>
      <w:r>
        <w:rPr>
          <w:rFonts w:eastAsiaTheme="majorEastAsia" w:cs="Times New Roman" w:hint="eastAsia"/>
          <w:color w:val="000000"/>
        </w:rPr>
        <w:t>卫星热红外数据</w:t>
      </w:r>
      <w:bookmarkEnd w:id="119"/>
      <w:r>
        <w:rPr>
          <w:rFonts w:eastAsiaTheme="majorEastAsia" w:cs="Times New Roman" w:hint="eastAsia"/>
          <w:color w:val="000000"/>
        </w:rPr>
        <w:t>详细信息如下表</w:t>
      </w:r>
      <w:r>
        <w:rPr>
          <w:rFonts w:eastAsiaTheme="majorEastAsia" w:cs="Times New Roman" w:hint="eastAsia"/>
          <w:color w:val="000000"/>
        </w:rPr>
        <w:t>3.2</w:t>
      </w:r>
      <w:r>
        <w:rPr>
          <w:rFonts w:eastAsiaTheme="majorEastAsia" w:cs="Times New Roman" w:hint="eastAsia"/>
          <w:color w:val="000000"/>
        </w:rPr>
        <w:t>：</w:t>
      </w:r>
    </w:p>
    <w:p w14:paraId="0B92D078"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 xml:space="preserve">表3.2 </w:t>
      </w:r>
      <w:r>
        <w:rPr>
          <w:rFonts w:eastAsiaTheme="majorEastAsia" w:cs="Times New Roman"/>
          <w:color w:val="000000"/>
          <w:sz w:val="21"/>
          <w:szCs w:val="21"/>
        </w:rPr>
        <w:t>Landsat</w:t>
      </w:r>
      <w:r>
        <w:rPr>
          <w:rFonts w:asciiTheme="majorEastAsia" w:eastAsiaTheme="majorEastAsia" w:hAnsiTheme="majorEastAsia" w:cs="Times New Roman" w:hint="eastAsia"/>
          <w:color w:val="000000"/>
          <w:sz w:val="21"/>
          <w:szCs w:val="21"/>
        </w:rPr>
        <w:t>卫星热红外数据介绍</w:t>
      </w:r>
    </w:p>
    <w:tbl>
      <w:tblPr>
        <w:tblStyle w:val="a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795"/>
        <w:gridCol w:w="1161"/>
        <w:gridCol w:w="1161"/>
        <w:gridCol w:w="1161"/>
        <w:gridCol w:w="1161"/>
        <w:gridCol w:w="1161"/>
      </w:tblGrid>
      <w:tr w:rsidR="00D46586" w14:paraId="58BDBB93" w14:textId="77777777">
        <w:trPr>
          <w:trHeight w:val="665"/>
        </w:trPr>
        <w:tc>
          <w:tcPr>
            <w:tcW w:w="1526" w:type="dxa"/>
            <w:tcBorders>
              <w:top w:val="single" w:sz="12" w:space="0" w:color="auto"/>
              <w:bottom w:val="single" w:sz="12" w:space="0" w:color="auto"/>
            </w:tcBorders>
            <w:vAlign w:val="center"/>
          </w:tcPr>
          <w:p w14:paraId="1A544345" w14:textId="77777777" w:rsidR="00D46586" w:rsidRDefault="00000000">
            <w:pPr>
              <w:spacing w:line="240" w:lineRule="auto"/>
              <w:ind w:leftChars="0" w:left="0"/>
              <w:jc w:val="center"/>
              <w:rPr>
                <w:rFonts w:ascii="宋体" w:hAnsi="宋体" w:cs="Times New Roman" w:hint="eastAsia"/>
                <w:color w:val="000000"/>
                <w:sz w:val="21"/>
                <w:szCs w:val="21"/>
              </w:rPr>
            </w:pPr>
            <w:r>
              <w:rPr>
                <w:rFonts w:ascii="宋体" w:hAnsi="宋体" w:cs="Times New Roman"/>
                <w:color w:val="000000"/>
                <w:sz w:val="21"/>
                <w:szCs w:val="21"/>
              </w:rPr>
              <w:t>波段名称</w:t>
            </w:r>
          </w:p>
        </w:tc>
        <w:tc>
          <w:tcPr>
            <w:tcW w:w="795" w:type="dxa"/>
            <w:tcBorders>
              <w:top w:val="single" w:sz="12" w:space="0" w:color="auto"/>
              <w:bottom w:val="single" w:sz="12" w:space="0" w:color="auto"/>
            </w:tcBorders>
          </w:tcPr>
          <w:p w14:paraId="2DA55FF8" w14:textId="77777777" w:rsidR="00D46586" w:rsidRDefault="00000000">
            <w:pPr>
              <w:spacing w:line="240" w:lineRule="auto"/>
              <w:ind w:leftChars="0" w:left="0"/>
              <w:jc w:val="center"/>
              <w:rPr>
                <w:rFonts w:ascii="宋体" w:hAnsi="宋体" w:cs="Times New Roman" w:hint="eastAsia"/>
                <w:color w:val="000000"/>
                <w:sz w:val="21"/>
                <w:szCs w:val="21"/>
              </w:rPr>
            </w:pPr>
            <w:r>
              <w:rPr>
                <w:rFonts w:ascii="宋体" w:hAnsi="宋体" w:cs="Times New Roman"/>
                <w:color w:val="000000"/>
                <w:sz w:val="21"/>
                <w:szCs w:val="21"/>
              </w:rPr>
              <w:t>中心波长</w:t>
            </w:r>
            <w:r>
              <w:rPr>
                <w:rFonts w:cs="Times New Roman"/>
                <w:color w:val="000000"/>
                <w:sz w:val="21"/>
                <w:szCs w:val="21"/>
              </w:rPr>
              <w:t>(µm)</w:t>
            </w:r>
          </w:p>
        </w:tc>
        <w:tc>
          <w:tcPr>
            <w:tcW w:w="1161" w:type="dxa"/>
            <w:tcBorders>
              <w:top w:val="single" w:sz="12" w:space="0" w:color="auto"/>
              <w:bottom w:val="single" w:sz="12" w:space="0" w:color="auto"/>
            </w:tcBorders>
          </w:tcPr>
          <w:p w14:paraId="3C5F85E2" w14:textId="77777777" w:rsidR="00D46586" w:rsidRDefault="00000000">
            <w:pPr>
              <w:spacing w:line="240" w:lineRule="auto"/>
              <w:ind w:leftChars="0" w:left="0"/>
              <w:jc w:val="center"/>
              <w:rPr>
                <w:rFonts w:ascii="宋体" w:hAnsi="宋体" w:cs="Times New Roman" w:hint="eastAsia"/>
                <w:color w:val="000000"/>
                <w:sz w:val="21"/>
                <w:szCs w:val="21"/>
              </w:rPr>
            </w:pPr>
            <w:r>
              <w:rPr>
                <w:rFonts w:ascii="宋体" w:hAnsi="宋体" w:cs="Times New Roman"/>
                <w:color w:val="000000"/>
                <w:sz w:val="21"/>
                <w:szCs w:val="21"/>
              </w:rPr>
              <w:t>最小波段边界</w:t>
            </w:r>
            <w:r>
              <w:rPr>
                <w:rFonts w:cs="Times New Roman"/>
                <w:color w:val="000000"/>
                <w:sz w:val="21"/>
                <w:szCs w:val="21"/>
              </w:rPr>
              <w:t>(µm)</w:t>
            </w:r>
          </w:p>
        </w:tc>
        <w:tc>
          <w:tcPr>
            <w:tcW w:w="1161" w:type="dxa"/>
            <w:tcBorders>
              <w:top w:val="single" w:sz="12" w:space="0" w:color="auto"/>
              <w:bottom w:val="single" w:sz="12" w:space="0" w:color="auto"/>
            </w:tcBorders>
          </w:tcPr>
          <w:p w14:paraId="37A0124F" w14:textId="77777777" w:rsidR="00D46586" w:rsidRDefault="00000000">
            <w:pPr>
              <w:spacing w:line="240" w:lineRule="auto"/>
              <w:ind w:leftChars="0" w:left="0"/>
              <w:jc w:val="center"/>
              <w:rPr>
                <w:rFonts w:ascii="宋体" w:hAnsi="宋体" w:cs="Times New Roman" w:hint="eastAsia"/>
                <w:color w:val="000000"/>
                <w:sz w:val="21"/>
                <w:szCs w:val="21"/>
              </w:rPr>
            </w:pPr>
            <w:r>
              <w:rPr>
                <w:rFonts w:ascii="宋体" w:hAnsi="宋体" w:cs="Times New Roman"/>
                <w:color w:val="000000"/>
                <w:sz w:val="21"/>
                <w:szCs w:val="21"/>
              </w:rPr>
              <w:t>最大波段边界</w:t>
            </w:r>
            <w:r>
              <w:rPr>
                <w:rFonts w:cs="Times New Roman"/>
                <w:color w:val="000000"/>
                <w:sz w:val="21"/>
                <w:szCs w:val="21"/>
              </w:rPr>
              <w:t>(µm)</w:t>
            </w:r>
          </w:p>
        </w:tc>
        <w:tc>
          <w:tcPr>
            <w:tcW w:w="1161" w:type="dxa"/>
            <w:tcBorders>
              <w:top w:val="single" w:sz="12" w:space="0" w:color="auto"/>
              <w:bottom w:val="single" w:sz="12" w:space="0" w:color="auto"/>
            </w:tcBorders>
            <w:vAlign w:val="center"/>
          </w:tcPr>
          <w:p w14:paraId="12EB270F" w14:textId="77777777" w:rsidR="00D46586" w:rsidRDefault="00000000">
            <w:pPr>
              <w:spacing w:line="240" w:lineRule="auto"/>
              <w:ind w:leftChars="0" w:left="0"/>
              <w:jc w:val="center"/>
              <w:rPr>
                <w:rFonts w:ascii="宋体" w:hAnsi="宋体" w:cs="Times New Roman" w:hint="eastAsia"/>
                <w:color w:val="000000"/>
                <w:sz w:val="21"/>
                <w:szCs w:val="21"/>
              </w:rPr>
            </w:pPr>
            <w:r>
              <w:rPr>
                <w:rFonts w:ascii="宋体" w:hAnsi="宋体" w:cs="Times New Roman"/>
                <w:color w:val="000000"/>
                <w:sz w:val="21"/>
                <w:szCs w:val="21"/>
              </w:rPr>
              <w:t>传感器</w:t>
            </w:r>
          </w:p>
        </w:tc>
        <w:tc>
          <w:tcPr>
            <w:tcW w:w="1161" w:type="dxa"/>
            <w:tcBorders>
              <w:top w:val="single" w:sz="12" w:space="0" w:color="auto"/>
              <w:bottom w:val="single" w:sz="12" w:space="0" w:color="auto"/>
            </w:tcBorders>
            <w:vAlign w:val="center"/>
          </w:tcPr>
          <w:p w14:paraId="6246336D" w14:textId="77777777" w:rsidR="00D46586" w:rsidRDefault="00000000">
            <w:pPr>
              <w:spacing w:line="240" w:lineRule="auto"/>
              <w:ind w:leftChars="0" w:left="0"/>
              <w:jc w:val="center"/>
              <w:rPr>
                <w:rFonts w:ascii="宋体" w:hAnsi="宋体" w:cs="Times New Roman" w:hint="eastAsia"/>
                <w:color w:val="000000"/>
                <w:sz w:val="21"/>
                <w:szCs w:val="21"/>
              </w:rPr>
            </w:pPr>
            <w:r>
              <w:rPr>
                <w:rFonts w:ascii="宋体" w:hAnsi="宋体" w:cs="Times New Roman"/>
                <w:color w:val="000000"/>
                <w:sz w:val="21"/>
                <w:szCs w:val="21"/>
              </w:rPr>
              <w:t>携带卫星</w:t>
            </w:r>
          </w:p>
        </w:tc>
        <w:tc>
          <w:tcPr>
            <w:tcW w:w="1161" w:type="dxa"/>
            <w:tcBorders>
              <w:top w:val="single" w:sz="12" w:space="0" w:color="auto"/>
              <w:bottom w:val="single" w:sz="12" w:space="0" w:color="auto"/>
            </w:tcBorders>
            <w:vAlign w:val="center"/>
          </w:tcPr>
          <w:p w14:paraId="3A2FD9A7" w14:textId="77777777" w:rsidR="00D46586" w:rsidRDefault="00000000">
            <w:pPr>
              <w:spacing w:line="240" w:lineRule="auto"/>
              <w:ind w:leftChars="0" w:left="0"/>
              <w:jc w:val="center"/>
              <w:rPr>
                <w:rFonts w:ascii="宋体" w:hAnsi="宋体" w:cs="Times New Roman" w:hint="eastAsia"/>
                <w:color w:val="000000"/>
                <w:sz w:val="21"/>
                <w:szCs w:val="21"/>
              </w:rPr>
            </w:pPr>
            <w:r>
              <w:rPr>
                <w:rFonts w:ascii="宋体" w:hAnsi="宋体" w:cs="Times New Roman"/>
                <w:color w:val="000000"/>
                <w:sz w:val="21"/>
                <w:szCs w:val="21"/>
              </w:rPr>
              <w:t>波段用途</w:t>
            </w:r>
          </w:p>
        </w:tc>
      </w:tr>
      <w:tr w:rsidR="00D46586" w14:paraId="4EF89716" w14:textId="77777777">
        <w:tc>
          <w:tcPr>
            <w:tcW w:w="1526" w:type="dxa"/>
            <w:tcBorders>
              <w:top w:val="single" w:sz="12" w:space="0" w:color="auto"/>
            </w:tcBorders>
          </w:tcPr>
          <w:p w14:paraId="01D1E36D" w14:textId="77777777" w:rsidR="00D46586" w:rsidRDefault="00000000">
            <w:pPr>
              <w:spacing w:line="240" w:lineRule="auto"/>
              <w:ind w:leftChars="0" w:left="0"/>
              <w:jc w:val="center"/>
              <w:rPr>
                <w:rFonts w:ascii="宋体" w:hAnsi="宋体" w:cs="Times New Roman" w:hint="eastAsia"/>
                <w:color w:val="000000"/>
                <w:sz w:val="21"/>
                <w:szCs w:val="21"/>
              </w:rPr>
            </w:pPr>
            <w:r>
              <w:rPr>
                <w:rFonts w:ascii="TimesNewRoman" w:hAnsi="TimesNewRoman" w:cs="Times New Roman"/>
                <w:color w:val="000000"/>
                <w:sz w:val="21"/>
                <w:szCs w:val="21"/>
              </w:rPr>
              <w:t>Band 6</w:t>
            </w:r>
          </w:p>
        </w:tc>
        <w:tc>
          <w:tcPr>
            <w:tcW w:w="795" w:type="dxa"/>
            <w:tcBorders>
              <w:top w:val="single" w:sz="12" w:space="0" w:color="auto"/>
            </w:tcBorders>
          </w:tcPr>
          <w:p w14:paraId="6C0E8B16"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11.45</w:t>
            </w:r>
          </w:p>
        </w:tc>
        <w:tc>
          <w:tcPr>
            <w:tcW w:w="1161" w:type="dxa"/>
            <w:tcBorders>
              <w:top w:val="single" w:sz="12" w:space="0" w:color="auto"/>
            </w:tcBorders>
          </w:tcPr>
          <w:p w14:paraId="04FAB792"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10.4</w:t>
            </w:r>
          </w:p>
        </w:tc>
        <w:tc>
          <w:tcPr>
            <w:tcW w:w="1161" w:type="dxa"/>
            <w:tcBorders>
              <w:top w:val="single" w:sz="12" w:space="0" w:color="auto"/>
            </w:tcBorders>
          </w:tcPr>
          <w:p w14:paraId="216107B9"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12.5</w:t>
            </w:r>
          </w:p>
        </w:tc>
        <w:tc>
          <w:tcPr>
            <w:tcW w:w="1161" w:type="dxa"/>
            <w:tcBorders>
              <w:top w:val="single" w:sz="12" w:space="0" w:color="auto"/>
            </w:tcBorders>
          </w:tcPr>
          <w:p w14:paraId="22721A14"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TM</w:t>
            </w:r>
          </w:p>
        </w:tc>
        <w:tc>
          <w:tcPr>
            <w:tcW w:w="1161" w:type="dxa"/>
            <w:tcBorders>
              <w:top w:val="single" w:sz="12" w:space="0" w:color="auto"/>
            </w:tcBorders>
          </w:tcPr>
          <w:p w14:paraId="0E5F2AE4" w14:textId="77777777" w:rsidR="00D46586" w:rsidRDefault="00000000">
            <w:pPr>
              <w:spacing w:line="240" w:lineRule="auto"/>
              <w:ind w:leftChars="0" w:left="0"/>
              <w:jc w:val="center"/>
              <w:rPr>
                <w:rFonts w:ascii="宋体" w:hAnsi="宋体" w:cs="Times New Roman" w:hint="eastAsia"/>
                <w:color w:val="000000"/>
                <w:sz w:val="21"/>
                <w:szCs w:val="21"/>
              </w:rPr>
            </w:pPr>
            <w:r>
              <w:rPr>
                <w:rFonts w:ascii="TimesNewRoman" w:hAnsi="TimesNewRoman" w:cs="Times New Roman"/>
                <w:color w:val="000000"/>
                <w:sz w:val="21"/>
                <w:szCs w:val="21"/>
              </w:rPr>
              <w:t>Landsat 5</w:t>
            </w:r>
          </w:p>
        </w:tc>
        <w:tc>
          <w:tcPr>
            <w:tcW w:w="1161" w:type="dxa"/>
            <w:tcBorders>
              <w:top w:val="single" w:sz="12" w:space="0" w:color="auto"/>
            </w:tcBorders>
          </w:tcPr>
          <w:p w14:paraId="73FD1416" w14:textId="77777777" w:rsidR="00D46586" w:rsidRDefault="00000000">
            <w:pPr>
              <w:spacing w:line="240" w:lineRule="auto"/>
              <w:ind w:leftChars="0" w:left="0"/>
              <w:jc w:val="center"/>
              <w:rPr>
                <w:rFonts w:ascii="宋体" w:hAnsi="宋体" w:cs="Times New Roman" w:hint="eastAsia"/>
                <w:color w:val="000000"/>
                <w:sz w:val="21"/>
                <w:szCs w:val="21"/>
              </w:rPr>
            </w:pPr>
            <w:r>
              <w:rPr>
                <w:rFonts w:ascii="宋体" w:hAnsi="宋体" w:cs="Times New Roman"/>
                <w:color w:val="000000"/>
                <w:sz w:val="21"/>
                <w:szCs w:val="21"/>
              </w:rPr>
              <w:t>地表温度</w:t>
            </w:r>
          </w:p>
        </w:tc>
      </w:tr>
      <w:tr w:rsidR="00D46586" w14:paraId="0DDBE632" w14:textId="77777777">
        <w:tc>
          <w:tcPr>
            <w:tcW w:w="1526" w:type="dxa"/>
          </w:tcPr>
          <w:p w14:paraId="31C91404" w14:textId="77777777" w:rsidR="00D46586" w:rsidRDefault="00000000">
            <w:pPr>
              <w:spacing w:line="240" w:lineRule="auto"/>
              <w:ind w:leftChars="0" w:left="0"/>
              <w:jc w:val="center"/>
              <w:rPr>
                <w:rFonts w:ascii="宋体" w:hAnsi="宋体" w:cs="Times New Roman" w:hint="eastAsia"/>
                <w:color w:val="000000"/>
                <w:sz w:val="21"/>
                <w:szCs w:val="21"/>
              </w:rPr>
            </w:pPr>
            <w:r>
              <w:rPr>
                <w:rFonts w:ascii="TimesNewRoman" w:hAnsi="TimesNewRoman" w:cs="Times New Roman"/>
                <w:color w:val="000000"/>
                <w:sz w:val="21"/>
                <w:szCs w:val="21"/>
              </w:rPr>
              <w:t xml:space="preserve">Band 10 </w:t>
            </w:r>
          </w:p>
        </w:tc>
        <w:tc>
          <w:tcPr>
            <w:tcW w:w="795" w:type="dxa"/>
          </w:tcPr>
          <w:p w14:paraId="0A119BF2"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10.9</w:t>
            </w:r>
          </w:p>
        </w:tc>
        <w:tc>
          <w:tcPr>
            <w:tcW w:w="1161" w:type="dxa"/>
          </w:tcPr>
          <w:p w14:paraId="6098591F"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10.6</w:t>
            </w:r>
          </w:p>
        </w:tc>
        <w:tc>
          <w:tcPr>
            <w:tcW w:w="1161" w:type="dxa"/>
          </w:tcPr>
          <w:p w14:paraId="4F9FDBAB"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11.2</w:t>
            </w:r>
          </w:p>
        </w:tc>
        <w:tc>
          <w:tcPr>
            <w:tcW w:w="1161" w:type="dxa"/>
          </w:tcPr>
          <w:p w14:paraId="42BB0E0E"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TIRS</w:t>
            </w:r>
          </w:p>
        </w:tc>
        <w:tc>
          <w:tcPr>
            <w:tcW w:w="1161" w:type="dxa"/>
          </w:tcPr>
          <w:p w14:paraId="1D170E3F" w14:textId="77777777" w:rsidR="00D46586" w:rsidRDefault="00000000">
            <w:pPr>
              <w:spacing w:line="240" w:lineRule="auto"/>
              <w:ind w:leftChars="0" w:left="0"/>
              <w:jc w:val="center"/>
              <w:rPr>
                <w:rFonts w:ascii="宋体" w:hAnsi="宋体" w:cs="Times New Roman" w:hint="eastAsia"/>
                <w:color w:val="000000"/>
                <w:sz w:val="21"/>
                <w:szCs w:val="21"/>
              </w:rPr>
            </w:pPr>
            <w:r>
              <w:rPr>
                <w:rFonts w:ascii="TimesNewRoman" w:hAnsi="TimesNewRoman" w:cs="Times New Roman"/>
                <w:color w:val="000000"/>
                <w:sz w:val="21"/>
                <w:szCs w:val="21"/>
              </w:rPr>
              <w:t>Landsat 8</w:t>
            </w:r>
          </w:p>
        </w:tc>
        <w:tc>
          <w:tcPr>
            <w:tcW w:w="1161" w:type="dxa"/>
          </w:tcPr>
          <w:p w14:paraId="188A5497" w14:textId="77777777" w:rsidR="00D46586" w:rsidRDefault="00000000">
            <w:pPr>
              <w:spacing w:line="240" w:lineRule="auto"/>
              <w:ind w:leftChars="0" w:left="0"/>
              <w:jc w:val="center"/>
              <w:rPr>
                <w:rFonts w:ascii="宋体" w:hAnsi="宋体" w:cs="Times New Roman" w:hint="eastAsia"/>
                <w:color w:val="000000"/>
                <w:sz w:val="21"/>
                <w:szCs w:val="21"/>
              </w:rPr>
            </w:pPr>
            <w:r>
              <w:rPr>
                <w:rFonts w:ascii="宋体" w:hAnsi="宋体" w:cs="Times New Roman"/>
                <w:color w:val="000000"/>
                <w:sz w:val="21"/>
                <w:szCs w:val="21"/>
              </w:rPr>
              <w:t>地表温度</w:t>
            </w:r>
          </w:p>
        </w:tc>
      </w:tr>
      <w:tr w:rsidR="00D46586" w14:paraId="3F849A7B" w14:textId="77777777">
        <w:tc>
          <w:tcPr>
            <w:tcW w:w="1526" w:type="dxa"/>
          </w:tcPr>
          <w:p w14:paraId="481ACEA0" w14:textId="77777777" w:rsidR="00D46586" w:rsidRDefault="00000000">
            <w:pPr>
              <w:spacing w:line="240" w:lineRule="auto"/>
              <w:ind w:leftChars="0" w:left="0"/>
              <w:jc w:val="center"/>
              <w:rPr>
                <w:rFonts w:ascii="宋体" w:hAnsi="宋体" w:cs="Times New Roman" w:hint="eastAsia"/>
                <w:color w:val="000000"/>
                <w:sz w:val="21"/>
                <w:szCs w:val="21"/>
              </w:rPr>
            </w:pPr>
            <w:r>
              <w:rPr>
                <w:rFonts w:ascii="TimesNewRoman" w:hAnsi="TimesNewRoman" w:cs="Times New Roman"/>
                <w:color w:val="000000"/>
                <w:sz w:val="21"/>
                <w:szCs w:val="21"/>
              </w:rPr>
              <w:t xml:space="preserve">Band 11 </w:t>
            </w:r>
          </w:p>
        </w:tc>
        <w:tc>
          <w:tcPr>
            <w:tcW w:w="795" w:type="dxa"/>
          </w:tcPr>
          <w:p w14:paraId="4775AE62"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12.0</w:t>
            </w:r>
          </w:p>
        </w:tc>
        <w:tc>
          <w:tcPr>
            <w:tcW w:w="1161" w:type="dxa"/>
          </w:tcPr>
          <w:p w14:paraId="08AFD2C7"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11.5</w:t>
            </w:r>
          </w:p>
        </w:tc>
        <w:tc>
          <w:tcPr>
            <w:tcW w:w="1161" w:type="dxa"/>
          </w:tcPr>
          <w:p w14:paraId="5C35C25B"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12.5</w:t>
            </w:r>
          </w:p>
        </w:tc>
        <w:tc>
          <w:tcPr>
            <w:tcW w:w="1161" w:type="dxa"/>
          </w:tcPr>
          <w:p w14:paraId="156E0164" w14:textId="77777777" w:rsidR="00D46586" w:rsidRDefault="00000000">
            <w:pPr>
              <w:spacing w:line="240" w:lineRule="auto"/>
              <w:ind w:leftChars="0" w:left="0"/>
              <w:jc w:val="center"/>
              <w:rPr>
                <w:rFonts w:cs="Times New Roman"/>
                <w:color w:val="000000"/>
                <w:sz w:val="21"/>
                <w:szCs w:val="21"/>
              </w:rPr>
            </w:pPr>
            <w:r>
              <w:rPr>
                <w:rFonts w:cs="Times New Roman"/>
                <w:color w:val="000000"/>
                <w:sz w:val="21"/>
                <w:szCs w:val="21"/>
              </w:rPr>
              <w:t>TIRS</w:t>
            </w:r>
          </w:p>
        </w:tc>
        <w:tc>
          <w:tcPr>
            <w:tcW w:w="1161" w:type="dxa"/>
          </w:tcPr>
          <w:p w14:paraId="3838151F" w14:textId="77777777" w:rsidR="00D46586" w:rsidRDefault="00000000">
            <w:pPr>
              <w:spacing w:line="240" w:lineRule="auto"/>
              <w:ind w:leftChars="0" w:left="0"/>
              <w:jc w:val="center"/>
              <w:rPr>
                <w:rFonts w:ascii="宋体" w:hAnsi="宋体" w:cs="Times New Roman" w:hint="eastAsia"/>
                <w:color w:val="000000"/>
                <w:sz w:val="21"/>
                <w:szCs w:val="21"/>
              </w:rPr>
            </w:pPr>
            <w:r>
              <w:rPr>
                <w:rFonts w:ascii="TimesNewRoman" w:hAnsi="TimesNewRoman" w:cs="Times New Roman"/>
                <w:color w:val="000000"/>
                <w:sz w:val="21"/>
                <w:szCs w:val="21"/>
              </w:rPr>
              <w:t>Landsat 8</w:t>
            </w:r>
          </w:p>
        </w:tc>
        <w:tc>
          <w:tcPr>
            <w:tcW w:w="1161" w:type="dxa"/>
          </w:tcPr>
          <w:p w14:paraId="5A8F1E27" w14:textId="77777777" w:rsidR="00D46586" w:rsidRDefault="00000000">
            <w:pPr>
              <w:spacing w:line="240" w:lineRule="auto"/>
              <w:ind w:leftChars="0" w:left="0"/>
              <w:jc w:val="center"/>
              <w:rPr>
                <w:rFonts w:ascii="宋体" w:hAnsi="宋体" w:cs="Times New Roman" w:hint="eastAsia"/>
                <w:color w:val="000000"/>
                <w:sz w:val="21"/>
                <w:szCs w:val="21"/>
              </w:rPr>
            </w:pPr>
            <w:r>
              <w:rPr>
                <w:rFonts w:ascii="宋体" w:hAnsi="宋体" w:cs="Times New Roman"/>
                <w:color w:val="000000"/>
                <w:sz w:val="21"/>
                <w:szCs w:val="21"/>
              </w:rPr>
              <w:t>地表温度</w:t>
            </w:r>
          </w:p>
        </w:tc>
      </w:tr>
    </w:tbl>
    <w:p w14:paraId="5D273221" w14:textId="77777777" w:rsidR="00D46586" w:rsidRDefault="00D46586">
      <w:pPr>
        <w:ind w:leftChars="0" w:left="0"/>
        <w:jc w:val="center"/>
        <w:rPr>
          <w:rFonts w:asciiTheme="majorEastAsia" w:eastAsiaTheme="majorEastAsia" w:hAnsiTheme="majorEastAsia" w:cs="Times New Roman" w:hint="eastAsia"/>
          <w:color w:val="000000"/>
          <w:sz w:val="21"/>
          <w:szCs w:val="21"/>
        </w:rPr>
      </w:pPr>
    </w:p>
    <w:p w14:paraId="43BB06D6" w14:textId="77777777" w:rsidR="00D46586" w:rsidRDefault="00000000">
      <w:pPr>
        <w:ind w:left="480"/>
        <w:rPr>
          <w:rFonts w:eastAsiaTheme="majorEastAsia" w:cs="Times New Roman"/>
          <w:color w:val="000000"/>
        </w:rPr>
      </w:pPr>
      <w:r>
        <w:rPr>
          <w:rFonts w:eastAsiaTheme="majorEastAsia" w:cs="Times New Roman"/>
          <w:color w:val="000000"/>
        </w:rPr>
        <w:t>Landsat</w:t>
      </w:r>
      <w:r>
        <w:rPr>
          <w:rFonts w:eastAsiaTheme="majorEastAsia" w:cs="Times New Roman" w:hint="eastAsia"/>
          <w:color w:val="000000"/>
        </w:rPr>
        <w:t xml:space="preserve"> 5</w:t>
      </w:r>
      <w:r>
        <w:rPr>
          <w:rFonts w:eastAsiaTheme="majorEastAsia" w:cs="Times New Roman" w:hint="eastAsia"/>
          <w:color w:val="000000"/>
        </w:rPr>
        <w:t>卫星数据详细信息如下表</w:t>
      </w:r>
      <w:r>
        <w:rPr>
          <w:rFonts w:eastAsiaTheme="majorEastAsia" w:cs="Times New Roman" w:hint="eastAsia"/>
          <w:color w:val="000000"/>
        </w:rPr>
        <w:t>3.3</w:t>
      </w:r>
      <w:r>
        <w:rPr>
          <w:rFonts w:eastAsiaTheme="majorEastAsia" w:cs="Times New Roman" w:hint="eastAsia"/>
          <w:color w:val="000000"/>
        </w:rPr>
        <w:t>：</w:t>
      </w:r>
    </w:p>
    <w:p w14:paraId="79021A54"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 xml:space="preserve">表3.3 </w:t>
      </w:r>
      <w:r>
        <w:rPr>
          <w:rFonts w:eastAsiaTheme="majorEastAsia" w:cs="Times New Roman"/>
          <w:color w:val="000000"/>
          <w:sz w:val="21"/>
          <w:szCs w:val="21"/>
        </w:rPr>
        <w:t>Landsat</w:t>
      </w:r>
      <w:r>
        <w:rPr>
          <w:rFonts w:eastAsiaTheme="majorEastAsia" w:cs="Times New Roman" w:hint="eastAsia"/>
          <w:color w:val="000000"/>
          <w:sz w:val="21"/>
          <w:szCs w:val="21"/>
        </w:rPr>
        <w:t xml:space="preserve"> 5</w:t>
      </w:r>
      <w:r>
        <w:rPr>
          <w:rFonts w:asciiTheme="majorEastAsia" w:eastAsiaTheme="majorEastAsia" w:hAnsiTheme="majorEastAsia" w:cs="Times New Roman" w:hint="eastAsia"/>
          <w:color w:val="000000"/>
          <w:sz w:val="21"/>
          <w:szCs w:val="21"/>
        </w:rPr>
        <w:t>卫星数据介绍</w:t>
      </w:r>
    </w:p>
    <w:tbl>
      <w:tblPr>
        <w:tblStyle w:val="afd"/>
        <w:tblW w:w="5000" w:type="pct"/>
        <w:tblCellMar>
          <w:left w:w="0" w:type="dxa"/>
          <w:right w:w="0" w:type="dxa"/>
        </w:tblCellMar>
        <w:tblLook w:val="04A0" w:firstRow="1" w:lastRow="0" w:firstColumn="1" w:lastColumn="0" w:noHBand="0" w:noVBand="1"/>
      </w:tblPr>
      <w:tblGrid>
        <w:gridCol w:w="1103"/>
        <w:gridCol w:w="1781"/>
        <w:gridCol w:w="1872"/>
        <w:gridCol w:w="1347"/>
        <w:gridCol w:w="2203"/>
      </w:tblGrid>
      <w:tr w:rsidR="00D46586" w14:paraId="07091958" w14:textId="77777777" w:rsidTr="00D46586">
        <w:trPr>
          <w:cnfStyle w:val="100000000000" w:firstRow="1" w:lastRow="0" w:firstColumn="0" w:lastColumn="0" w:oddVBand="0" w:evenVBand="0" w:oddHBand="0" w:evenHBand="0" w:firstRowFirstColumn="0" w:firstRowLastColumn="0" w:lastRowFirstColumn="0" w:lastRowLastColumn="0"/>
        </w:trPr>
        <w:tc>
          <w:tcPr>
            <w:tcW w:w="664" w:type="pct"/>
          </w:tcPr>
          <w:p w14:paraId="60B8F981"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波段</w:t>
            </w:r>
          </w:p>
        </w:tc>
        <w:tc>
          <w:tcPr>
            <w:tcW w:w="1072" w:type="pct"/>
          </w:tcPr>
          <w:p w14:paraId="3348C6C5"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波长范围</w:t>
            </w:r>
            <w:r>
              <w:rPr>
                <w:rFonts w:eastAsiaTheme="majorEastAsia" w:cs="Times New Roman"/>
                <w:color w:val="000000"/>
                <w:sz w:val="21"/>
                <w:szCs w:val="21"/>
              </w:rPr>
              <w:t>(</w:t>
            </w:r>
            <w:r>
              <w:rPr>
                <w:rFonts w:cs="Times New Roman"/>
                <w:color w:val="000000"/>
                <w:sz w:val="21"/>
                <w:szCs w:val="21"/>
              </w:rPr>
              <w:t>µm)</w:t>
            </w:r>
          </w:p>
        </w:tc>
        <w:tc>
          <w:tcPr>
            <w:tcW w:w="1127" w:type="pct"/>
          </w:tcPr>
          <w:p w14:paraId="09FE458B"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空间分辨率</w:t>
            </w:r>
            <w:r>
              <w:rPr>
                <w:rFonts w:ascii="TimesNewRoman" w:hAnsi="TimesNewRoman"/>
                <w:color w:val="000000"/>
                <w:sz w:val="21"/>
                <w:szCs w:val="21"/>
              </w:rPr>
              <w:t>(m)</w:t>
            </w:r>
          </w:p>
        </w:tc>
        <w:tc>
          <w:tcPr>
            <w:tcW w:w="811" w:type="pct"/>
          </w:tcPr>
          <w:p w14:paraId="7ABE8E07"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波段别称</w:t>
            </w:r>
          </w:p>
        </w:tc>
        <w:tc>
          <w:tcPr>
            <w:tcW w:w="1327" w:type="pct"/>
          </w:tcPr>
          <w:p w14:paraId="7B5BAD02"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波段用途</w:t>
            </w:r>
          </w:p>
        </w:tc>
      </w:tr>
      <w:tr w:rsidR="00D46586" w14:paraId="686841E0" w14:textId="77777777" w:rsidTr="00D46586">
        <w:tc>
          <w:tcPr>
            <w:tcW w:w="664" w:type="pct"/>
          </w:tcPr>
          <w:p w14:paraId="031E02F0"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Band 1</w:t>
            </w:r>
          </w:p>
        </w:tc>
        <w:tc>
          <w:tcPr>
            <w:tcW w:w="1072" w:type="pct"/>
          </w:tcPr>
          <w:p w14:paraId="31636CFB"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0.450-0.520</w:t>
            </w:r>
          </w:p>
        </w:tc>
        <w:tc>
          <w:tcPr>
            <w:tcW w:w="1127" w:type="pct"/>
          </w:tcPr>
          <w:p w14:paraId="4E58B114"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30m</w:t>
            </w:r>
          </w:p>
        </w:tc>
        <w:tc>
          <w:tcPr>
            <w:tcW w:w="811" w:type="pct"/>
          </w:tcPr>
          <w:p w14:paraId="3B8E1938"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Blue</w:t>
            </w:r>
          </w:p>
        </w:tc>
        <w:tc>
          <w:tcPr>
            <w:tcW w:w="1327" w:type="pct"/>
          </w:tcPr>
          <w:p w14:paraId="556A41B9"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基色</w:t>
            </w:r>
            <w:r>
              <w:rPr>
                <w:rFonts w:asciiTheme="majorEastAsia" w:eastAsiaTheme="majorEastAsia" w:hAnsiTheme="majorEastAsia" w:cs="Times New Roman"/>
                <w:color w:val="000000"/>
                <w:sz w:val="21"/>
                <w:szCs w:val="21"/>
              </w:rPr>
              <w:t>/</w:t>
            </w:r>
            <w:r>
              <w:rPr>
                <w:rFonts w:asciiTheme="majorEastAsia" w:eastAsiaTheme="majorEastAsia" w:hAnsiTheme="majorEastAsia" w:cs="Times New Roman" w:hint="eastAsia"/>
                <w:color w:val="000000"/>
                <w:sz w:val="21"/>
                <w:szCs w:val="21"/>
              </w:rPr>
              <w:t>散射</w:t>
            </w:r>
            <w:r>
              <w:rPr>
                <w:rFonts w:asciiTheme="majorEastAsia" w:eastAsiaTheme="majorEastAsia" w:hAnsiTheme="majorEastAsia" w:cs="Times New Roman"/>
                <w:color w:val="000000"/>
                <w:sz w:val="21"/>
                <w:szCs w:val="21"/>
              </w:rPr>
              <w:t>/</w:t>
            </w:r>
            <w:r>
              <w:rPr>
                <w:rFonts w:asciiTheme="majorEastAsia" w:eastAsiaTheme="majorEastAsia" w:hAnsiTheme="majorEastAsia" w:cs="Times New Roman" w:hint="eastAsia"/>
                <w:color w:val="000000"/>
                <w:sz w:val="21"/>
                <w:szCs w:val="21"/>
              </w:rPr>
              <w:t>海岸</w:t>
            </w:r>
          </w:p>
        </w:tc>
      </w:tr>
      <w:tr w:rsidR="00D46586" w14:paraId="3701261D" w14:textId="77777777" w:rsidTr="00D46586">
        <w:tc>
          <w:tcPr>
            <w:tcW w:w="664" w:type="pct"/>
          </w:tcPr>
          <w:p w14:paraId="02B42F41"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eastAsiaTheme="majorEastAsia" w:cs="Times New Roman"/>
                <w:color w:val="000000"/>
                <w:sz w:val="21"/>
                <w:szCs w:val="21"/>
              </w:rPr>
              <w:lastRenderedPageBreak/>
              <w:t xml:space="preserve">Band </w:t>
            </w:r>
            <w:r>
              <w:rPr>
                <w:rFonts w:eastAsiaTheme="majorEastAsia" w:cs="Times New Roman" w:hint="eastAsia"/>
                <w:color w:val="000000"/>
                <w:sz w:val="21"/>
                <w:szCs w:val="21"/>
              </w:rPr>
              <w:t>2</w:t>
            </w:r>
          </w:p>
        </w:tc>
        <w:tc>
          <w:tcPr>
            <w:tcW w:w="1072" w:type="pct"/>
          </w:tcPr>
          <w:p w14:paraId="55859446"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0.520-0.600</w:t>
            </w:r>
          </w:p>
        </w:tc>
        <w:tc>
          <w:tcPr>
            <w:tcW w:w="1127" w:type="pct"/>
          </w:tcPr>
          <w:p w14:paraId="00961C19"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30m</w:t>
            </w:r>
          </w:p>
        </w:tc>
        <w:tc>
          <w:tcPr>
            <w:tcW w:w="811" w:type="pct"/>
          </w:tcPr>
          <w:p w14:paraId="19C0AD52"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Green</w:t>
            </w:r>
          </w:p>
        </w:tc>
        <w:tc>
          <w:tcPr>
            <w:tcW w:w="1327" w:type="pct"/>
          </w:tcPr>
          <w:p w14:paraId="0FC5EC26"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基色</w:t>
            </w:r>
            <w:r>
              <w:rPr>
                <w:rFonts w:asciiTheme="majorEastAsia" w:eastAsiaTheme="majorEastAsia" w:hAnsiTheme="majorEastAsia" w:cs="Times New Roman"/>
                <w:color w:val="000000"/>
                <w:sz w:val="21"/>
                <w:szCs w:val="21"/>
              </w:rPr>
              <w:t>/</w:t>
            </w:r>
            <w:r>
              <w:rPr>
                <w:rFonts w:asciiTheme="majorEastAsia" w:eastAsiaTheme="majorEastAsia" w:hAnsiTheme="majorEastAsia" w:cs="Times New Roman" w:hint="eastAsia"/>
                <w:color w:val="000000"/>
                <w:sz w:val="21"/>
                <w:szCs w:val="21"/>
              </w:rPr>
              <w:t>海岸</w:t>
            </w:r>
          </w:p>
        </w:tc>
      </w:tr>
      <w:tr w:rsidR="00D46586" w14:paraId="266C9E00" w14:textId="77777777" w:rsidTr="00D46586">
        <w:tc>
          <w:tcPr>
            <w:tcW w:w="664" w:type="pct"/>
          </w:tcPr>
          <w:p w14:paraId="4220007D"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eastAsiaTheme="majorEastAsia" w:cs="Times New Roman"/>
                <w:color w:val="000000"/>
                <w:sz w:val="21"/>
                <w:szCs w:val="21"/>
              </w:rPr>
              <w:t xml:space="preserve">Band </w:t>
            </w:r>
            <w:r>
              <w:rPr>
                <w:rFonts w:eastAsiaTheme="majorEastAsia" w:cs="Times New Roman" w:hint="eastAsia"/>
                <w:color w:val="000000"/>
                <w:sz w:val="21"/>
                <w:szCs w:val="21"/>
              </w:rPr>
              <w:t>3</w:t>
            </w:r>
          </w:p>
        </w:tc>
        <w:tc>
          <w:tcPr>
            <w:tcW w:w="1072" w:type="pct"/>
          </w:tcPr>
          <w:p w14:paraId="60BF8463"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0.630-0.690</w:t>
            </w:r>
          </w:p>
        </w:tc>
        <w:tc>
          <w:tcPr>
            <w:tcW w:w="1127" w:type="pct"/>
          </w:tcPr>
          <w:p w14:paraId="2E46C706"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30m</w:t>
            </w:r>
          </w:p>
        </w:tc>
        <w:tc>
          <w:tcPr>
            <w:tcW w:w="811" w:type="pct"/>
          </w:tcPr>
          <w:p w14:paraId="6C4DEAB9"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Red</w:t>
            </w:r>
          </w:p>
        </w:tc>
        <w:tc>
          <w:tcPr>
            <w:tcW w:w="1327" w:type="pct"/>
          </w:tcPr>
          <w:p w14:paraId="0432A83B"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基色</w:t>
            </w:r>
            <w:r>
              <w:rPr>
                <w:rFonts w:asciiTheme="majorEastAsia" w:eastAsiaTheme="majorEastAsia" w:hAnsiTheme="majorEastAsia" w:cs="Times New Roman"/>
                <w:color w:val="000000"/>
                <w:sz w:val="21"/>
                <w:szCs w:val="21"/>
              </w:rPr>
              <w:t>/</w:t>
            </w:r>
            <w:r>
              <w:rPr>
                <w:rFonts w:asciiTheme="majorEastAsia" w:eastAsiaTheme="majorEastAsia" w:hAnsiTheme="majorEastAsia" w:cs="Times New Roman" w:hint="eastAsia"/>
                <w:color w:val="000000"/>
                <w:sz w:val="21"/>
                <w:szCs w:val="21"/>
              </w:rPr>
              <w:t>海岸</w:t>
            </w:r>
          </w:p>
        </w:tc>
      </w:tr>
      <w:tr w:rsidR="00D46586" w14:paraId="4AD6C7DC" w14:textId="77777777" w:rsidTr="00D46586">
        <w:tc>
          <w:tcPr>
            <w:tcW w:w="664" w:type="pct"/>
          </w:tcPr>
          <w:p w14:paraId="2FF6332D"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eastAsiaTheme="majorEastAsia" w:cs="Times New Roman"/>
                <w:color w:val="000000"/>
                <w:sz w:val="21"/>
                <w:szCs w:val="21"/>
              </w:rPr>
              <w:t xml:space="preserve">Band </w:t>
            </w:r>
            <w:r>
              <w:rPr>
                <w:rFonts w:eastAsiaTheme="majorEastAsia" w:cs="Times New Roman" w:hint="eastAsia"/>
                <w:color w:val="000000"/>
                <w:sz w:val="21"/>
                <w:szCs w:val="21"/>
              </w:rPr>
              <w:t>4</w:t>
            </w:r>
          </w:p>
        </w:tc>
        <w:tc>
          <w:tcPr>
            <w:tcW w:w="1072" w:type="pct"/>
          </w:tcPr>
          <w:p w14:paraId="131622A3"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0.760-0.900</w:t>
            </w:r>
          </w:p>
        </w:tc>
        <w:tc>
          <w:tcPr>
            <w:tcW w:w="1127" w:type="pct"/>
          </w:tcPr>
          <w:p w14:paraId="533B8029"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30m</w:t>
            </w:r>
          </w:p>
        </w:tc>
        <w:tc>
          <w:tcPr>
            <w:tcW w:w="811" w:type="pct"/>
          </w:tcPr>
          <w:p w14:paraId="2CB08089"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NIR</w:t>
            </w:r>
          </w:p>
        </w:tc>
        <w:tc>
          <w:tcPr>
            <w:tcW w:w="1327" w:type="pct"/>
          </w:tcPr>
          <w:p w14:paraId="0A3FC0DE"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基色</w:t>
            </w:r>
            <w:r>
              <w:rPr>
                <w:rFonts w:asciiTheme="majorEastAsia" w:eastAsiaTheme="majorEastAsia" w:hAnsiTheme="majorEastAsia" w:cs="Times New Roman"/>
                <w:color w:val="000000"/>
                <w:sz w:val="21"/>
                <w:szCs w:val="21"/>
              </w:rPr>
              <w:t>/</w:t>
            </w:r>
            <w:r>
              <w:rPr>
                <w:rFonts w:asciiTheme="majorEastAsia" w:eastAsiaTheme="majorEastAsia" w:hAnsiTheme="majorEastAsia" w:cs="Times New Roman" w:hint="eastAsia"/>
                <w:color w:val="000000"/>
                <w:sz w:val="21"/>
                <w:szCs w:val="21"/>
              </w:rPr>
              <w:t>海岸</w:t>
            </w:r>
          </w:p>
        </w:tc>
      </w:tr>
      <w:tr w:rsidR="00D46586" w14:paraId="100ABAD0" w14:textId="77777777" w:rsidTr="00D46586">
        <w:tc>
          <w:tcPr>
            <w:tcW w:w="664" w:type="pct"/>
          </w:tcPr>
          <w:p w14:paraId="2CBE1A24"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eastAsiaTheme="majorEastAsia" w:cs="Times New Roman"/>
                <w:color w:val="000000"/>
                <w:sz w:val="21"/>
                <w:szCs w:val="21"/>
              </w:rPr>
              <w:t xml:space="preserve">Band </w:t>
            </w:r>
            <w:r>
              <w:rPr>
                <w:rFonts w:eastAsiaTheme="majorEastAsia" w:cs="Times New Roman" w:hint="eastAsia"/>
                <w:color w:val="000000"/>
                <w:sz w:val="21"/>
                <w:szCs w:val="21"/>
              </w:rPr>
              <w:t>5</w:t>
            </w:r>
          </w:p>
        </w:tc>
        <w:tc>
          <w:tcPr>
            <w:tcW w:w="1072" w:type="pct"/>
          </w:tcPr>
          <w:p w14:paraId="13FD9B0B"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1.550-1.750</w:t>
            </w:r>
          </w:p>
        </w:tc>
        <w:tc>
          <w:tcPr>
            <w:tcW w:w="1127" w:type="pct"/>
          </w:tcPr>
          <w:p w14:paraId="03319ECF"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30m</w:t>
            </w:r>
          </w:p>
        </w:tc>
        <w:tc>
          <w:tcPr>
            <w:tcW w:w="811" w:type="pct"/>
          </w:tcPr>
          <w:p w14:paraId="21A62C50"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SWIR1</w:t>
            </w:r>
          </w:p>
        </w:tc>
        <w:tc>
          <w:tcPr>
            <w:tcW w:w="1327" w:type="pct"/>
          </w:tcPr>
          <w:p w14:paraId="7EFECCFB"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植被</w:t>
            </w:r>
          </w:p>
        </w:tc>
      </w:tr>
      <w:tr w:rsidR="00D46586" w14:paraId="5B455BA9" w14:textId="77777777" w:rsidTr="00D46586">
        <w:trPr>
          <w:trHeight w:val="492"/>
        </w:trPr>
        <w:tc>
          <w:tcPr>
            <w:tcW w:w="664" w:type="pct"/>
          </w:tcPr>
          <w:p w14:paraId="06AD7A55"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eastAsiaTheme="majorEastAsia" w:cs="Times New Roman"/>
                <w:color w:val="000000"/>
                <w:sz w:val="21"/>
                <w:szCs w:val="21"/>
              </w:rPr>
              <w:t xml:space="preserve">Band </w:t>
            </w:r>
            <w:r>
              <w:rPr>
                <w:rFonts w:eastAsiaTheme="majorEastAsia" w:cs="Times New Roman" w:hint="eastAsia"/>
                <w:color w:val="000000"/>
                <w:sz w:val="21"/>
                <w:szCs w:val="21"/>
              </w:rPr>
              <w:t>7</w:t>
            </w:r>
          </w:p>
        </w:tc>
        <w:tc>
          <w:tcPr>
            <w:tcW w:w="1072" w:type="pct"/>
          </w:tcPr>
          <w:p w14:paraId="483ACE45"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2.080-2.350</w:t>
            </w:r>
          </w:p>
        </w:tc>
        <w:tc>
          <w:tcPr>
            <w:tcW w:w="1127" w:type="pct"/>
          </w:tcPr>
          <w:p w14:paraId="1307FA2C"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30m</w:t>
            </w:r>
          </w:p>
        </w:tc>
        <w:tc>
          <w:tcPr>
            <w:tcW w:w="811" w:type="pct"/>
          </w:tcPr>
          <w:p w14:paraId="341519F1"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SWIR2</w:t>
            </w:r>
          </w:p>
        </w:tc>
        <w:tc>
          <w:tcPr>
            <w:tcW w:w="1327" w:type="pct"/>
          </w:tcPr>
          <w:p w14:paraId="2890EF9E"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矿物</w:t>
            </w:r>
            <w:r>
              <w:rPr>
                <w:rFonts w:asciiTheme="majorEastAsia" w:eastAsiaTheme="majorEastAsia" w:hAnsiTheme="majorEastAsia" w:cs="Times New Roman"/>
                <w:color w:val="000000"/>
                <w:sz w:val="21"/>
                <w:szCs w:val="21"/>
              </w:rPr>
              <w:t>/</w:t>
            </w:r>
            <w:r>
              <w:rPr>
                <w:rFonts w:asciiTheme="majorEastAsia" w:eastAsiaTheme="majorEastAsia" w:hAnsiTheme="majorEastAsia" w:cs="Times New Roman" w:hint="eastAsia"/>
                <w:color w:val="000000"/>
                <w:sz w:val="21"/>
                <w:szCs w:val="21"/>
              </w:rPr>
              <w:t>干草</w:t>
            </w:r>
            <w:r>
              <w:rPr>
                <w:rFonts w:asciiTheme="majorEastAsia" w:eastAsiaTheme="majorEastAsia" w:hAnsiTheme="majorEastAsia" w:cs="Times New Roman"/>
                <w:color w:val="000000"/>
                <w:sz w:val="21"/>
                <w:szCs w:val="21"/>
              </w:rPr>
              <w:t>/</w:t>
            </w:r>
            <w:r>
              <w:rPr>
                <w:rFonts w:asciiTheme="majorEastAsia" w:eastAsiaTheme="majorEastAsia" w:hAnsiTheme="majorEastAsia" w:cs="Times New Roman" w:hint="eastAsia"/>
                <w:color w:val="000000"/>
                <w:sz w:val="21"/>
                <w:szCs w:val="21"/>
              </w:rPr>
              <w:t>无散射</w:t>
            </w:r>
          </w:p>
        </w:tc>
      </w:tr>
    </w:tbl>
    <w:p w14:paraId="0EDA4561" w14:textId="77777777" w:rsidR="00D46586" w:rsidRDefault="00000000">
      <w:pPr>
        <w:ind w:left="480"/>
        <w:rPr>
          <w:rFonts w:eastAsiaTheme="majorEastAsia" w:cs="Times New Roman"/>
          <w:color w:val="000000"/>
        </w:rPr>
      </w:pPr>
      <w:r>
        <w:rPr>
          <w:rFonts w:eastAsiaTheme="majorEastAsia" w:cs="Times New Roman"/>
          <w:color w:val="000000"/>
        </w:rPr>
        <w:t>Landsat</w:t>
      </w:r>
      <w:r>
        <w:rPr>
          <w:rFonts w:eastAsiaTheme="majorEastAsia" w:cs="Times New Roman" w:hint="eastAsia"/>
          <w:color w:val="000000"/>
        </w:rPr>
        <w:t xml:space="preserve"> 8</w:t>
      </w:r>
      <w:r>
        <w:rPr>
          <w:rFonts w:eastAsiaTheme="majorEastAsia" w:cs="Times New Roman" w:hint="eastAsia"/>
          <w:color w:val="000000"/>
        </w:rPr>
        <w:t>卫星数据详细信息如下表</w:t>
      </w:r>
      <w:r>
        <w:rPr>
          <w:rFonts w:eastAsiaTheme="majorEastAsia" w:cs="Times New Roman" w:hint="eastAsia"/>
          <w:color w:val="000000"/>
        </w:rPr>
        <w:t>3.4</w:t>
      </w:r>
      <w:r>
        <w:rPr>
          <w:rFonts w:eastAsiaTheme="majorEastAsia" w:cs="Times New Roman" w:hint="eastAsia"/>
          <w:color w:val="000000"/>
        </w:rPr>
        <w:t>：</w:t>
      </w:r>
    </w:p>
    <w:p w14:paraId="66A44BB0"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 xml:space="preserve">表3.4 </w:t>
      </w:r>
      <w:r>
        <w:rPr>
          <w:rFonts w:eastAsiaTheme="majorEastAsia" w:cs="Times New Roman"/>
          <w:color w:val="000000"/>
          <w:sz w:val="21"/>
          <w:szCs w:val="21"/>
        </w:rPr>
        <w:t>Landsat</w:t>
      </w:r>
      <w:r>
        <w:rPr>
          <w:rFonts w:eastAsiaTheme="majorEastAsia" w:cs="Times New Roman" w:hint="eastAsia"/>
          <w:color w:val="000000"/>
          <w:sz w:val="21"/>
          <w:szCs w:val="21"/>
        </w:rPr>
        <w:t xml:space="preserve"> 8</w:t>
      </w:r>
      <w:r>
        <w:rPr>
          <w:rFonts w:asciiTheme="majorEastAsia" w:eastAsiaTheme="majorEastAsia" w:hAnsiTheme="majorEastAsia" w:cs="Times New Roman" w:hint="eastAsia"/>
          <w:color w:val="000000"/>
          <w:sz w:val="21"/>
          <w:szCs w:val="21"/>
        </w:rPr>
        <w:t>卫星数据介绍</w:t>
      </w:r>
    </w:p>
    <w:tbl>
      <w:tblPr>
        <w:tblStyle w:val="afe"/>
        <w:tblW w:w="5000" w:type="pct"/>
        <w:tblCellMar>
          <w:left w:w="0" w:type="dxa"/>
          <w:right w:w="0" w:type="dxa"/>
        </w:tblCellMar>
        <w:tblLook w:val="04A0" w:firstRow="1" w:lastRow="0" w:firstColumn="1" w:lastColumn="0" w:noHBand="0" w:noVBand="1"/>
      </w:tblPr>
      <w:tblGrid>
        <w:gridCol w:w="1103"/>
        <w:gridCol w:w="1781"/>
        <w:gridCol w:w="1872"/>
        <w:gridCol w:w="1347"/>
        <w:gridCol w:w="2203"/>
      </w:tblGrid>
      <w:tr w:rsidR="00D46586" w14:paraId="69E60AF2" w14:textId="77777777" w:rsidTr="00D46586">
        <w:trPr>
          <w:cnfStyle w:val="100000000000" w:firstRow="1" w:lastRow="0" w:firstColumn="0" w:lastColumn="0" w:oddVBand="0" w:evenVBand="0" w:oddHBand="0" w:evenHBand="0" w:firstRowFirstColumn="0" w:firstRowLastColumn="0" w:lastRowFirstColumn="0" w:lastRowLastColumn="0"/>
          <w:tblHeader/>
        </w:trPr>
        <w:tc>
          <w:tcPr>
            <w:tcW w:w="664" w:type="pct"/>
          </w:tcPr>
          <w:p w14:paraId="47F89AA5"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波段</w:t>
            </w:r>
          </w:p>
        </w:tc>
        <w:tc>
          <w:tcPr>
            <w:tcW w:w="1072" w:type="pct"/>
          </w:tcPr>
          <w:p w14:paraId="27518183"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波长范围</w:t>
            </w:r>
            <w:r>
              <w:rPr>
                <w:rFonts w:eastAsiaTheme="majorEastAsia" w:cs="Times New Roman"/>
                <w:color w:val="000000"/>
                <w:sz w:val="21"/>
                <w:szCs w:val="21"/>
              </w:rPr>
              <w:t>(</w:t>
            </w:r>
            <w:r>
              <w:rPr>
                <w:rFonts w:cs="Times New Roman"/>
                <w:color w:val="000000"/>
                <w:sz w:val="21"/>
                <w:szCs w:val="21"/>
              </w:rPr>
              <w:t>µm)</w:t>
            </w:r>
          </w:p>
        </w:tc>
        <w:tc>
          <w:tcPr>
            <w:tcW w:w="1127" w:type="pct"/>
          </w:tcPr>
          <w:p w14:paraId="7CE242B2"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空间分辨率</w:t>
            </w:r>
            <w:r>
              <w:rPr>
                <w:rFonts w:ascii="TimesNewRoman" w:hAnsi="TimesNewRoman"/>
                <w:color w:val="000000"/>
                <w:sz w:val="21"/>
                <w:szCs w:val="21"/>
              </w:rPr>
              <w:t>(m)</w:t>
            </w:r>
          </w:p>
        </w:tc>
        <w:tc>
          <w:tcPr>
            <w:tcW w:w="811" w:type="pct"/>
          </w:tcPr>
          <w:p w14:paraId="0F25AB24"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波段别称</w:t>
            </w:r>
          </w:p>
        </w:tc>
        <w:tc>
          <w:tcPr>
            <w:tcW w:w="1327" w:type="pct"/>
          </w:tcPr>
          <w:p w14:paraId="33233CF3"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波段用途</w:t>
            </w:r>
          </w:p>
        </w:tc>
      </w:tr>
      <w:tr w:rsidR="00D46586" w14:paraId="0B66F043" w14:textId="77777777" w:rsidTr="00D46586">
        <w:tc>
          <w:tcPr>
            <w:tcW w:w="664" w:type="pct"/>
          </w:tcPr>
          <w:p w14:paraId="393EC97F"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Band 1</w:t>
            </w:r>
          </w:p>
        </w:tc>
        <w:tc>
          <w:tcPr>
            <w:tcW w:w="1072" w:type="pct"/>
          </w:tcPr>
          <w:p w14:paraId="38C4CFF9"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0.433-0.453</w:t>
            </w:r>
          </w:p>
        </w:tc>
        <w:tc>
          <w:tcPr>
            <w:tcW w:w="1127" w:type="pct"/>
          </w:tcPr>
          <w:p w14:paraId="716B5E31"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30m</w:t>
            </w:r>
          </w:p>
        </w:tc>
        <w:tc>
          <w:tcPr>
            <w:tcW w:w="811" w:type="pct"/>
          </w:tcPr>
          <w:p w14:paraId="3F097CBB"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Coastal</w:t>
            </w:r>
          </w:p>
        </w:tc>
        <w:tc>
          <w:tcPr>
            <w:tcW w:w="1327" w:type="pct"/>
          </w:tcPr>
          <w:p w14:paraId="6A02E062"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海岸区气溶胶</w:t>
            </w:r>
          </w:p>
        </w:tc>
      </w:tr>
      <w:tr w:rsidR="00D46586" w14:paraId="7AA0F255" w14:textId="77777777" w:rsidTr="00D46586">
        <w:tc>
          <w:tcPr>
            <w:tcW w:w="664" w:type="pct"/>
          </w:tcPr>
          <w:p w14:paraId="071BF9F5"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eastAsiaTheme="majorEastAsia" w:cs="Times New Roman"/>
                <w:color w:val="000000"/>
                <w:sz w:val="21"/>
                <w:szCs w:val="21"/>
              </w:rPr>
              <w:t xml:space="preserve">Band </w:t>
            </w:r>
            <w:r>
              <w:rPr>
                <w:rFonts w:eastAsiaTheme="majorEastAsia" w:cs="Times New Roman" w:hint="eastAsia"/>
                <w:color w:val="000000"/>
                <w:sz w:val="21"/>
                <w:szCs w:val="21"/>
              </w:rPr>
              <w:t>2</w:t>
            </w:r>
          </w:p>
        </w:tc>
        <w:tc>
          <w:tcPr>
            <w:tcW w:w="1072" w:type="pct"/>
          </w:tcPr>
          <w:p w14:paraId="5750E7A5"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0.450-0.515</w:t>
            </w:r>
          </w:p>
        </w:tc>
        <w:tc>
          <w:tcPr>
            <w:tcW w:w="1127" w:type="pct"/>
          </w:tcPr>
          <w:p w14:paraId="55D39542"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30m</w:t>
            </w:r>
          </w:p>
        </w:tc>
        <w:tc>
          <w:tcPr>
            <w:tcW w:w="811" w:type="pct"/>
          </w:tcPr>
          <w:p w14:paraId="3111E988"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Blue</w:t>
            </w:r>
          </w:p>
        </w:tc>
        <w:tc>
          <w:tcPr>
            <w:tcW w:w="1327" w:type="pct"/>
          </w:tcPr>
          <w:p w14:paraId="1738D71B"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基色</w:t>
            </w:r>
            <w:r>
              <w:rPr>
                <w:rFonts w:asciiTheme="majorEastAsia" w:eastAsiaTheme="majorEastAsia" w:hAnsiTheme="majorEastAsia" w:cs="Times New Roman"/>
                <w:color w:val="000000"/>
                <w:sz w:val="21"/>
                <w:szCs w:val="21"/>
              </w:rPr>
              <w:t>/</w:t>
            </w:r>
            <w:r>
              <w:rPr>
                <w:rFonts w:asciiTheme="majorEastAsia" w:eastAsiaTheme="majorEastAsia" w:hAnsiTheme="majorEastAsia" w:cs="Times New Roman" w:hint="eastAsia"/>
                <w:color w:val="000000"/>
                <w:sz w:val="21"/>
                <w:szCs w:val="21"/>
              </w:rPr>
              <w:t>散射</w:t>
            </w:r>
            <w:r>
              <w:rPr>
                <w:rFonts w:asciiTheme="majorEastAsia" w:eastAsiaTheme="majorEastAsia" w:hAnsiTheme="majorEastAsia" w:cs="Times New Roman"/>
                <w:color w:val="000000"/>
                <w:sz w:val="21"/>
                <w:szCs w:val="21"/>
              </w:rPr>
              <w:t>/</w:t>
            </w:r>
            <w:r>
              <w:rPr>
                <w:rFonts w:asciiTheme="majorEastAsia" w:eastAsiaTheme="majorEastAsia" w:hAnsiTheme="majorEastAsia" w:cs="Times New Roman" w:hint="eastAsia"/>
                <w:color w:val="000000"/>
                <w:sz w:val="21"/>
                <w:szCs w:val="21"/>
              </w:rPr>
              <w:t>海岸</w:t>
            </w:r>
          </w:p>
        </w:tc>
      </w:tr>
      <w:tr w:rsidR="00D46586" w14:paraId="23034642" w14:textId="77777777" w:rsidTr="00D46586">
        <w:tc>
          <w:tcPr>
            <w:tcW w:w="664" w:type="pct"/>
          </w:tcPr>
          <w:p w14:paraId="0B7DAAAE"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eastAsiaTheme="majorEastAsia" w:cs="Times New Roman"/>
                <w:color w:val="000000"/>
                <w:sz w:val="21"/>
                <w:szCs w:val="21"/>
              </w:rPr>
              <w:t xml:space="preserve">Band </w:t>
            </w:r>
            <w:r>
              <w:rPr>
                <w:rFonts w:eastAsiaTheme="majorEastAsia" w:cs="Times New Roman" w:hint="eastAsia"/>
                <w:color w:val="000000"/>
                <w:sz w:val="21"/>
                <w:szCs w:val="21"/>
              </w:rPr>
              <w:t>3</w:t>
            </w:r>
          </w:p>
        </w:tc>
        <w:tc>
          <w:tcPr>
            <w:tcW w:w="1072" w:type="pct"/>
          </w:tcPr>
          <w:p w14:paraId="6F099C2A"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0.525-0.600</w:t>
            </w:r>
          </w:p>
        </w:tc>
        <w:tc>
          <w:tcPr>
            <w:tcW w:w="1127" w:type="pct"/>
          </w:tcPr>
          <w:p w14:paraId="5EB8F7FC"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30m</w:t>
            </w:r>
          </w:p>
        </w:tc>
        <w:tc>
          <w:tcPr>
            <w:tcW w:w="811" w:type="pct"/>
          </w:tcPr>
          <w:p w14:paraId="790E5AC8"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Green</w:t>
            </w:r>
          </w:p>
        </w:tc>
        <w:tc>
          <w:tcPr>
            <w:tcW w:w="1327" w:type="pct"/>
          </w:tcPr>
          <w:p w14:paraId="36BD9B80"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基色</w:t>
            </w:r>
            <w:r>
              <w:rPr>
                <w:rFonts w:asciiTheme="majorEastAsia" w:eastAsiaTheme="majorEastAsia" w:hAnsiTheme="majorEastAsia" w:cs="Times New Roman"/>
                <w:color w:val="000000"/>
                <w:sz w:val="21"/>
                <w:szCs w:val="21"/>
              </w:rPr>
              <w:t>/</w:t>
            </w:r>
            <w:r>
              <w:rPr>
                <w:rFonts w:asciiTheme="majorEastAsia" w:eastAsiaTheme="majorEastAsia" w:hAnsiTheme="majorEastAsia" w:cs="Times New Roman" w:hint="eastAsia"/>
                <w:color w:val="000000"/>
                <w:sz w:val="21"/>
                <w:szCs w:val="21"/>
              </w:rPr>
              <w:t>海岸</w:t>
            </w:r>
          </w:p>
        </w:tc>
      </w:tr>
      <w:tr w:rsidR="00D46586" w14:paraId="63D51C86" w14:textId="77777777" w:rsidTr="00D46586">
        <w:tc>
          <w:tcPr>
            <w:tcW w:w="664" w:type="pct"/>
          </w:tcPr>
          <w:p w14:paraId="4FAB13C3"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eastAsiaTheme="majorEastAsia" w:cs="Times New Roman"/>
                <w:color w:val="000000"/>
                <w:sz w:val="21"/>
                <w:szCs w:val="21"/>
              </w:rPr>
              <w:t xml:space="preserve">Band </w:t>
            </w:r>
            <w:r>
              <w:rPr>
                <w:rFonts w:eastAsiaTheme="majorEastAsia" w:cs="Times New Roman" w:hint="eastAsia"/>
                <w:color w:val="000000"/>
                <w:sz w:val="21"/>
                <w:szCs w:val="21"/>
              </w:rPr>
              <w:t>4</w:t>
            </w:r>
          </w:p>
        </w:tc>
        <w:tc>
          <w:tcPr>
            <w:tcW w:w="1072" w:type="pct"/>
          </w:tcPr>
          <w:p w14:paraId="71220C1C"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0.630-0.680</w:t>
            </w:r>
          </w:p>
        </w:tc>
        <w:tc>
          <w:tcPr>
            <w:tcW w:w="1127" w:type="pct"/>
          </w:tcPr>
          <w:p w14:paraId="42377A12"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30m</w:t>
            </w:r>
          </w:p>
        </w:tc>
        <w:tc>
          <w:tcPr>
            <w:tcW w:w="811" w:type="pct"/>
          </w:tcPr>
          <w:p w14:paraId="6552CD98"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Red</w:t>
            </w:r>
          </w:p>
        </w:tc>
        <w:tc>
          <w:tcPr>
            <w:tcW w:w="1327" w:type="pct"/>
          </w:tcPr>
          <w:p w14:paraId="34A61DE1"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基色</w:t>
            </w:r>
            <w:r>
              <w:rPr>
                <w:rFonts w:asciiTheme="majorEastAsia" w:eastAsiaTheme="majorEastAsia" w:hAnsiTheme="majorEastAsia" w:cs="Times New Roman"/>
                <w:color w:val="000000"/>
                <w:sz w:val="21"/>
                <w:szCs w:val="21"/>
              </w:rPr>
              <w:t>/</w:t>
            </w:r>
            <w:r>
              <w:rPr>
                <w:rFonts w:asciiTheme="majorEastAsia" w:eastAsiaTheme="majorEastAsia" w:hAnsiTheme="majorEastAsia" w:cs="Times New Roman" w:hint="eastAsia"/>
                <w:color w:val="000000"/>
                <w:sz w:val="21"/>
                <w:szCs w:val="21"/>
              </w:rPr>
              <w:t>海岸</w:t>
            </w:r>
          </w:p>
        </w:tc>
      </w:tr>
      <w:tr w:rsidR="00D46586" w14:paraId="7CF4AAE8" w14:textId="77777777" w:rsidTr="00D46586">
        <w:tc>
          <w:tcPr>
            <w:tcW w:w="664" w:type="pct"/>
          </w:tcPr>
          <w:p w14:paraId="01B42E14"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eastAsiaTheme="majorEastAsia" w:cs="Times New Roman"/>
                <w:color w:val="000000"/>
                <w:sz w:val="21"/>
                <w:szCs w:val="21"/>
              </w:rPr>
              <w:t xml:space="preserve">Band </w:t>
            </w:r>
            <w:r>
              <w:rPr>
                <w:rFonts w:eastAsiaTheme="majorEastAsia" w:cs="Times New Roman" w:hint="eastAsia"/>
                <w:color w:val="000000"/>
                <w:sz w:val="21"/>
                <w:szCs w:val="21"/>
              </w:rPr>
              <w:t>5</w:t>
            </w:r>
          </w:p>
        </w:tc>
        <w:tc>
          <w:tcPr>
            <w:tcW w:w="1072" w:type="pct"/>
          </w:tcPr>
          <w:p w14:paraId="7858703B"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0.845-0.885</w:t>
            </w:r>
          </w:p>
        </w:tc>
        <w:tc>
          <w:tcPr>
            <w:tcW w:w="1127" w:type="pct"/>
          </w:tcPr>
          <w:p w14:paraId="73D685C3"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30m</w:t>
            </w:r>
          </w:p>
        </w:tc>
        <w:tc>
          <w:tcPr>
            <w:tcW w:w="811" w:type="pct"/>
          </w:tcPr>
          <w:p w14:paraId="07D68434"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NIR</w:t>
            </w:r>
          </w:p>
        </w:tc>
        <w:tc>
          <w:tcPr>
            <w:tcW w:w="1327" w:type="pct"/>
          </w:tcPr>
          <w:p w14:paraId="4B9A63D4"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基色</w:t>
            </w:r>
            <w:r>
              <w:rPr>
                <w:rFonts w:asciiTheme="majorEastAsia" w:eastAsiaTheme="majorEastAsia" w:hAnsiTheme="majorEastAsia" w:cs="Times New Roman"/>
                <w:color w:val="000000"/>
                <w:sz w:val="21"/>
                <w:szCs w:val="21"/>
              </w:rPr>
              <w:t>/</w:t>
            </w:r>
            <w:r>
              <w:rPr>
                <w:rFonts w:asciiTheme="majorEastAsia" w:eastAsiaTheme="majorEastAsia" w:hAnsiTheme="majorEastAsia" w:cs="Times New Roman" w:hint="eastAsia"/>
                <w:color w:val="000000"/>
                <w:sz w:val="21"/>
                <w:szCs w:val="21"/>
              </w:rPr>
              <w:t>海岸</w:t>
            </w:r>
          </w:p>
        </w:tc>
      </w:tr>
      <w:tr w:rsidR="00D46586" w14:paraId="18A65D68" w14:textId="77777777" w:rsidTr="00D46586">
        <w:tc>
          <w:tcPr>
            <w:tcW w:w="664" w:type="pct"/>
          </w:tcPr>
          <w:p w14:paraId="514D7FE4"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eastAsiaTheme="majorEastAsia" w:cs="Times New Roman"/>
                <w:color w:val="000000"/>
                <w:sz w:val="21"/>
                <w:szCs w:val="21"/>
              </w:rPr>
              <w:t xml:space="preserve">Band </w:t>
            </w:r>
            <w:r>
              <w:rPr>
                <w:rFonts w:eastAsiaTheme="majorEastAsia" w:cs="Times New Roman" w:hint="eastAsia"/>
                <w:color w:val="000000"/>
                <w:sz w:val="21"/>
                <w:szCs w:val="21"/>
              </w:rPr>
              <w:t>6</w:t>
            </w:r>
          </w:p>
        </w:tc>
        <w:tc>
          <w:tcPr>
            <w:tcW w:w="1072" w:type="pct"/>
          </w:tcPr>
          <w:p w14:paraId="2530202D"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1.560-1.660</w:t>
            </w:r>
          </w:p>
        </w:tc>
        <w:tc>
          <w:tcPr>
            <w:tcW w:w="1127" w:type="pct"/>
          </w:tcPr>
          <w:p w14:paraId="424F29BA"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30m</w:t>
            </w:r>
          </w:p>
        </w:tc>
        <w:tc>
          <w:tcPr>
            <w:tcW w:w="811" w:type="pct"/>
          </w:tcPr>
          <w:p w14:paraId="72009411"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SWIR 1</w:t>
            </w:r>
          </w:p>
        </w:tc>
        <w:tc>
          <w:tcPr>
            <w:tcW w:w="1327" w:type="pct"/>
          </w:tcPr>
          <w:p w14:paraId="1B3D45AA"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植被</w:t>
            </w:r>
          </w:p>
        </w:tc>
      </w:tr>
      <w:tr w:rsidR="00D46586" w14:paraId="4D841C82" w14:textId="77777777" w:rsidTr="00D46586">
        <w:tc>
          <w:tcPr>
            <w:tcW w:w="664" w:type="pct"/>
          </w:tcPr>
          <w:p w14:paraId="415A1FAB"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 xml:space="preserve">Band </w:t>
            </w:r>
            <w:r>
              <w:rPr>
                <w:rFonts w:eastAsiaTheme="majorEastAsia" w:cs="Times New Roman" w:hint="eastAsia"/>
                <w:color w:val="000000"/>
                <w:sz w:val="21"/>
                <w:szCs w:val="21"/>
              </w:rPr>
              <w:t>7</w:t>
            </w:r>
          </w:p>
        </w:tc>
        <w:tc>
          <w:tcPr>
            <w:tcW w:w="1072" w:type="pct"/>
          </w:tcPr>
          <w:p w14:paraId="397DC880"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2.100-2.300</w:t>
            </w:r>
          </w:p>
        </w:tc>
        <w:tc>
          <w:tcPr>
            <w:tcW w:w="1127" w:type="pct"/>
          </w:tcPr>
          <w:p w14:paraId="2981A720"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30m</w:t>
            </w:r>
          </w:p>
        </w:tc>
        <w:tc>
          <w:tcPr>
            <w:tcW w:w="811" w:type="pct"/>
          </w:tcPr>
          <w:p w14:paraId="6DF53B2F"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 xml:space="preserve">SWIR </w:t>
            </w:r>
            <w:r>
              <w:rPr>
                <w:rFonts w:eastAsiaTheme="majorEastAsia" w:cs="Times New Roman" w:hint="eastAsia"/>
                <w:color w:val="000000"/>
                <w:sz w:val="21"/>
                <w:szCs w:val="21"/>
              </w:rPr>
              <w:t>2</w:t>
            </w:r>
          </w:p>
        </w:tc>
        <w:tc>
          <w:tcPr>
            <w:tcW w:w="1327" w:type="pct"/>
          </w:tcPr>
          <w:p w14:paraId="73EC5BA1"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矿物</w:t>
            </w:r>
            <w:r>
              <w:rPr>
                <w:rFonts w:asciiTheme="majorEastAsia" w:eastAsiaTheme="majorEastAsia" w:hAnsiTheme="majorEastAsia" w:cs="Times New Roman"/>
                <w:color w:val="000000"/>
                <w:sz w:val="21"/>
                <w:szCs w:val="21"/>
              </w:rPr>
              <w:t>/</w:t>
            </w:r>
            <w:r>
              <w:rPr>
                <w:rFonts w:asciiTheme="majorEastAsia" w:eastAsiaTheme="majorEastAsia" w:hAnsiTheme="majorEastAsia" w:cs="Times New Roman" w:hint="eastAsia"/>
                <w:color w:val="000000"/>
                <w:sz w:val="21"/>
                <w:szCs w:val="21"/>
              </w:rPr>
              <w:t>干草</w:t>
            </w:r>
            <w:r>
              <w:rPr>
                <w:rFonts w:asciiTheme="majorEastAsia" w:eastAsiaTheme="majorEastAsia" w:hAnsiTheme="majorEastAsia" w:cs="Times New Roman"/>
                <w:color w:val="000000"/>
                <w:sz w:val="21"/>
                <w:szCs w:val="21"/>
              </w:rPr>
              <w:t>/</w:t>
            </w:r>
            <w:r>
              <w:rPr>
                <w:rFonts w:asciiTheme="majorEastAsia" w:eastAsiaTheme="majorEastAsia" w:hAnsiTheme="majorEastAsia" w:cs="Times New Roman" w:hint="eastAsia"/>
                <w:color w:val="000000"/>
                <w:sz w:val="21"/>
                <w:szCs w:val="21"/>
              </w:rPr>
              <w:t>无散射</w:t>
            </w:r>
          </w:p>
        </w:tc>
      </w:tr>
      <w:tr w:rsidR="00D46586" w14:paraId="2B169BE6" w14:textId="77777777" w:rsidTr="00D46586">
        <w:trPr>
          <w:trHeight w:val="180"/>
        </w:trPr>
        <w:tc>
          <w:tcPr>
            <w:tcW w:w="664" w:type="pct"/>
          </w:tcPr>
          <w:p w14:paraId="60468C27"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 xml:space="preserve">Band </w:t>
            </w:r>
            <w:r>
              <w:rPr>
                <w:rFonts w:eastAsiaTheme="majorEastAsia" w:cs="Times New Roman" w:hint="eastAsia"/>
                <w:color w:val="000000"/>
                <w:sz w:val="21"/>
                <w:szCs w:val="21"/>
              </w:rPr>
              <w:t>8</w:t>
            </w:r>
          </w:p>
        </w:tc>
        <w:tc>
          <w:tcPr>
            <w:tcW w:w="1072" w:type="pct"/>
          </w:tcPr>
          <w:p w14:paraId="0D7BA7B6"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0.500-0.680</w:t>
            </w:r>
          </w:p>
        </w:tc>
        <w:tc>
          <w:tcPr>
            <w:tcW w:w="1127" w:type="pct"/>
          </w:tcPr>
          <w:p w14:paraId="5BDDA80A" w14:textId="77777777" w:rsidR="00D46586" w:rsidRDefault="00000000">
            <w:pPr>
              <w:ind w:left="480"/>
              <w:jc w:val="center"/>
              <w:rPr>
                <w:rFonts w:eastAsiaTheme="majorEastAsia" w:cs="Times New Roman"/>
                <w:color w:val="000000"/>
                <w:sz w:val="21"/>
                <w:szCs w:val="21"/>
              </w:rPr>
            </w:pPr>
            <w:r>
              <w:rPr>
                <w:rFonts w:eastAsiaTheme="majorEastAsia" w:cs="Times New Roman" w:hint="eastAsia"/>
                <w:color w:val="000000"/>
                <w:sz w:val="21"/>
                <w:szCs w:val="21"/>
              </w:rPr>
              <w:t>15</w:t>
            </w:r>
            <w:r>
              <w:rPr>
                <w:rFonts w:eastAsiaTheme="majorEastAsia" w:cs="Times New Roman"/>
                <w:color w:val="000000"/>
                <w:sz w:val="21"/>
                <w:szCs w:val="21"/>
              </w:rPr>
              <w:t>m</w:t>
            </w:r>
          </w:p>
        </w:tc>
        <w:tc>
          <w:tcPr>
            <w:tcW w:w="811" w:type="pct"/>
          </w:tcPr>
          <w:p w14:paraId="618466F1"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Pan</w:t>
            </w:r>
          </w:p>
        </w:tc>
        <w:tc>
          <w:tcPr>
            <w:tcW w:w="1327" w:type="pct"/>
          </w:tcPr>
          <w:p w14:paraId="2F6E0730"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图像锐化</w:t>
            </w:r>
          </w:p>
        </w:tc>
      </w:tr>
      <w:tr w:rsidR="00D46586" w14:paraId="711E7081" w14:textId="77777777" w:rsidTr="00D46586">
        <w:tc>
          <w:tcPr>
            <w:tcW w:w="664" w:type="pct"/>
          </w:tcPr>
          <w:p w14:paraId="1D6789C5"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 xml:space="preserve">Band </w:t>
            </w:r>
            <w:r>
              <w:rPr>
                <w:rFonts w:eastAsiaTheme="majorEastAsia" w:cs="Times New Roman" w:hint="eastAsia"/>
                <w:color w:val="000000"/>
                <w:sz w:val="21"/>
                <w:szCs w:val="21"/>
              </w:rPr>
              <w:t>9</w:t>
            </w:r>
          </w:p>
        </w:tc>
        <w:tc>
          <w:tcPr>
            <w:tcW w:w="1072" w:type="pct"/>
          </w:tcPr>
          <w:p w14:paraId="281CFB6C"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1.360-1.390</w:t>
            </w:r>
          </w:p>
        </w:tc>
        <w:tc>
          <w:tcPr>
            <w:tcW w:w="1127" w:type="pct"/>
          </w:tcPr>
          <w:p w14:paraId="7AE62231"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30m</w:t>
            </w:r>
          </w:p>
        </w:tc>
        <w:tc>
          <w:tcPr>
            <w:tcW w:w="811" w:type="pct"/>
          </w:tcPr>
          <w:p w14:paraId="69BAA856" w14:textId="77777777" w:rsidR="00D46586" w:rsidRDefault="00000000">
            <w:pPr>
              <w:ind w:left="480"/>
              <w:jc w:val="center"/>
              <w:rPr>
                <w:rFonts w:eastAsiaTheme="majorEastAsia" w:cs="Times New Roman"/>
                <w:color w:val="000000"/>
                <w:sz w:val="21"/>
                <w:szCs w:val="21"/>
              </w:rPr>
            </w:pPr>
            <w:r>
              <w:rPr>
                <w:rFonts w:eastAsiaTheme="majorEastAsia" w:cs="Times New Roman"/>
                <w:color w:val="000000"/>
                <w:sz w:val="21"/>
                <w:szCs w:val="21"/>
              </w:rPr>
              <w:t>Cirrus</w:t>
            </w:r>
          </w:p>
        </w:tc>
        <w:tc>
          <w:tcPr>
            <w:tcW w:w="1327" w:type="pct"/>
          </w:tcPr>
          <w:p w14:paraId="38D8D2DE" w14:textId="77777777" w:rsidR="00D46586" w:rsidRDefault="00000000">
            <w:pPr>
              <w:ind w:left="480"/>
              <w:jc w:val="center"/>
              <w:rPr>
                <w:rFonts w:asciiTheme="majorEastAsia" w:eastAsiaTheme="majorEastAsia" w:hAnsiTheme="majorEastAsia" w:cs="Times New Roman" w:hint="eastAsia"/>
                <w:color w:val="000000"/>
                <w:sz w:val="21"/>
                <w:szCs w:val="21"/>
              </w:rPr>
            </w:pPr>
            <w:r>
              <w:rPr>
                <w:rFonts w:asciiTheme="majorEastAsia" w:eastAsiaTheme="majorEastAsia" w:hAnsiTheme="majorEastAsia" w:cs="Times New Roman" w:hint="eastAsia"/>
                <w:color w:val="000000"/>
                <w:sz w:val="21"/>
                <w:szCs w:val="21"/>
              </w:rPr>
              <w:t>卷云测定</w:t>
            </w:r>
          </w:p>
        </w:tc>
      </w:tr>
    </w:tbl>
    <w:p w14:paraId="37CEE73F" w14:textId="77777777" w:rsidR="00D46586" w:rsidRDefault="00000000">
      <w:pPr>
        <w:pStyle w:val="a3"/>
        <w:ind w:left="480" w:firstLine="480"/>
        <w:rPr>
          <w:rFonts w:cs="Times New Roman"/>
        </w:rPr>
      </w:pPr>
      <w:r>
        <w:rPr>
          <w:rFonts w:cs="Times New Roman" w:hint="eastAsia"/>
        </w:rPr>
        <w:t>本文实验主要使用</w:t>
      </w:r>
      <w:r>
        <w:rPr>
          <w:rFonts w:cs="Times New Roman" w:hint="eastAsia"/>
        </w:rPr>
        <w:t>ENVI5.6</w:t>
      </w:r>
      <w:r>
        <w:rPr>
          <w:rFonts w:cs="Times New Roman" w:hint="eastAsia"/>
        </w:rPr>
        <w:t>软件，本研究采用</w:t>
      </w:r>
      <w:r>
        <w:rPr>
          <w:rFonts w:cs="Times New Roman" w:hint="eastAsia"/>
        </w:rPr>
        <w:t>ENVI5.6</w:t>
      </w:r>
      <w:r>
        <w:rPr>
          <w:rFonts w:cs="Times New Roman" w:hint="eastAsia"/>
        </w:rPr>
        <w:t>遥感处理平台，该软件集成</w:t>
      </w:r>
      <w:r>
        <w:rPr>
          <w:rFonts w:cs="Times New Roman" w:hint="eastAsia"/>
        </w:rPr>
        <w:t>ArcGIS</w:t>
      </w:r>
      <w:r>
        <w:rPr>
          <w:rFonts w:cs="Times New Roman" w:hint="eastAsia"/>
        </w:rPr>
        <w:t>功能，具备影像定标、镶嵌、分类等完整处理流程。同时运用</w:t>
      </w:r>
      <w:r>
        <w:rPr>
          <w:rFonts w:cs="Times New Roman" w:hint="eastAsia"/>
        </w:rPr>
        <w:t>ArcGIS</w:t>
      </w:r>
      <w:r>
        <w:rPr>
          <w:rFonts w:cs="Times New Roman" w:hint="eastAsia"/>
        </w:rPr>
        <w:t>的</w:t>
      </w:r>
      <w:r>
        <w:rPr>
          <w:rFonts w:cs="Times New Roman" w:hint="eastAsia"/>
        </w:rPr>
        <w:t>ArcMAP10.8</w:t>
      </w:r>
      <w:r>
        <w:rPr>
          <w:rFonts w:cs="Times New Roman" w:hint="eastAsia"/>
        </w:rPr>
        <w:t>组件进行空间分析，实现数据编辑、查询及地图制作等功能。</w:t>
      </w:r>
    </w:p>
    <w:p w14:paraId="178A2266" w14:textId="77777777" w:rsidR="00D46586" w:rsidRDefault="00000000">
      <w:pPr>
        <w:pStyle w:val="2"/>
        <w:spacing w:before="156" w:after="156"/>
        <w:ind w:left="480"/>
      </w:pPr>
      <w:bookmarkStart w:id="120" w:name="_Toc230693494"/>
      <w:bookmarkStart w:id="121" w:name="_Toc5809"/>
      <w:bookmarkStart w:id="122" w:name="_Toc199366295"/>
      <w:bookmarkStart w:id="123" w:name="_Toc230815672"/>
      <w:r>
        <w:rPr>
          <w:rFonts w:hint="eastAsia"/>
        </w:rPr>
        <w:t xml:space="preserve">3.4 </w:t>
      </w:r>
      <w:r>
        <w:rPr>
          <w:rFonts w:hint="eastAsia"/>
        </w:rPr>
        <w:t>技术路线</w:t>
      </w:r>
      <w:bookmarkEnd w:id="120"/>
      <w:bookmarkEnd w:id="121"/>
      <w:bookmarkEnd w:id="122"/>
      <w:bookmarkEnd w:id="123"/>
    </w:p>
    <w:p w14:paraId="2956539C" w14:textId="77777777" w:rsidR="00D46586" w:rsidRDefault="00000000">
      <w:pPr>
        <w:ind w:left="480"/>
      </w:pPr>
      <w:r>
        <w:rPr>
          <w:rFonts w:hint="eastAsia"/>
        </w:rPr>
        <w:t>本研究的技术路线如</w:t>
      </w:r>
      <w:r>
        <w:fldChar w:fldCharType="begin"/>
      </w:r>
      <w:r>
        <w:instrText xml:space="preserve"> </w:instrText>
      </w:r>
      <w:r>
        <w:rPr>
          <w:rFonts w:hint="eastAsia"/>
        </w:rPr>
        <w:instrText>REF _Ref230788661 \h</w:instrText>
      </w:r>
      <w:r>
        <w:instrText xml:space="preserve"> </w:instrText>
      </w:r>
      <w:r>
        <w:fldChar w:fldCharType="separate"/>
      </w:r>
      <w:r>
        <w:rPr>
          <w:rFonts w:hint="eastAsia"/>
        </w:rPr>
        <w:t>图</w:t>
      </w:r>
      <w:r>
        <w:rPr>
          <w:rFonts w:hint="eastAsia"/>
        </w:rPr>
        <w:t xml:space="preserve">3- </w:t>
      </w:r>
      <w:r>
        <w:t>2</w:t>
      </w:r>
      <w:r>
        <w:rPr>
          <w:rFonts w:hint="eastAsia"/>
        </w:rPr>
        <w:t>技术路线图</w:t>
      </w:r>
      <w:r>
        <w:fldChar w:fldCharType="end"/>
      </w:r>
      <w:r>
        <w:rPr>
          <w:rFonts w:hint="eastAsia"/>
        </w:rPr>
        <w:t>所示。技术路线大致可以分为以下几个步骤：</w:t>
      </w:r>
    </w:p>
    <w:p w14:paraId="6FD2561F" w14:textId="77777777" w:rsidR="00D46586" w:rsidRDefault="00000000">
      <w:pPr>
        <w:ind w:left="480"/>
      </w:pPr>
      <w:r>
        <w:rPr>
          <w:rFonts w:hint="eastAsia"/>
        </w:rPr>
        <w:t>（</w:t>
      </w:r>
      <w:r>
        <w:rPr>
          <w:rFonts w:hint="eastAsia"/>
        </w:rPr>
        <w:t>1</w:t>
      </w:r>
      <w:r>
        <w:rPr>
          <w:rFonts w:hint="eastAsia"/>
        </w:rPr>
        <w:t>）影像预处理（辐射校正、几何校正及研究区裁剪）；</w:t>
      </w:r>
    </w:p>
    <w:p w14:paraId="733EC3EB" w14:textId="77777777" w:rsidR="00D46586" w:rsidRDefault="00000000">
      <w:pPr>
        <w:ind w:left="480"/>
      </w:pPr>
      <w:r>
        <w:rPr>
          <w:rFonts w:hint="eastAsia"/>
        </w:rPr>
        <w:t>（</w:t>
      </w:r>
      <w:r>
        <w:rPr>
          <w:rFonts w:hint="eastAsia"/>
        </w:rPr>
        <w:t>2</w:t>
      </w:r>
      <w:r>
        <w:rPr>
          <w:rFonts w:hint="eastAsia"/>
        </w:rPr>
        <w:t>）基于公式计算四个生态指标并合成影像，进行主成分变换；</w:t>
      </w:r>
    </w:p>
    <w:p w14:paraId="49EEF480" w14:textId="77777777" w:rsidR="00D46586" w:rsidRDefault="00000000">
      <w:pPr>
        <w:ind w:left="480"/>
      </w:pPr>
      <w:r>
        <w:rPr>
          <w:rFonts w:hint="eastAsia"/>
        </w:rPr>
        <w:t>（</w:t>
      </w:r>
      <w:r>
        <w:rPr>
          <w:rFonts w:hint="eastAsia"/>
        </w:rPr>
        <w:t>3</w:t>
      </w:r>
      <w:r>
        <w:rPr>
          <w:rFonts w:hint="eastAsia"/>
        </w:rPr>
        <w:t>）依据评价指标统计分析，结合区域特征开展生态评价；</w:t>
      </w:r>
    </w:p>
    <w:p w14:paraId="6F269C27" w14:textId="77777777" w:rsidR="00D46586" w:rsidRDefault="00000000">
      <w:pPr>
        <w:ind w:left="480"/>
      </w:pPr>
      <w:r>
        <w:rPr>
          <w:rFonts w:hint="eastAsia"/>
        </w:rPr>
        <w:lastRenderedPageBreak/>
        <w:t>（</w:t>
      </w:r>
      <w:r>
        <w:rPr>
          <w:rFonts w:hint="eastAsia"/>
        </w:rPr>
        <w:t>4</w:t>
      </w:r>
      <w:r>
        <w:rPr>
          <w:rFonts w:hint="eastAsia"/>
        </w:rPr>
        <w:t>）生成专题成果图。</w:t>
      </w:r>
    </w:p>
    <w:p w14:paraId="37417336" w14:textId="77777777" w:rsidR="00D46586" w:rsidRDefault="00000000">
      <w:pPr>
        <w:keepNext/>
        <w:spacing w:afterLines="50" w:after="156"/>
        <w:ind w:left="480"/>
        <w:jc w:val="center"/>
      </w:pPr>
      <w:r>
        <w:rPr>
          <w:noProof/>
        </w:rPr>
        <w:drawing>
          <wp:inline distT="0" distB="0" distL="114300" distR="114300" wp14:anchorId="12D2A76E" wp14:editId="366DE980">
            <wp:extent cx="4846955" cy="4522470"/>
            <wp:effectExtent l="0" t="0" r="1460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tretch>
                      <a:fillRect/>
                    </a:stretch>
                  </pic:blipFill>
                  <pic:spPr>
                    <a:xfrm>
                      <a:off x="0" y="0"/>
                      <a:ext cx="4846955" cy="4522470"/>
                    </a:xfrm>
                    <a:prstGeom prst="rect">
                      <a:avLst/>
                    </a:prstGeom>
                    <a:noFill/>
                    <a:ln>
                      <a:noFill/>
                    </a:ln>
                  </pic:spPr>
                </pic:pic>
              </a:graphicData>
            </a:graphic>
          </wp:inline>
        </w:drawing>
      </w:r>
    </w:p>
    <w:p w14:paraId="64EDBFF2" w14:textId="77777777" w:rsidR="00D46586" w:rsidRDefault="00000000">
      <w:pPr>
        <w:pStyle w:val="a5"/>
        <w:ind w:left="480"/>
        <w:jc w:val="center"/>
      </w:pPr>
      <w:bookmarkStart w:id="124" w:name="_Ref230788661"/>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2</w:t>
      </w:r>
      <w:r>
        <w:fldChar w:fldCharType="end"/>
      </w:r>
      <w:r>
        <w:rPr>
          <w:rFonts w:hint="eastAsia"/>
        </w:rPr>
        <w:t>技术路线图</w:t>
      </w:r>
      <w:bookmarkEnd w:id="124"/>
    </w:p>
    <w:p w14:paraId="0FE9A53F" w14:textId="77777777" w:rsidR="00D46586" w:rsidRDefault="00000000">
      <w:pPr>
        <w:pStyle w:val="2"/>
        <w:spacing w:before="156" w:after="156"/>
        <w:ind w:left="480"/>
      </w:pPr>
      <w:bookmarkStart w:id="125" w:name="_Toc230693495"/>
      <w:bookmarkStart w:id="126" w:name="_Toc17418"/>
      <w:bookmarkStart w:id="127" w:name="_Toc199366296"/>
      <w:bookmarkStart w:id="128" w:name="_Toc230815673"/>
      <w:r>
        <w:rPr>
          <w:rFonts w:hint="eastAsia"/>
        </w:rPr>
        <w:t xml:space="preserve">3.5 </w:t>
      </w:r>
      <w:r>
        <w:rPr>
          <w:rFonts w:hint="eastAsia"/>
        </w:rPr>
        <w:t>遥感数据处理及计算方法</w:t>
      </w:r>
      <w:bookmarkEnd w:id="125"/>
      <w:bookmarkEnd w:id="126"/>
      <w:bookmarkEnd w:id="127"/>
      <w:bookmarkEnd w:id="128"/>
    </w:p>
    <w:p w14:paraId="11751ECE" w14:textId="77777777" w:rsidR="00D46586" w:rsidRDefault="00000000">
      <w:pPr>
        <w:pStyle w:val="3"/>
        <w:spacing w:before="78" w:after="78"/>
        <w:ind w:left="480"/>
      </w:pPr>
      <w:bookmarkStart w:id="129" w:name="_Toc230693496"/>
      <w:bookmarkStart w:id="130" w:name="_Toc31528"/>
      <w:bookmarkStart w:id="131" w:name="_Toc199366297"/>
      <w:bookmarkStart w:id="132" w:name="_Toc230815674"/>
      <w:r>
        <w:rPr>
          <w:rFonts w:hint="eastAsia"/>
        </w:rPr>
        <w:t xml:space="preserve">3.5.1 </w:t>
      </w:r>
      <w:r>
        <w:rPr>
          <w:rFonts w:hint="eastAsia"/>
        </w:rPr>
        <w:t>遥感影像预处理</w:t>
      </w:r>
      <w:bookmarkEnd w:id="129"/>
      <w:bookmarkEnd w:id="130"/>
      <w:bookmarkEnd w:id="131"/>
      <w:bookmarkEnd w:id="132"/>
    </w:p>
    <w:p w14:paraId="552B9229" w14:textId="77777777" w:rsidR="00D46586" w:rsidRDefault="00000000">
      <w:pPr>
        <w:pStyle w:val="a3"/>
        <w:ind w:left="480" w:firstLine="480"/>
      </w:pPr>
      <w:r>
        <w:t>本研究借助</w:t>
      </w:r>
      <w:r>
        <w:t>ENVI5.6</w:t>
      </w:r>
      <w:r>
        <w:t>软件对遥感影像数据做了预处理，预处理步骤包含了辐射误差校正、几何变形校正、影像对齐和裁剪等，为的是消除由太阳高度角、大气条件以及传感器性能等因素所引起的影像畸变；其中，多光谱波段的辐射亮度值标定和大气影响校正，是由软件内置工具完成的，而热红外波段的标定处理，则需要根据增益（</w:t>
      </w:r>
      <w:r>
        <w:t>Gain</w:t>
      </w:r>
      <w:r>
        <w:t>）和偏移（</w:t>
      </w:r>
      <w:r>
        <w:t>Bias</w:t>
      </w:r>
      <w:r>
        <w:t>）参数，用手动的方式进行</w:t>
      </w:r>
      <w:r>
        <w:rPr>
          <w:rFonts w:hint="eastAsia"/>
        </w:rPr>
        <w:t>，定标公式如下：</w:t>
      </w:r>
    </w:p>
    <w:p w14:paraId="03931A1F" w14:textId="77777777" w:rsidR="00D46586" w:rsidRDefault="00000000">
      <w:pPr>
        <w:pStyle w:val="a3"/>
        <w:ind w:left="480"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e>
                <m:sub>
                  <m:r>
                    <w:rPr>
                      <w:rFonts w:ascii="Cambria Math" w:hAnsi="Cambria Math"/>
                    </w:rPr>
                    <m:t>λ</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cal</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L</m:t>
                  </m:r>
                </m:sub>
              </m:sSub>
              <m:r>
                <w:rPr>
                  <w:rFonts w:ascii="Cambria Math" w:hAnsi="Cambria Math"/>
                </w:rPr>
                <m:t>#</m:t>
              </m:r>
              <m:d>
                <m:dPr>
                  <m:begChr m:val="（"/>
                  <m:endChr m:val="）"/>
                  <m:ctrlPr>
                    <w:rPr>
                      <w:rFonts w:ascii="Cambria Math" w:hAnsi="Cambria Math"/>
                      <w:iCs/>
                    </w:rPr>
                  </m:ctrlPr>
                </m:dPr>
                <m:e>
                  <m:r>
                    <m:rPr>
                      <m:sty m:val="p"/>
                    </m:rPr>
                    <w:rPr>
                      <w:rFonts w:ascii="Cambria Math" w:hAnsi="Cambria Math"/>
                    </w:rPr>
                    <m:t>3.1</m:t>
                  </m:r>
                </m:e>
              </m:d>
            </m:e>
          </m:eqArr>
        </m:oMath>
      </m:oMathPara>
    </w:p>
    <w:p w14:paraId="3D5DC7F7" w14:textId="77777777" w:rsidR="00D46586" w:rsidRDefault="00000000">
      <w:pPr>
        <w:pStyle w:val="a3"/>
        <w:ind w:left="480" w:firstLine="480"/>
      </w:pPr>
      <w:r>
        <w:rPr>
          <w:rFonts w:hint="eastAsia"/>
        </w:rPr>
        <w:t>上式中：增益</w:t>
      </w:r>
      <w:r>
        <w:t>M</w:t>
      </w:r>
      <w:r>
        <w:rPr>
          <w:rFonts w:hint="eastAsia"/>
          <w:vertAlign w:val="subscript"/>
        </w:rPr>
        <w:t>L</w:t>
      </w:r>
      <w:r>
        <w:rPr>
          <w:rFonts w:hint="eastAsia"/>
        </w:rPr>
        <w:t>和</w:t>
      </w:r>
      <w:r>
        <w:t>A</w:t>
      </w:r>
      <w:r>
        <w:rPr>
          <w:rFonts w:hint="eastAsia"/>
          <w:vertAlign w:val="subscript"/>
        </w:rPr>
        <w:t>L</w:t>
      </w:r>
      <w:r>
        <w:rPr>
          <w:rFonts w:hint="eastAsia"/>
        </w:rPr>
        <w:t>数值可直接从影像元数据文件中获取，</w:t>
      </w:r>
      <w:proofErr w:type="spellStart"/>
      <w:r>
        <w:t>Qcal</w:t>
      </w:r>
      <w:proofErr w:type="spellEnd"/>
      <w:r>
        <w:rPr>
          <w:rFonts w:hint="eastAsia"/>
        </w:rPr>
        <w:t>是</w:t>
      </w:r>
      <w:r>
        <w:rPr>
          <w:rFonts w:hint="eastAsia"/>
        </w:rPr>
        <w:lastRenderedPageBreak/>
        <w:t>像元灰度值</w:t>
      </w:r>
      <w:r>
        <w:t>DN</w:t>
      </w:r>
      <w:r>
        <w:rPr>
          <w:rFonts w:hint="eastAsia"/>
        </w:rPr>
        <w:t>，也为已知。</w:t>
      </w:r>
    </w:p>
    <w:p w14:paraId="51CD2B1E" w14:textId="77777777" w:rsidR="00D46586" w:rsidRDefault="00000000">
      <w:pPr>
        <w:pStyle w:val="a3"/>
        <w:ind w:left="480" w:firstLine="480"/>
      </w:pPr>
      <w:r>
        <w:rPr>
          <w:rFonts w:hint="eastAsia"/>
        </w:rPr>
        <w:t>从相关影像元数据文件获取该参数后，用公式</w:t>
      </w:r>
      <w:r>
        <w:rPr>
          <w:rFonts w:hint="eastAsia"/>
        </w:rPr>
        <w:t>3.2</w:t>
      </w:r>
      <w:r>
        <w:rPr>
          <w:rFonts w:hint="eastAsia"/>
        </w:rPr>
        <w:t>对热红外波段进行定标处理：</w:t>
      </w:r>
    </w:p>
    <w:p w14:paraId="46FBF650" w14:textId="77777777" w:rsidR="00D46586" w:rsidRDefault="00000000">
      <w:pPr>
        <w:pStyle w:val="a3"/>
        <w:ind w:left="480"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e>
                <m:sub>
                  <m:r>
                    <w:rPr>
                      <w:rFonts w:ascii="Cambria Math" w:hAnsi="Cambria Math"/>
                    </w:rPr>
                    <m:t>λ</m:t>
                  </m:r>
                </m:sub>
              </m:sSub>
              <m:r>
                <w:rPr>
                  <w:rFonts w:ascii="Cambria Math" w:hAnsi="Cambria Math"/>
                </w:rPr>
                <m:t>=3.3420E-04</m:t>
              </m:r>
              <m:r>
                <w:rPr>
                  <w:rFonts w:ascii="Cambria Math" w:hAnsi="Cambria Math" w:hint="eastAsia"/>
                </w:rPr>
                <m:t>×</m:t>
              </m:r>
              <m:r>
                <m:rPr>
                  <m:nor/>
                </m:rPr>
                <w:rPr>
                  <w:rFonts w:ascii="Cambria Math" w:hAnsi="Cambria Math"/>
                  <w:i/>
                </w:rPr>
                <m:t>DN</m:t>
              </m:r>
              <m:r>
                <w:rPr>
                  <w:rFonts w:ascii="Cambria Math" w:hAnsi="Cambria Math"/>
                </w:rPr>
                <m:t>+0.1#</m:t>
              </m:r>
              <m:d>
                <m:dPr>
                  <m:ctrlPr>
                    <w:rPr>
                      <w:rFonts w:ascii="Cambria Math" w:hAnsi="Cambria Math"/>
                    </w:rPr>
                  </m:ctrlPr>
                </m:dPr>
                <m:e>
                  <m:r>
                    <m:rPr>
                      <m:sty m:val="p"/>
                    </m:rPr>
                    <w:rPr>
                      <w:rFonts w:ascii="Cambria Math" w:hAnsi="Cambria Math"/>
                    </w:rPr>
                    <m:t>3.2</m:t>
                  </m:r>
                </m:e>
              </m:d>
            </m:e>
          </m:eqArr>
        </m:oMath>
      </m:oMathPara>
    </w:p>
    <w:p w14:paraId="4B2541CA" w14:textId="77777777" w:rsidR="00D46586" w:rsidRDefault="00000000">
      <w:pPr>
        <w:pStyle w:val="a3"/>
        <w:ind w:left="480" w:firstLine="480"/>
      </w:pPr>
      <w:r>
        <w:t>基于行政区划边界把影像裁剪出来，由此确定研究区的范围；对于不同时相的影像，采用了二次多项式方法进行影像对齐，然后运用最邻近像元法来做像元重算，配准误差被控制在</w:t>
      </w:r>
      <w:r>
        <w:t>0.5</w:t>
      </w:r>
      <w:r>
        <w:t>个像元以内，并且按照第二章所给出的公式，对各影像的</w:t>
      </w:r>
      <w:r>
        <w:t>4</w:t>
      </w:r>
      <w:r>
        <w:t>个评价指标进行逐一计算</w:t>
      </w:r>
      <w:r>
        <w:rPr>
          <w:rFonts w:hint="eastAsia"/>
        </w:rPr>
        <w:t>。</w:t>
      </w:r>
    </w:p>
    <w:p w14:paraId="6F59BD58" w14:textId="77777777" w:rsidR="00D46586" w:rsidRDefault="00000000">
      <w:pPr>
        <w:pStyle w:val="3"/>
        <w:spacing w:before="78" w:after="78"/>
        <w:ind w:left="480"/>
      </w:pPr>
      <w:bookmarkStart w:id="133" w:name="_Toc230693497"/>
      <w:bookmarkStart w:id="134" w:name="_Toc199366298"/>
      <w:bookmarkStart w:id="135" w:name="_Toc16449"/>
      <w:bookmarkStart w:id="136" w:name="_Toc230815675"/>
      <w:r>
        <w:rPr>
          <w:rFonts w:hint="eastAsia"/>
        </w:rPr>
        <w:t xml:space="preserve">3.5.2 </w:t>
      </w:r>
      <w:r>
        <w:rPr>
          <w:rFonts w:hint="eastAsia"/>
        </w:rPr>
        <w:t>各指标归一化处理</w:t>
      </w:r>
      <w:bookmarkEnd w:id="133"/>
      <w:bookmarkEnd w:id="134"/>
      <w:bookmarkEnd w:id="135"/>
      <w:bookmarkEnd w:id="136"/>
    </w:p>
    <w:p w14:paraId="60C1C670" w14:textId="77777777" w:rsidR="00D46586" w:rsidRDefault="00000000">
      <w:pPr>
        <w:pStyle w:val="a3"/>
        <w:ind w:left="480" w:firstLine="480"/>
      </w:pPr>
      <w:r>
        <w:t>为解决各评价指标量纲差异问题，采用离差标准化方法将各指标值归一化至</w:t>
      </w:r>
      <w:r>
        <w:t>[0,1]</w:t>
      </w:r>
      <w:r>
        <w:t>区间。该处理可消除单位不一致对权重的影响，又能减小因季节变化导致的影像差异，</w:t>
      </w:r>
      <w:r>
        <w:rPr>
          <w:rFonts w:hint="eastAsia"/>
        </w:rPr>
        <w:t>为后续方法提供数据基础</w:t>
      </w:r>
      <w:r>
        <w:t>，各指标正规化处理公式如下：</w:t>
      </w:r>
    </w:p>
    <w:p w14:paraId="04E69F11" w14:textId="77777777" w:rsidR="00D46586" w:rsidRDefault="00000000">
      <w:pPr>
        <w:pStyle w:val="a3"/>
        <w:ind w:left="480" w:firstLine="480"/>
        <w:rPr>
          <w:rFonts w:hAnsi="Cambria Math"/>
          <w:color w:val="000000"/>
        </w:rPr>
      </w:pPr>
      <m:oMathPara>
        <m:oMath>
          <m:eqArr>
            <m:eqArrPr>
              <m:maxDist m:val="1"/>
              <m:ctrlPr>
                <w:rPr>
                  <w:rFonts w:ascii="Cambria Math" w:hAnsi="Cambria Math"/>
                  <w:i/>
                  <w:color w:val="000000"/>
                </w:rPr>
              </m:ctrlPr>
            </m:eqArrPr>
            <m:e>
              <m:r>
                <w:rPr>
                  <w:rFonts w:ascii="Cambria Math" w:hAnsi="Cambria Math"/>
                  <w:color w:val="000000"/>
                </w:rPr>
                <m:t>N</m:t>
              </m:r>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i</m:t>
                  </m:r>
                </m:sub>
              </m:sSub>
              <m:r>
                <w:rPr>
                  <w:rFonts w:ascii="Cambria Math" w:hAnsi="Cambria Math"/>
                  <w:color w:val="000000"/>
                </w:rPr>
                <m:t>=</m:t>
              </m:r>
              <m:f>
                <m:fPr>
                  <m:ctrlPr>
                    <w:rPr>
                      <w:rFonts w:ascii="Cambria Math" w:hAnsi="Cambria Math"/>
                      <w:color w:val="000000"/>
                    </w:rPr>
                  </m:ctrlPr>
                </m:fPr>
                <m:num>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i</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min</m:t>
                      </m:r>
                    </m:sub>
                  </m:sSub>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max</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min</m:t>
                      </m:r>
                    </m:sub>
                  </m:sSub>
                  <m:ctrlPr>
                    <w:rPr>
                      <w:rFonts w:ascii="Cambria Math" w:hAnsi="Cambria Math"/>
                      <w:i/>
                      <w:color w:val="000000"/>
                    </w:rPr>
                  </m:ctrlPr>
                </m:den>
              </m:f>
              <m:r>
                <w:rPr>
                  <w:rFonts w:ascii="Cambria Math" w:hAnsi="Cambria Math"/>
                  <w:color w:val="000000"/>
                </w:rPr>
                <m:t>#</m:t>
              </m:r>
              <m:d>
                <m:dPr>
                  <m:begChr m:val="（"/>
                  <m:endChr m:val="）"/>
                  <m:ctrlPr>
                    <w:rPr>
                      <w:rFonts w:ascii="Cambria Math" w:hAnsi="Cambria Math"/>
                      <w:iCs/>
                      <w:color w:val="000000"/>
                    </w:rPr>
                  </m:ctrlPr>
                </m:dPr>
                <m:e>
                  <m:r>
                    <m:rPr>
                      <m:sty m:val="p"/>
                    </m:rPr>
                    <w:rPr>
                      <w:rFonts w:ascii="Cambria Math" w:hAnsi="Cambria Math"/>
                      <w:color w:val="000000"/>
                    </w:rPr>
                    <m:t>3.3</m:t>
                  </m:r>
                </m:e>
              </m:d>
            </m:e>
          </m:eqArr>
        </m:oMath>
      </m:oMathPara>
    </w:p>
    <w:p w14:paraId="1E7103A1" w14:textId="77777777" w:rsidR="00D46586" w:rsidRDefault="00000000">
      <w:pPr>
        <w:pStyle w:val="a3"/>
        <w:ind w:left="480" w:firstLine="480"/>
        <w:rPr>
          <w:iCs/>
          <w:color w:val="000000"/>
        </w:rPr>
      </w:pPr>
      <w:r>
        <w:rPr>
          <w:rFonts w:hint="eastAsia"/>
          <w:iCs/>
          <w:color w:val="000000"/>
        </w:rPr>
        <w:t>上式中：</w:t>
      </w:r>
      <m:oMath>
        <m:r>
          <w:rPr>
            <w:rFonts w:ascii="Cambria Math" w:hAnsi="Cambria Math"/>
            <w:color w:val="000000"/>
          </w:rPr>
          <m:t>N</m:t>
        </m:r>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i</m:t>
            </m:r>
          </m:sub>
        </m:sSub>
      </m:oMath>
      <w:r>
        <w:rPr>
          <w:rFonts w:hint="eastAsia"/>
          <w:iCs/>
          <w:color w:val="000000"/>
        </w:rPr>
        <w:t>是某一正规化后的指标值；</w:t>
      </w:r>
      <m:oMath>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i</m:t>
            </m:r>
          </m:sub>
        </m:sSub>
      </m:oMath>
      <w:r>
        <w:rPr>
          <w:rFonts w:hint="eastAsia"/>
          <w:iCs/>
          <w:color w:val="000000"/>
        </w:rPr>
        <w:t>是该指标在像元</w:t>
      </w:r>
      <w:proofErr w:type="spellStart"/>
      <w:r>
        <w:rPr>
          <w:iCs/>
          <w:color w:val="000000"/>
        </w:rPr>
        <w:t>i</w:t>
      </w:r>
      <w:proofErr w:type="spellEnd"/>
      <w:r>
        <w:rPr>
          <w:rFonts w:hint="eastAsia"/>
          <w:iCs/>
          <w:color w:val="000000"/>
        </w:rPr>
        <w:t>处的值；</w:t>
      </w:r>
      <m:oMath>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max</m:t>
            </m:r>
          </m:sub>
        </m:sSub>
      </m:oMath>
      <w:r>
        <w:rPr>
          <w:rFonts w:hint="eastAsia"/>
          <w:iCs/>
          <w:color w:val="000000"/>
        </w:rPr>
        <w:t>是该指标的最大值；</w:t>
      </w:r>
      <m:oMath>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min</m:t>
            </m:r>
          </m:sub>
        </m:sSub>
      </m:oMath>
      <w:r>
        <w:rPr>
          <w:rFonts w:hint="eastAsia"/>
          <w:iCs/>
          <w:color w:val="000000"/>
        </w:rPr>
        <w:t>是该指标的最小值。</w:t>
      </w:r>
    </w:p>
    <w:p w14:paraId="70A4F0A8" w14:textId="77777777" w:rsidR="00D46586" w:rsidRDefault="00000000">
      <w:pPr>
        <w:pStyle w:val="3"/>
        <w:spacing w:before="78" w:after="78"/>
        <w:ind w:left="480"/>
      </w:pPr>
      <w:bookmarkStart w:id="137" w:name="_Toc199366299"/>
      <w:bookmarkStart w:id="138" w:name="_Toc230693498"/>
      <w:bookmarkStart w:id="139" w:name="_Toc31178"/>
      <w:bookmarkStart w:id="140" w:name="_Toc230815676"/>
      <w:r>
        <w:rPr>
          <w:rFonts w:hint="eastAsia"/>
        </w:rPr>
        <w:t xml:space="preserve">3.5.3 </w:t>
      </w:r>
      <w:r>
        <w:rPr>
          <w:rFonts w:hint="eastAsia"/>
        </w:rPr>
        <w:t>主成分分析及变换</w:t>
      </w:r>
      <w:bookmarkEnd w:id="137"/>
      <w:bookmarkEnd w:id="138"/>
      <w:bookmarkEnd w:id="139"/>
      <w:bookmarkEnd w:id="140"/>
    </w:p>
    <w:p w14:paraId="02B14D94" w14:textId="77777777" w:rsidR="00D46586" w:rsidRDefault="00000000">
      <w:pPr>
        <w:pStyle w:val="a3"/>
        <w:ind w:left="480" w:firstLine="480"/>
      </w:pPr>
      <w:r>
        <w:rPr>
          <w:rFonts w:hint="eastAsia"/>
        </w:rPr>
        <w:t>将归一化后的四个指标通过</w:t>
      </w:r>
      <w:r>
        <w:rPr>
          <w:rFonts w:hint="eastAsia"/>
        </w:rPr>
        <w:t>ENVI5.6</w:t>
      </w:r>
      <w:r>
        <w:rPr>
          <w:rFonts w:hint="eastAsia"/>
        </w:rPr>
        <w:t>软件合成为新影像并进行主成分分析。根据累积贡献率选取主要成分，通过数学转换使影像数值与生态环境质量正相关（数值越大表示生态状况越好），最终得到初始生态指数</w:t>
      </w:r>
      <w:r>
        <w:rPr>
          <w:rFonts w:hint="eastAsia"/>
        </w:rPr>
        <w:t>RSEI0</w:t>
      </w:r>
      <w:r>
        <w:rPr>
          <w:rFonts w:hint="eastAsia"/>
        </w:rPr>
        <w:t>。可以用下式进行转换，获得初始生态指数</w:t>
      </w:r>
      <w:r>
        <w:t>RSEI</w:t>
      </w:r>
      <w:r>
        <w:rPr>
          <w:rFonts w:hint="eastAsia"/>
          <w:vertAlign w:val="subscript"/>
        </w:rPr>
        <w:t>0</w:t>
      </w:r>
      <w:r>
        <w:rPr>
          <w:rFonts w:hint="eastAsia"/>
        </w:rPr>
        <w:t>。</w:t>
      </w:r>
    </w:p>
    <w:p w14:paraId="66F9D3A5" w14:textId="77777777" w:rsidR="00D46586" w:rsidRDefault="00000000">
      <w:pPr>
        <w:pStyle w:val="a3"/>
        <w:ind w:left="480" w:firstLine="480"/>
      </w:pPr>
      <m:oMathPara>
        <m:oMath>
          <m:eqArr>
            <m:eqArrPr>
              <m:maxDist m:val="1"/>
              <m:ctrlPr>
                <w:rPr>
                  <w:rFonts w:ascii="Cambria Math" w:hAnsi="Cambria Math"/>
                  <w:i/>
                </w:rPr>
              </m:ctrlPr>
            </m:eqArrPr>
            <m:e>
              <m:sSub>
                <m:sSubPr>
                  <m:ctrlPr>
                    <w:rPr>
                      <w:rFonts w:ascii="Cambria Math" w:hAnsi="Cambria Math"/>
                      <w:i/>
                    </w:rPr>
                  </m:ctrlPr>
                </m:sSubPr>
                <m:e>
                  <m:r>
                    <m:rPr>
                      <m:nor/>
                    </m:rPr>
                    <w:rPr>
                      <w:rFonts w:ascii="Cambria Math" w:hAnsi="Cambria Math"/>
                      <w:i/>
                    </w:rPr>
                    <m:t>RSEI</m:t>
                  </m:r>
                </m:e>
                <m:sub>
                  <m:r>
                    <w:rPr>
                      <w:rFonts w:ascii="Cambria Math" w:hAnsi="Cambria Math"/>
                    </w:rPr>
                    <m:t>0</m:t>
                  </m:r>
                </m:sub>
              </m:sSub>
              <m:r>
                <w:rPr>
                  <w:rFonts w:ascii="Cambria Math" w:hAnsi="Cambria Math"/>
                </w:rPr>
                <m:t>=1-</m:t>
              </m:r>
              <m:r>
                <m:rPr>
                  <m:nor/>
                </m:rPr>
                <w:rPr>
                  <w:rFonts w:ascii="Cambria Math" w:hAnsi="Cambria Math"/>
                </w:rPr>
                <m:t>PC</m:t>
              </m:r>
              <m:d>
                <m:dPr>
                  <m:ctrlPr>
                    <w:rPr>
                      <w:rFonts w:ascii="Cambria Math" w:hAnsi="Cambria Math"/>
                      <w:i/>
                    </w:rPr>
                  </m:ctrlPr>
                </m:dPr>
                <m:e>
                  <m:r>
                    <w:rPr>
                      <w:rFonts w:ascii="Cambria Math" w:hAnsi="Cambria Math"/>
                    </w:rPr>
                    <m:t>f</m:t>
                  </m:r>
                  <m:d>
                    <m:dPr>
                      <m:ctrlPr>
                        <w:rPr>
                          <w:rFonts w:ascii="Cambria Math" w:hAnsi="Cambria Math"/>
                          <w:i/>
                        </w:rPr>
                      </m:ctrlPr>
                    </m:dPr>
                    <m:e>
                      <m:r>
                        <m:rPr>
                          <m:nor/>
                        </m:rPr>
                        <w:rPr>
                          <w:rFonts w:ascii="Cambria Math" w:hAnsi="Cambria Math"/>
                          <w:i/>
                        </w:rPr>
                        <m:t>NDVI</m:t>
                      </m:r>
                      <m:r>
                        <w:rPr>
                          <w:rFonts w:ascii="Cambria Math" w:hAnsi="Cambria Math"/>
                        </w:rPr>
                        <m:t>,</m:t>
                      </m:r>
                      <m:r>
                        <m:rPr>
                          <m:nor/>
                        </m:rPr>
                        <w:rPr>
                          <w:rFonts w:ascii="Cambria Math" w:hAnsi="Cambria Math"/>
                        </w:rPr>
                        <m:t>Wet</m:t>
                      </m:r>
                      <m:r>
                        <m:rPr>
                          <m:sty m:val="p"/>
                        </m:rPr>
                        <w:rPr>
                          <w:rFonts w:ascii="Cambria Math" w:hAnsi="Cambria Math"/>
                        </w:rPr>
                        <m:t>,</m:t>
                      </m:r>
                      <m:r>
                        <m:rPr>
                          <m:nor/>
                        </m:rPr>
                        <w:rPr>
                          <w:rFonts w:ascii="Cambria Math" w:hAnsi="Cambria Math"/>
                        </w:rPr>
                        <m:t>NDSI</m:t>
                      </m:r>
                      <m:r>
                        <m:rPr>
                          <m:sty m:val="p"/>
                        </m:rPr>
                        <w:rPr>
                          <w:rFonts w:ascii="Cambria Math" w:hAnsi="Cambria Math"/>
                        </w:rPr>
                        <m:t>,</m:t>
                      </m:r>
                      <m:r>
                        <m:rPr>
                          <m:nor/>
                        </m:rPr>
                        <w:rPr>
                          <w:rFonts w:ascii="Cambria Math" w:hAnsi="Cambria Math"/>
                        </w:rPr>
                        <m:t>LST</m:t>
                      </m:r>
                      <m:r>
                        <m:rPr>
                          <m:nor/>
                        </m:rPr>
                        <w:rPr>
                          <w:rFonts w:ascii="Cambria Math" w:hAnsi="Cambria Math" w:hint="eastAsia"/>
                          <w:i/>
                        </w:rPr>
                        <m:t xml:space="preserve"> </m:t>
                      </m:r>
                    </m:e>
                  </m:d>
                </m:e>
              </m:d>
              <m:r>
                <w:rPr>
                  <w:rFonts w:ascii="Cambria Math" w:hAnsi="Cambria Math"/>
                </w:rPr>
                <m:t>#</m:t>
              </m:r>
              <m:d>
                <m:dPr>
                  <m:begChr m:val="（"/>
                  <m:endChr m:val="）"/>
                  <m:ctrlPr>
                    <w:rPr>
                      <w:rFonts w:ascii="Cambria Math" w:hAnsi="Cambria Math"/>
                    </w:rPr>
                  </m:ctrlPr>
                </m:dPr>
                <m:e>
                  <m:r>
                    <m:rPr>
                      <m:sty m:val="p"/>
                    </m:rPr>
                    <w:rPr>
                      <w:rFonts w:ascii="Cambria Math" w:hAnsi="Cambria Math"/>
                    </w:rPr>
                    <m:t>3.4</m:t>
                  </m:r>
                </m:e>
              </m:d>
            </m:e>
          </m:eqArr>
        </m:oMath>
      </m:oMathPara>
    </w:p>
    <w:p w14:paraId="19395995" w14:textId="77777777" w:rsidR="00D46586" w:rsidRDefault="00000000">
      <w:pPr>
        <w:pStyle w:val="a3"/>
        <w:ind w:left="480" w:firstLine="480"/>
      </w:pPr>
      <w:r>
        <w:rPr>
          <w:rFonts w:hint="eastAsia"/>
        </w:rPr>
        <w:t>为了方便生态环境质量指数之间的对比，对初始遥感生态指数</w:t>
      </w:r>
      <w:r>
        <w:t>RSEI</w:t>
      </w:r>
      <w:r>
        <w:rPr>
          <w:rFonts w:hint="eastAsia"/>
          <w:vertAlign w:val="subscript"/>
        </w:rPr>
        <w:t>0</w:t>
      </w:r>
      <w:r>
        <w:rPr>
          <w:rFonts w:hint="eastAsia"/>
        </w:rPr>
        <w:t>进行归一化处理，表示如下：</w:t>
      </w:r>
    </w:p>
    <w:p w14:paraId="482E5E2E" w14:textId="77777777" w:rsidR="00D46586" w:rsidRDefault="00000000">
      <w:pPr>
        <w:pStyle w:val="a3"/>
        <w:ind w:left="480" w:firstLine="480"/>
      </w:pPr>
      <m:oMathPara>
        <m:oMath>
          <m:eqArr>
            <m:eqArrPr>
              <m:maxDist m:val="1"/>
              <m:ctrlPr>
                <w:rPr>
                  <w:rFonts w:ascii="Cambria Math" w:hAnsi="Cambria Math"/>
                  <w:i/>
                </w:rPr>
              </m:ctrlPr>
            </m:eqArrPr>
            <m:e>
              <m:r>
                <m:rPr>
                  <m:nor/>
                </m:rPr>
                <w:rPr>
                  <w:rFonts w:ascii="Cambria Math" w:hAnsi="Cambria Math"/>
                  <w:i/>
                </w:rPr>
                <m:t>RSEI</m:t>
              </m:r>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rFonts w:ascii="Cambria Math" w:hAnsi="Cambria Math"/>
                          <w:i/>
                        </w:rPr>
                        <m:t>RSEI</m:t>
                      </m:r>
                    </m:e>
                    <m:sub>
                      <m:r>
                        <w:rPr>
                          <w:rFonts w:ascii="Cambria Math" w:hAnsi="Cambria Math"/>
                        </w:rPr>
                        <m:t>0</m:t>
                      </m:r>
                    </m:sub>
                  </m:sSub>
                  <m:r>
                    <w:rPr>
                      <w:rFonts w:ascii="Cambria Math" w:hAnsi="Cambria Math"/>
                    </w:rPr>
                    <m:t>-</m:t>
                  </m:r>
                  <m:sSub>
                    <m:sSubPr>
                      <m:ctrlPr>
                        <w:rPr>
                          <w:rFonts w:ascii="Cambria Math" w:hAnsi="Cambria Math"/>
                          <w:i/>
                        </w:rPr>
                      </m:ctrlPr>
                    </m:sSubPr>
                    <m:e>
                      <m:r>
                        <m:rPr>
                          <m:nor/>
                        </m:rPr>
                        <w:rPr>
                          <w:rFonts w:ascii="Cambria Math" w:hAnsi="Cambria Math"/>
                          <w:i/>
                        </w:rPr>
                        <m:t>RSEI</m:t>
                      </m:r>
                    </m:e>
                    <m:sub>
                      <m:r>
                        <w:rPr>
                          <w:rFonts w:ascii="Cambria Math" w:hAnsi="Cambria Math"/>
                        </w:rPr>
                        <m:t>0 min</m:t>
                      </m:r>
                    </m:sub>
                  </m:sSub>
                </m:num>
                <m:den>
                  <m:sSub>
                    <m:sSubPr>
                      <m:ctrlPr>
                        <w:rPr>
                          <w:rFonts w:ascii="Cambria Math" w:hAnsi="Cambria Math"/>
                          <w:i/>
                        </w:rPr>
                      </m:ctrlPr>
                    </m:sSubPr>
                    <m:e>
                      <m:r>
                        <m:rPr>
                          <m:nor/>
                        </m:rPr>
                        <w:rPr>
                          <w:rFonts w:ascii="Cambria Math" w:hAnsi="Cambria Math"/>
                          <w:i/>
                        </w:rPr>
                        <m:t>RSEI</m:t>
                      </m:r>
                    </m:e>
                    <m:sub>
                      <m:r>
                        <w:rPr>
                          <w:rFonts w:ascii="Cambria Math" w:hAnsi="Cambria Math"/>
                        </w:rPr>
                        <m:t>0 max</m:t>
                      </m:r>
                    </m:sub>
                  </m:sSub>
                  <m:r>
                    <w:rPr>
                      <w:rFonts w:ascii="Cambria Math" w:hAnsi="Cambria Math"/>
                    </w:rPr>
                    <m:t>-</m:t>
                  </m:r>
                  <m:sSub>
                    <m:sSubPr>
                      <m:ctrlPr>
                        <w:rPr>
                          <w:rFonts w:ascii="Cambria Math" w:hAnsi="Cambria Math"/>
                          <w:i/>
                        </w:rPr>
                      </m:ctrlPr>
                    </m:sSubPr>
                    <m:e>
                      <m:r>
                        <m:rPr>
                          <m:nor/>
                        </m:rPr>
                        <w:rPr>
                          <w:rFonts w:ascii="Cambria Math" w:hAnsi="Cambria Math"/>
                          <w:i/>
                        </w:rPr>
                        <m:t>RSEI</m:t>
                      </m:r>
                    </m:e>
                    <m:sub>
                      <m:r>
                        <w:rPr>
                          <w:rFonts w:ascii="Cambria Math" w:hAnsi="Cambria Math"/>
                        </w:rPr>
                        <m:t>0 min</m:t>
                      </m:r>
                    </m:sub>
                  </m:sSub>
                </m:den>
              </m:f>
              <m:r>
                <w:rPr>
                  <w:rFonts w:ascii="Cambria Math" w:hAnsi="Cambria Math"/>
                </w:rPr>
                <m:t>#</m:t>
              </m:r>
              <m:d>
                <m:dPr>
                  <m:begChr m:val="（"/>
                  <m:endChr m:val="）"/>
                  <m:ctrlPr>
                    <w:rPr>
                      <w:rFonts w:ascii="Cambria Math" w:hAnsi="Cambria Math"/>
                    </w:rPr>
                  </m:ctrlPr>
                </m:dPr>
                <m:e>
                  <m:r>
                    <m:rPr>
                      <m:sty m:val="p"/>
                    </m:rPr>
                    <w:rPr>
                      <w:rFonts w:ascii="Cambria Math" w:hAnsi="Cambria Math"/>
                    </w:rPr>
                    <m:t>3.5</m:t>
                  </m:r>
                </m:e>
              </m:d>
            </m:e>
          </m:eqArr>
        </m:oMath>
      </m:oMathPara>
    </w:p>
    <w:p w14:paraId="35DFD544" w14:textId="77777777" w:rsidR="00D46586" w:rsidRDefault="00000000">
      <w:pPr>
        <w:pStyle w:val="a3"/>
        <w:ind w:left="480" w:firstLine="480"/>
      </w:pPr>
      <w:r>
        <w:rPr>
          <w:rFonts w:hint="eastAsia"/>
        </w:rPr>
        <w:t>上式中：</w:t>
      </w:r>
      <w:r>
        <w:t>RSEI</w:t>
      </w:r>
      <w:r>
        <w:rPr>
          <w:rFonts w:hint="eastAsia"/>
        </w:rPr>
        <w:t>即为所求的遥感生态指数，其值范围在</w:t>
      </w:r>
      <w:r>
        <w:t>[0,1]</w:t>
      </w:r>
      <w:r>
        <w:rPr>
          <w:rFonts w:hint="eastAsia"/>
        </w:rPr>
        <w:t>，且</w:t>
      </w:r>
      <w:r>
        <w:t>RSEI</w:t>
      </w:r>
      <w:r>
        <w:rPr>
          <w:rFonts w:hint="eastAsia"/>
        </w:rPr>
        <w:t>值越大，表示生态环境质量越好；反之，生态环境越差。</w:t>
      </w:r>
    </w:p>
    <w:p w14:paraId="67056146" w14:textId="77777777" w:rsidR="00D46586" w:rsidRDefault="00000000">
      <w:pPr>
        <w:pStyle w:val="2"/>
        <w:spacing w:before="156" w:after="156"/>
        <w:ind w:left="480"/>
      </w:pPr>
      <w:bookmarkStart w:id="141" w:name="_Toc6692"/>
      <w:bookmarkStart w:id="142" w:name="_Toc230693499"/>
      <w:bookmarkStart w:id="143" w:name="_Toc199366300"/>
      <w:bookmarkStart w:id="144" w:name="_Toc230815677"/>
      <w:r>
        <w:rPr>
          <w:rFonts w:hint="eastAsia"/>
        </w:rPr>
        <w:lastRenderedPageBreak/>
        <w:t xml:space="preserve">3.6 </w:t>
      </w:r>
      <w:r>
        <w:rPr>
          <w:rFonts w:hint="eastAsia"/>
        </w:rPr>
        <w:t>本章小结</w:t>
      </w:r>
      <w:bookmarkEnd w:id="141"/>
      <w:bookmarkEnd w:id="142"/>
      <w:bookmarkEnd w:id="143"/>
      <w:bookmarkEnd w:id="144"/>
    </w:p>
    <w:p w14:paraId="5471B6E2" w14:textId="77777777" w:rsidR="00D46586" w:rsidRDefault="00000000">
      <w:pPr>
        <w:pStyle w:val="a3"/>
        <w:ind w:left="480" w:firstLine="480"/>
      </w:pPr>
      <w:r>
        <w:t>在本章当中，研究区的地理环境特征、生态现状及存在的问题先被介绍了一遍，接着所用的遥感数据源和处理方法被详细做了说明，而影像处理流程和指标提取步骤则通过技术路线图被直观地展示出来，最后预处理实验的操作流程和关键注意事项也得到了具体的讲述</w:t>
      </w:r>
      <w:r>
        <w:rPr>
          <w:rFonts w:hint="eastAsia"/>
        </w:rPr>
        <w:t>。</w:t>
      </w:r>
    </w:p>
    <w:p w14:paraId="2981F0FE" w14:textId="77777777" w:rsidR="00D46586" w:rsidRDefault="00000000">
      <w:pPr>
        <w:pStyle w:val="1"/>
        <w:spacing w:before="312" w:after="312"/>
        <w:ind w:left="480"/>
      </w:pPr>
      <w:bookmarkStart w:id="145" w:name="_Toc230815678"/>
      <w:r>
        <w:rPr>
          <w:rFonts w:hint="eastAsia"/>
        </w:rPr>
        <w:t>4</w:t>
      </w:r>
      <w:r>
        <w:t xml:space="preserve">  </w:t>
      </w:r>
      <w:r>
        <w:t>结果与分析</w:t>
      </w:r>
      <w:bookmarkEnd w:id="145"/>
    </w:p>
    <w:p w14:paraId="79070188" w14:textId="77777777" w:rsidR="00D46586" w:rsidRDefault="00000000">
      <w:pPr>
        <w:pStyle w:val="2"/>
        <w:spacing w:before="156" w:after="156"/>
        <w:ind w:left="480"/>
      </w:pPr>
      <w:bookmarkStart w:id="146" w:name="_Toc230815679"/>
      <w:r>
        <w:rPr>
          <w:rFonts w:hint="eastAsia"/>
        </w:rPr>
        <w:t xml:space="preserve">4.1 </w:t>
      </w:r>
      <w:r>
        <w:rPr>
          <w:rFonts w:hint="eastAsia"/>
        </w:rPr>
        <w:t>遥感生态指数（</w:t>
      </w:r>
      <w:r>
        <w:rPr>
          <w:rFonts w:hint="eastAsia"/>
        </w:rPr>
        <w:t>RSEI</w:t>
      </w:r>
      <w:r>
        <w:rPr>
          <w:rFonts w:hint="eastAsia"/>
        </w:rPr>
        <w:t>）构建与验证</w:t>
      </w:r>
      <w:bookmarkEnd w:id="146"/>
    </w:p>
    <w:p w14:paraId="1CD2C6A1" w14:textId="77777777" w:rsidR="00D46586" w:rsidRDefault="00000000">
      <w:pPr>
        <w:pStyle w:val="3"/>
        <w:spacing w:before="78" w:after="78"/>
        <w:ind w:left="480"/>
      </w:pPr>
      <w:bookmarkStart w:id="147" w:name="_Toc230815680"/>
      <w:r>
        <w:t>4.1.1</w:t>
      </w:r>
      <w:r>
        <w:rPr>
          <w:rFonts w:hint="eastAsia"/>
        </w:rPr>
        <w:t xml:space="preserve"> </w:t>
      </w:r>
      <w:r>
        <w:t>主成分分析结果</w:t>
      </w:r>
      <w:bookmarkEnd w:id="147"/>
    </w:p>
    <w:p w14:paraId="5D1ACAA7" w14:textId="77777777" w:rsidR="00D46586" w:rsidRDefault="00000000">
      <w:pPr>
        <w:pStyle w:val="a3"/>
        <w:ind w:left="480" w:firstLine="480"/>
      </w:pPr>
      <w:r>
        <w:t>本研究以</w:t>
      </w:r>
      <w:r>
        <w:t xml:space="preserve"> Landsat </w:t>
      </w:r>
      <w:r>
        <w:t>长时间序列影像为基础，选用了绿度（</w:t>
      </w:r>
      <w:r>
        <w:t>NDVI</w:t>
      </w:r>
      <w:r>
        <w:t>）、湿度（</w:t>
      </w:r>
      <w:r>
        <w:t>Wet</w:t>
      </w:r>
      <w:r>
        <w:t>）、热度（</w:t>
      </w:r>
      <w:r>
        <w:t>LST</w:t>
      </w:r>
      <w:r>
        <w:t>）和干度（</w:t>
      </w:r>
      <w:r>
        <w:t>NDBSI</w:t>
      </w:r>
      <w:r>
        <w:t>）这四项生态指标，并通过主成分分析（</w:t>
      </w:r>
      <w:r>
        <w:t>PCA</w:t>
      </w:r>
      <w:r>
        <w:t>）方法，构建出了遥感生态指数（</w:t>
      </w:r>
      <w:r>
        <w:t>RSEI</w:t>
      </w:r>
      <w:r>
        <w:t>），七期影像的第一主成分（</w:t>
      </w:r>
      <w:r>
        <w:t>PC1</w:t>
      </w:r>
      <w:r>
        <w:t>）方差贡献率和特征向量，都列在了表</w:t>
      </w:r>
      <w:r>
        <w:t xml:space="preserve"> 4-1 </w:t>
      </w:r>
      <w:r>
        <w:t>里面。</w:t>
      </w:r>
    </w:p>
    <w:p w14:paraId="67DD6366" w14:textId="77777777" w:rsidR="00D46586" w:rsidRDefault="00000000">
      <w:pPr>
        <w:pStyle w:val="a3"/>
        <w:ind w:left="480" w:firstLine="482"/>
      </w:pPr>
      <w:r>
        <w:rPr>
          <w:b/>
        </w:rPr>
        <w:t>表</w:t>
      </w:r>
      <w:r>
        <w:rPr>
          <w:b/>
        </w:rPr>
        <w:t xml:space="preserve"> 4-1  1985—2020 </w:t>
      </w:r>
      <w:r>
        <w:rPr>
          <w:b/>
        </w:rPr>
        <w:t>年各期主成分分析特征向量及贡献率</w:t>
      </w:r>
    </w:p>
    <w:p w14:paraId="333B2E20" w14:textId="77777777" w:rsidR="00D46586" w:rsidRDefault="00000000">
      <w:pPr>
        <w:pStyle w:val="a3"/>
        <w:ind w:left="480" w:firstLine="480"/>
      </w:pPr>
      <w:r>
        <w:t xml:space="preserve"> </w:t>
      </w:r>
    </w:p>
    <w:tbl>
      <w:tblPr>
        <w:tblStyle w:val="afe"/>
        <w:tblW w:w="5000" w:type="pct"/>
        <w:tblCellMar>
          <w:left w:w="0" w:type="dxa"/>
          <w:right w:w="0" w:type="dxa"/>
        </w:tblCellMar>
        <w:tblLook w:val="04A0" w:firstRow="1" w:lastRow="0" w:firstColumn="1" w:lastColumn="0" w:noHBand="0" w:noVBand="1"/>
      </w:tblPr>
      <w:tblGrid>
        <w:gridCol w:w="1466"/>
        <w:gridCol w:w="978"/>
        <w:gridCol w:w="977"/>
        <w:gridCol w:w="977"/>
        <w:gridCol w:w="977"/>
        <w:gridCol w:w="977"/>
        <w:gridCol w:w="977"/>
        <w:gridCol w:w="977"/>
      </w:tblGrid>
      <w:tr w:rsidR="00D46586" w14:paraId="6D74C7E3" w14:textId="77777777" w:rsidTr="00D46586">
        <w:trPr>
          <w:cnfStyle w:val="100000000000" w:firstRow="1" w:lastRow="0" w:firstColumn="0" w:lastColumn="0" w:oddVBand="0" w:evenVBand="0" w:oddHBand="0" w:evenHBand="0" w:firstRowFirstColumn="0" w:firstRowLastColumn="0" w:lastRowFirstColumn="0" w:lastRowLastColumn="0"/>
          <w:trHeight w:val="692"/>
        </w:trPr>
        <w:tc>
          <w:tcPr>
            <w:tcW w:w="882" w:type="pct"/>
          </w:tcPr>
          <w:p w14:paraId="006554F3" w14:textId="77777777" w:rsidR="00D46586" w:rsidRDefault="00000000">
            <w:pPr>
              <w:widowControl/>
              <w:spacing w:before="100" w:beforeAutospacing="1" w:line="273" w:lineRule="auto"/>
              <w:ind w:leftChars="0" w:left="480"/>
              <w:jc w:val="left"/>
              <w:rPr>
                <w:rFonts w:ascii="宋体" w:eastAsia="Times New Roman" w:hAnsi="宋体" w:cs="Times New Roman"/>
                <w:bCs/>
                <w:kern w:val="0"/>
              </w:rPr>
            </w:pPr>
            <w:proofErr w:type="spellStart"/>
            <w:r>
              <w:rPr>
                <w:rFonts w:ascii="宋体" w:eastAsia="Times New Roman" w:hAnsi="宋体" w:cs="Times New Roman"/>
                <w:bCs/>
                <w:kern w:val="0"/>
                <w:sz w:val="18"/>
                <w:szCs w:val="18"/>
              </w:rPr>
              <w:t>生态指标</w:t>
            </w:r>
            <w:proofErr w:type="spellEnd"/>
          </w:p>
        </w:tc>
        <w:tc>
          <w:tcPr>
            <w:tcW w:w="588" w:type="pct"/>
          </w:tcPr>
          <w:p w14:paraId="4A78A127" w14:textId="77777777" w:rsidR="00D46586" w:rsidRDefault="00000000">
            <w:pPr>
              <w:widowControl/>
              <w:spacing w:before="100" w:beforeAutospacing="1" w:line="273" w:lineRule="auto"/>
              <w:ind w:leftChars="0" w:left="0"/>
              <w:jc w:val="center"/>
              <w:rPr>
                <w:rFonts w:ascii="宋体" w:eastAsia="Times New Roman" w:hAnsi="宋体" w:cs="Times New Roman"/>
                <w:bCs/>
                <w:kern w:val="0"/>
              </w:rPr>
            </w:pPr>
            <w:r>
              <w:rPr>
                <w:rFonts w:ascii="宋体" w:eastAsia="Times New Roman" w:hAnsi="宋体" w:cs="Times New Roman"/>
                <w:bCs/>
                <w:kern w:val="0"/>
                <w:sz w:val="18"/>
                <w:szCs w:val="18"/>
              </w:rPr>
              <w:t>1985–1989</w:t>
            </w:r>
          </w:p>
        </w:tc>
        <w:tc>
          <w:tcPr>
            <w:tcW w:w="588" w:type="pct"/>
          </w:tcPr>
          <w:p w14:paraId="10CB3BD3" w14:textId="77777777" w:rsidR="00D46586" w:rsidRDefault="00000000">
            <w:pPr>
              <w:widowControl/>
              <w:spacing w:before="100" w:beforeAutospacing="1" w:line="273" w:lineRule="auto"/>
              <w:ind w:leftChars="0" w:left="0"/>
              <w:jc w:val="center"/>
              <w:rPr>
                <w:rFonts w:ascii="宋体" w:eastAsia="Times New Roman" w:hAnsi="宋体" w:cs="Times New Roman"/>
                <w:bCs/>
                <w:kern w:val="0"/>
              </w:rPr>
            </w:pPr>
            <w:r>
              <w:rPr>
                <w:rFonts w:ascii="宋体" w:eastAsia="Times New Roman" w:hAnsi="宋体" w:cs="Times New Roman"/>
                <w:bCs/>
                <w:kern w:val="0"/>
                <w:sz w:val="18"/>
                <w:szCs w:val="18"/>
              </w:rPr>
              <w:t>1990–1994</w:t>
            </w:r>
          </w:p>
        </w:tc>
        <w:tc>
          <w:tcPr>
            <w:tcW w:w="588" w:type="pct"/>
          </w:tcPr>
          <w:p w14:paraId="5FC2C9AB" w14:textId="77777777" w:rsidR="00D46586" w:rsidRDefault="00000000">
            <w:pPr>
              <w:widowControl/>
              <w:spacing w:before="100" w:beforeAutospacing="1" w:line="273" w:lineRule="auto"/>
              <w:ind w:leftChars="0" w:left="0"/>
              <w:jc w:val="center"/>
              <w:rPr>
                <w:rFonts w:ascii="宋体" w:eastAsia="Times New Roman" w:hAnsi="宋体" w:cs="Times New Roman"/>
                <w:bCs/>
                <w:kern w:val="0"/>
              </w:rPr>
            </w:pPr>
            <w:r>
              <w:rPr>
                <w:rFonts w:ascii="宋体" w:eastAsia="Times New Roman" w:hAnsi="宋体" w:cs="Times New Roman"/>
                <w:bCs/>
                <w:kern w:val="0"/>
                <w:sz w:val="18"/>
                <w:szCs w:val="18"/>
              </w:rPr>
              <w:t>1995–1999</w:t>
            </w:r>
          </w:p>
        </w:tc>
        <w:tc>
          <w:tcPr>
            <w:tcW w:w="588" w:type="pct"/>
          </w:tcPr>
          <w:p w14:paraId="4EBF91EB" w14:textId="77777777" w:rsidR="00D46586" w:rsidRDefault="00000000">
            <w:pPr>
              <w:widowControl/>
              <w:spacing w:before="100" w:beforeAutospacing="1" w:line="273" w:lineRule="auto"/>
              <w:ind w:leftChars="0" w:left="0"/>
              <w:jc w:val="center"/>
              <w:rPr>
                <w:rFonts w:ascii="宋体" w:eastAsia="Times New Roman" w:hAnsi="宋体" w:cs="Times New Roman"/>
                <w:bCs/>
                <w:kern w:val="0"/>
              </w:rPr>
            </w:pPr>
            <w:r>
              <w:rPr>
                <w:rFonts w:ascii="宋体" w:eastAsia="Times New Roman" w:hAnsi="宋体" w:cs="Times New Roman"/>
                <w:bCs/>
                <w:kern w:val="0"/>
                <w:sz w:val="18"/>
                <w:szCs w:val="18"/>
              </w:rPr>
              <w:t>2000–2004</w:t>
            </w:r>
          </w:p>
        </w:tc>
        <w:tc>
          <w:tcPr>
            <w:tcW w:w="588" w:type="pct"/>
          </w:tcPr>
          <w:p w14:paraId="264DB452" w14:textId="77777777" w:rsidR="00D46586" w:rsidRDefault="00000000">
            <w:pPr>
              <w:widowControl/>
              <w:spacing w:before="100" w:beforeAutospacing="1" w:line="273" w:lineRule="auto"/>
              <w:ind w:leftChars="0" w:left="0"/>
              <w:jc w:val="center"/>
              <w:rPr>
                <w:rFonts w:ascii="宋体" w:eastAsia="Times New Roman" w:hAnsi="宋体" w:cs="Times New Roman"/>
                <w:bCs/>
                <w:kern w:val="0"/>
              </w:rPr>
            </w:pPr>
            <w:r>
              <w:rPr>
                <w:rFonts w:ascii="宋体" w:eastAsia="Times New Roman" w:hAnsi="宋体" w:cs="Times New Roman"/>
                <w:bCs/>
                <w:kern w:val="0"/>
                <w:sz w:val="18"/>
                <w:szCs w:val="18"/>
              </w:rPr>
              <w:t>2005–2009</w:t>
            </w:r>
          </w:p>
        </w:tc>
        <w:tc>
          <w:tcPr>
            <w:tcW w:w="588" w:type="pct"/>
          </w:tcPr>
          <w:p w14:paraId="0E0B805D" w14:textId="77777777" w:rsidR="00D46586" w:rsidRDefault="00000000">
            <w:pPr>
              <w:widowControl/>
              <w:spacing w:before="100" w:beforeAutospacing="1" w:line="273" w:lineRule="auto"/>
              <w:ind w:leftChars="0" w:left="0"/>
              <w:jc w:val="center"/>
              <w:rPr>
                <w:rFonts w:ascii="宋体" w:eastAsia="Times New Roman" w:hAnsi="宋体" w:cs="Times New Roman"/>
                <w:bCs/>
                <w:kern w:val="0"/>
              </w:rPr>
            </w:pPr>
            <w:r>
              <w:rPr>
                <w:rFonts w:ascii="宋体" w:eastAsia="Times New Roman" w:hAnsi="宋体" w:cs="Times New Roman"/>
                <w:bCs/>
                <w:kern w:val="0"/>
                <w:sz w:val="18"/>
                <w:szCs w:val="18"/>
              </w:rPr>
              <w:t>2010–2014</w:t>
            </w:r>
          </w:p>
        </w:tc>
        <w:tc>
          <w:tcPr>
            <w:tcW w:w="588" w:type="pct"/>
          </w:tcPr>
          <w:p w14:paraId="6A4829B4" w14:textId="77777777" w:rsidR="00D46586" w:rsidRDefault="00000000">
            <w:pPr>
              <w:widowControl/>
              <w:spacing w:before="100" w:beforeAutospacing="1" w:line="273" w:lineRule="auto"/>
              <w:ind w:leftChars="0" w:left="0"/>
              <w:jc w:val="center"/>
              <w:rPr>
                <w:rFonts w:ascii="宋体" w:eastAsia="Times New Roman" w:hAnsi="宋体" w:cs="Times New Roman"/>
                <w:bCs/>
                <w:kern w:val="0"/>
              </w:rPr>
            </w:pPr>
            <w:r>
              <w:rPr>
                <w:rFonts w:ascii="宋体" w:eastAsia="Times New Roman" w:hAnsi="宋体" w:cs="Times New Roman"/>
                <w:bCs/>
                <w:kern w:val="0"/>
                <w:sz w:val="18"/>
                <w:szCs w:val="18"/>
              </w:rPr>
              <w:t>2015–2020</w:t>
            </w:r>
          </w:p>
        </w:tc>
      </w:tr>
      <w:tr w:rsidR="00D46586" w14:paraId="42B71557" w14:textId="77777777" w:rsidTr="00D46586">
        <w:trPr>
          <w:trHeight w:val="339"/>
        </w:trPr>
        <w:tc>
          <w:tcPr>
            <w:tcW w:w="882" w:type="pct"/>
          </w:tcPr>
          <w:p w14:paraId="34254614"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NDVI（绿度</w:t>
            </w:r>
            <w:proofErr w:type="spellEnd"/>
            <w:r>
              <w:rPr>
                <w:rFonts w:ascii="宋体" w:eastAsia="Times New Roman" w:hAnsi="宋体" w:cs="Times New Roman"/>
                <w:kern w:val="0"/>
                <w:sz w:val="18"/>
                <w:szCs w:val="18"/>
              </w:rPr>
              <w:t>）</w:t>
            </w:r>
          </w:p>
        </w:tc>
        <w:tc>
          <w:tcPr>
            <w:tcW w:w="588" w:type="pct"/>
          </w:tcPr>
          <w:p w14:paraId="14FE356D"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0.5421</w:t>
            </w:r>
          </w:p>
        </w:tc>
        <w:tc>
          <w:tcPr>
            <w:tcW w:w="588" w:type="pct"/>
          </w:tcPr>
          <w:p w14:paraId="77544700"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0.5612</w:t>
            </w:r>
          </w:p>
        </w:tc>
        <w:tc>
          <w:tcPr>
            <w:tcW w:w="588" w:type="pct"/>
          </w:tcPr>
          <w:p w14:paraId="7734B1E0"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0.5389</w:t>
            </w:r>
          </w:p>
        </w:tc>
        <w:tc>
          <w:tcPr>
            <w:tcW w:w="588" w:type="pct"/>
          </w:tcPr>
          <w:p w14:paraId="3B98C75A"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0.5120</w:t>
            </w:r>
          </w:p>
        </w:tc>
        <w:tc>
          <w:tcPr>
            <w:tcW w:w="588" w:type="pct"/>
          </w:tcPr>
          <w:p w14:paraId="6F248D9A"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0.5541</w:t>
            </w:r>
          </w:p>
        </w:tc>
        <w:tc>
          <w:tcPr>
            <w:tcW w:w="588" w:type="pct"/>
          </w:tcPr>
          <w:p w14:paraId="685938D7"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0.5821</w:t>
            </w:r>
          </w:p>
        </w:tc>
        <w:tc>
          <w:tcPr>
            <w:tcW w:w="588" w:type="pct"/>
          </w:tcPr>
          <w:p w14:paraId="41E67F8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0.5694</w:t>
            </w:r>
          </w:p>
        </w:tc>
      </w:tr>
      <w:tr w:rsidR="00D46586" w14:paraId="16F904B9" w14:textId="77777777" w:rsidTr="00D46586">
        <w:trPr>
          <w:trHeight w:val="352"/>
        </w:trPr>
        <w:tc>
          <w:tcPr>
            <w:tcW w:w="882" w:type="pct"/>
          </w:tcPr>
          <w:p w14:paraId="04BA866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Wet（湿度</w:t>
            </w:r>
            <w:proofErr w:type="spellEnd"/>
            <w:r>
              <w:rPr>
                <w:rFonts w:ascii="宋体" w:eastAsia="Times New Roman" w:hAnsi="宋体" w:cs="Times New Roman"/>
                <w:kern w:val="0"/>
                <w:sz w:val="18"/>
                <w:szCs w:val="18"/>
              </w:rPr>
              <w:t>）</w:t>
            </w:r>
          </w:p>
        </w:tc>
        <w:tc>
          <w:tcPr>
            <w:tcW w:w="588" w:type="pct"/>
          </w:tcPr>
          <w:p w14:paraId="02C297BA"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0.4312</w:t>
            </w:r>
          </w:p>
        </w:tc>
        <w:tc>
          <w:tcPr>
            <w:tcW w:w="588" w:type="pct"/>
          </w:tcPr>
          <w:p w14:paraId="7E437589"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0.4190</w:t>
            </w:r>
          </w:p>
        </w:tc>
        <w:tc>
          <w:tcPr>
            <w:tcW w:w="588" w:type="pct"/>
          </w:tcPr>
          <w:p w14:paraId="7D010719"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0.4412</w:t>
            </w:r>
          </w:p>
        </w:tc>
        <w:tc>
          <w:tcPr>
            <w:tcW w:w="588" w:type="pct"/>
          </w:tcPr>
          <w:p w14:paraId="2B7A4471"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0.4615</w:t>
            </w:r>
          </w:p>
        </w:tc>
        <w:tc>
          <w:tcPr>
            <w:tcW w:w="588" w:type="pct"/>
          </w:tcPr>
          <w:p w14:paraId="0CA06E5B"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0.4298</w:t>
            </w:r>
          </w:p>
        </w:tc>
        <w:tc>
          <w:tcPr>
            <w:tcW w:w="588" w:type="pct"/>
          </w:tcPr>
          <w:p w14:paraId="01B66198"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0.4015</w:t>
            </w:r>
          </w:p>
        </w:tc>
        <w:tc>
          <w:tcPr>
            <w:tcW w:w="588" w:type="pct"/>
          </w:tcPr>
          <w:p w14:paraId="4CCAB11A"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0.4120</w:t>
            </w:r>
          </w:p>
        </w:tc>
      </w:tr>
      <w:tr w:rsidR="00D46586" w14:paraId="5597943C" w14:textId="77777777" w:rsidTr="00D46586">
        <w:trPr>
          <w:trHeight w:val="339"/>
        </w:trPr>
        <w:tc>
          <w:tcPr>
            <w:tcW w:w="882" w:type="pct"/>
          </w:tcPr>
          <w:p w14:paraId="6A36E241"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LST（热度</w:t>
            </w:r>
            <w:proofErr w:type="spellEnd"/>
            <w:r>
              <w:rPr>
                <w:rFonts w:ascii="宋体" w:eastAsia="Times New Roman" w:hAnsi="宋体" w:cs="Times New Roman"/>
                <w:kern w:val="0"/>
                <w:sz w:val="18"/>
                <w:szCs w:val="18"/>
              </w:rPr>
              <w:t>）</w:t>
            </w:r>
          </w:p>
        </w:tc>
        <w:tc>
          <w:tcPr>
            <w:tcW w:w="588" w:type="pct"/>
          </w:tcPr>
          <w:p w14:paraId="5692C887"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0.3891</w:t>
            </w:r>
          </w:p>
        </w:tc>
        <w:tc>
          <w:tcPr>
            <w:tcW w:w="588" w:type="pct"/>
          </w:tcPr>
          <w:p w14:paraId="5823D8FB"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0.3712</w:t>
            </w:r>
          </w:p>
        </w:tc>
        <w:tc>
          <w:tcPr>
            <w:tcW w:w="588" w:type="pct"/>
          </w:tcPr>
          <w:p w14:paraId="7247EB4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0.3905</w:t>
            </w:r>
          </w:p>
        </w:tc>
        <w:tc>
          <w:tcPr>
            <w:tcW w:w="588" w:type="pct"/>
          </w:tcPr>
          <w:p w14:paraId="4C19D151"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0.4102</w:t>
            </w:r>
          </w:p>
        </w:tc>
        <w:tc>
          <w:tcPr>
            <w:tcW w:w="588" w:type="pct"/>
          </w:tcPr>
          <w:p w14:paraId="157FF80E"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0.3812</w:t>
            </w:r>
          </w:p>
        </w:tc>
        <w:tc>
          <w:tcPr>
            <w:tcW w:w="588" w:type="pct"/>
          </w:tcPr>
          <w:p w14:paraId="695BEC94"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0.3611</w:t>
            </w:r>
          </w:p>
        </w:tc>
        <w:tc>
          <w:tcPr>
            <w:tcW w:w="588" w:type="pct"/>
          </w:tcPr>
          <w:p w14:paraId="068FCC2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0.3745</w:t>
            </w:r>
          </w:p>
        </w:tc>
      </w:tr>
      <w:tr w:rsidR="00D46586" w14:paraId="6A2C491C" w14:textId="77777777" w:rsidTr="00D46586">
        <w:trPr>
          <w:trHeight w:val="352"/>
        </w:trPr>
        <w:tc>
          <w:tcPr>
            <w:tcW w:w="882" w:type="pct"/>
          </w:tcPr>
          <w:p w14:paraId="331EB81C"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NDBSI（干度</w:t>
            </w:r>
            <w:proofErr w:type="spellEnd"/>
            <w:r>
              <w:rPr>
                <w:rFonts w:ascii="宋体" w:eastAsia="Times New Roman" w:hAnsi="宋体" w:cs="Times New Roman"/>
                <w:kern w:val="0"/>
                <w:sz w:val="18"/>
                <w:szCs w:val="18"/>
              </w:rPr>
              <w:t>）</w:t>
            </w:r>
          </w:p>
        </w:tc>
        <w:tc>
          <w:tcPr>
            <w:tcW w:w="588" w:type="pct"/>
          </w:tcPr>
          <w:p w14:paraId="3C89DCBE"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0.5120</w:t>
            </w:r>
          </w:p>
        </w:tc>
        <w:tc>
          <w:tcPr>
            <w:tcW w:w="588" w:type="pct"/>
          </w:tcPr>
          <w:p w14:paraId="0FE6454F"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0.5201</w:t>
            </w:r>
          </w:p>
        </w:tc>
        <w:tc>
          <w:tcPr>
            <w:tcW w:w="588" w:type="pct"/>
          </w:tcPr>
          <w:p w14:paraId="0FFDAAD7"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0.5012</w:t>
            </w:r>
          </w:p>
        </w:tc>
        <w:tc>
          <w:tcPr>
            <w:tcW w:w="588" w:type="pct"/>
          </w:tcPr>
          <w:p w14:paraId="118FA3FE"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0.4918</w:t>
            </w:r>
          </w:p>
        </w:tc>
        <w:tc>
          <w:tcPr>
            <w:tcW w:w="588" w:type="pct"/>
          </w:tcPr>
          <w:p w14:paraId="4E930F5B"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0.5094</w:t>
            </w:r>
          </w:p>
        </w:tc>
        <w:tc>
          <w:tcPr>
            <w:tcW w:w="588" w:type="pct"/>
          </w:tcPr>
          <w:p w14:paraId="7AC0E5DB"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0.5310</w:t>
            </w:r>
          </w:p>
        </w:tc>
        <w:tc>
          <w:tcPr>
            <w:tcW w:w="588" w:type="pct"/>
          </w:tcPr>
          <w:p w14:paraId="553EED8E"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0.5188</w:t>
            </w:r>
          </w:p>
        </w:tc>
      </w:tr>
      <w:tr w:rsidR="00D46586" w14:paraId="44686AD7" w14:textId="77777777" w:rsidTr="00D46586">
        <w:trPr>
          <w:trHeight w:val="339"/>
        </w:trPr>
        <w:tc>
          <w:tcPr>
            <w:tcW w:w="882" w:type="pct"/>
          </w:tcPr>
          <w:p w14:paraId="3FFD9FEC"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特征值</w:t>
            </w:r>
            <w:proofErr w:type="spellEnd"/>
          </w:p>
        </w:tc>
        <w:tc>
          <w:tcPr>
            <w:tcW w:w="588" w:type="pct"/>
          </w:tcPr>
          <w:p w14:paraId="7FECF80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0.1245</w:t>
            </w:r>
          </w:p>
        </w:tc>
        <w:tc>
          <w:tcPr>
            <w:tcW w:w="588" w:type="pct"/>
          </w:tcPr>
          <w:p w14:paraId="40F3EF79"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0.1432</w:t>
            </w:r>
          </w:p>
        </w:tc>
        <w:tc>
          <w:tcPr>
            <w:tcW w:w="588" w:type="pct"/>
          </w:tcPr>
          <w:p w14:paraId="6936C102"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0.1398</w:t>
            </w:r>
          </w:p>
        </w:tc>
        <w:tc>
          <w:tcPr>
            <w:tcW w:w="588" w:type="pct"/>
          </w:tcPr>
          <w:p w14:paraId="74975193"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0.1154</w:t>
            </w:r>
          </w:p>
        </w:tc>
        <w:tc>
          <w:tcPr>
            <w:tcW w:w="588" w:type="pct"/>
          </w:tcPr>
          <w:p w14:paraId="6C216B29"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0.1302</w:t>
            </w:r>
          </w:p>
        </w:tc>
        <w:tc>
          <w:tcPr>
            <w:tcW w:w="588" w:type="pct"/>
          </w:tcPr>
          <w:p w14:paraId="59190059"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0.1512</w:t>
            </w:r>
          </w:p>
        </w:tc>
        <w:tc>
          <w:tcPr>
            <w:tcW w:w="588" w:type="pct"/>
          </w:tcPr>
          <w:p w14:paraId="2F2F4B4C"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0.1401</w:t>
            </w:r>
          </w:p>
        </w:tc>
      </w:tr>
      <w:tr w:rsidR="00D46586" w14:paraId="77E97DB1" w14:textId="77777777" w:rsidTr="00D46586">
        <w:trPr>
          <w:trHeight w:val="692"/>
        </w:trPr>
        <w:tc>
          <w:tcPr>
            <w:tcW w:w="882" w:type="pct"/>
          </w:tcPr>
          <w:p w14:paraId="74D797D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 xml:space="preserve">PC1 </w:t>
            </w:r>
            <w:proofErr w:type="spellStart"/>
            <w:r>
              <w:rPr>
                <w:rFonts w:ascii="宋体" w:eastAsia="Times New Roman" w:hAnsi="宋体" w:cs="Times New Roman"/>
                <w:kern w:val="0"/>
                <w:sz w:val="18"/>
                <w:szCs w:val="18"/>
              </w:rPr>
              <w:t>贡献率</w:t>
            </w:r>
            <w:proofErr w:type="spellEnd"/>
            <w:r>
              <w:rPr>
                <w:rFonts w:ascii="宋体" w:eastAsia="Times New Roman" w:hAnsi="宋体" w:cs="Times New Roman"/>
                <w:kern w:val="0"/>
                <w:sz w:val="18"/>
                <w:szCs w:val="18"/>
              </w:rPr>
              <w:t>（%）</w:t>
            </w:r>
          </w:p>
        </w:tc>
        <w:tc>
          <w:tcPr>
            <w:tcW w:w="588" w:type="pct"/>
          </w:tcPr>
          <w:p w14:paraId="0DE8F5DD"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87.62</w:t>
            </w:r>
          </w:p>
        </w:tc>
        <w:tc>
          <w:tcPr>
            <w:tcW w:w="588" w:type="pct"/>
          </w:tcPr>
          <w:p w14:paraId="3D2CE259"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89.15</w:t>
            </w:r>
          </w:p>
        </w:tc>
        <w:tc>
          <w:tcPr>
            <w:tcW w:w="588" w:type="pct"/>
          </w:tcPr>
          <w:p w14:paraId="7DF4399C"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88.43</w:t>
            </w:r>
          </w:p>
        </w:tc>
        <w:tc>
          <w:tcPr>
            <w:tcW w:w="588" w:type="pct"/>
          </w:tcPr>
          <w:p w14:paraId="1D53083D"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85.92</w:t>
            </w:r>
          </w:p>
        </w:tc>
        <w:tc>
          <w:tcPr>
            <w:tcW w:w="588" w:type="pct"/>
          </w:tcPr>
          <w:p w14:paraId="156FDBA9"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87.11</w:t>
            </w:r>
          </w:p>
        </w:tc>
        <w:tc>
          <w:tcPr>
            <w:tcW w:w="588" w:type="pct"/>
          </w:tcPr>
          <w:p w14:paraId="7F4AB184"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91.04</w:t>
            </w:r>
          </w:p>
        </w:tc>
        <w:tc>
          <w:tcPr>
            <w:tcW w:w="588" w:type="pct"/>
          </w:tcPr>
          <w:p w14:paraId="6F890DF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89.56</w:t>
            </w:r>
          </w:p>
        </w:tc>
      </w:tr>
    </w:tbl>
    <w:p w14:paraId="5387DBB9" w14:textId="77777777" w:rsidR="00D46586" w:rsidRDefault="00D46586">
      <w:pPr>
        <w:pStyle w:val="a3"/>
        <w:ind w:left="480" w:firstLine="480"/>
      </w:pPr>
    </w:p>
    <w:p w14:paraId="1E051BC1" w14:textId="77777777" w:rsidR="00D46586" w:rsidRDefault="00000000">
      <w:pPr>
        <w:pStyle w:val="a3"/>
        <w:ind w:left="480" w:firstLine="480"/>
      </w:pPr>
      <w:r>
        <w:t>从表</w:t>
      </w:r>
      <w:r>
        <w:t xml:space="preserve"> 4-1 </w:t>
      </w:r>
      <w:r>
        <w:t>中能够看到，七期</w:t>
      </w:r>
      <w:r>
        <w:t xml:space="preserve"> PC1 </w:t>
      </w:r>
      <w:r>
        <w:t>的方差贡献率比较稳定，一直保持在</w:t>
      </w:r>
      <w:r>
        <w:t xml:space="preserve"> 85.92% </w:t>
      </w:r>
      <w:r>
        <w:t>到</w:t>
      </w:r>
      <w:r>
        <w:t xml:space="preserve"> 91.04% </w:t>
      </w:r>
      <w:r>
        <w:t>之间，全都远远超过了</w:t>
      </w:r>
      <w:r>
        <w:t xml:space="preserve"> 85% </w:t>
      </w:r>
      <w:r>
        <w:t>那个统计上常用的显著性门槛；这个结果告诉我们，四项生态指标相互之间有很强的关联性，第一主</w:t>
      </w:r>
      <w:r>
        <w:lastRenderedPageBreak/>
        <w:t>成分已经把原始多光谱数据里绝大多数的变异信息都提取出来了，所以用它来给</w:t>
      </w:r>
      <w:r>
        <w:t xml:space="preserve"> RSEI </w:t>
      </w:r>
      <w:r>
        <w:t>做综合评分，在数学上是靠得住的，根本不需要再多加别的主成分，就能把整个区域的生态质量在空间上的不同之处完整地刻画出来。再跟</w:t>
      </w:r>
      <w:proofErr w:type="gramStart"/>
      <w:r>
        <w:t>徐涵秋</w:t>
      </w:r>
      <w:proofErr w:type="gramEnd"/>
      <w:r>
        <w:t>（</w:t>
      </w:r>
      <w:r>
        <w:t>2013</w:t>
      </w:r>
      <w:r>
        <w:t>）在福州盆地得到的</w:t>
      </w:r>
      <w:r>
        <w:t xml:space="preserve"> PC1=81.72%</w:t>
      </w:r>
      <w:r>
        <w:t>、宋慧敏等（</w:t>
      </w:r>
      <w:r>
        <w:t>2021</w:t>
      </w:r>
      <w:r>
        <w:t>）在渭河流域得出的</w:t>
      </w:r>
      <w:r>
        <w:t xml:space="preserve"> PC1=78.53% </w:t>
      </w:r>
      <w:r>
        <w:t>这些</w:t>
      </w:r>
      <w:r>
        <w:t xml:space="preserve"> RSEI </w:t>
      </w:r>
      <w:r>
        <w:t>构建结果比一比，吉林省三北区域的</w:t>
      </w:r>
      <w:r>
        <w:t xml:space="preserve"> PC1 </w:t>
      </w:r>
      <w:r>
        <w:t>贡献率明显处在一个更高的水平上；这主要是因为研究区里面的地表覆盖类型比较均匀，是以农田、草地、林地混合在一起的农林牧交错景观为主，这样一来，四个指标之间的关联结构就更加紧密了，</w:t>
      </w:r>
      <w:r>
        <w:t xml:space="preserve">PCA </w:t>
      </w:r>
      <w:r>
        <w:t>浓缩信息的效率自然也更好一些。</w:t>
      </w:r>
    </w:p>
    <w:p w14:paraId="450682E5" w14:textId="77777777" w:rsidR="00D46586" w:rsidRDefault="00000000">
      <w:pPr>
        <w:pStyle w:val="a3"/>
        <w:ind w:left="480" w:firstLine="480"/>
      </w:pPr>
      <w:r>
        <w:t>接着，从各指标对</w:t>
      </w:r>
      <w:r>
        <w:t xml:space="preserve"> PC1 </w:t>
      </w:r>
      <w:r>
        <w:t>的贡献方向和大小所体现出来的生态物理机制来看，它们的载荷都有着很清楚的解释力：</w:t>
      </w:r>
    </w:p>
    <w:p w14:paraId="25D8657B" w14:textId="77777777" w:rsidR="00D46586" w:rsidRDefault="00000000">
      <w:pPr>
        <w:pStyle w:val="a3"/>
        <w:ind w:left="480" w:firstLine="480"/>
      </w:pPr>
      <w:r>
        <w:t>绿度（</w:t>
      </w:r>
      <w:r>
        <w:t>NDVI</w:t>
      </w:r>
      <w:r>
        <w:t>）和湿度（</w:t>
      </w:r>
      <w:r>
        <w:t>Wet</w:t>
      </w:r>
      <w:r>
        <w:t>）对</w:t>
      </w:r>
      <w:r>
        <w:t xml:space="preserve"> PC1 </w:t>
      </w:r>
      <w:r>
        <w:t>的贡献方向是正的，七期的平均值分别是</w:t>
      </w:r>
      <w:r>
        <w:t xml:space="preserve"> 0.5514 </w:t>
      </w:r>
      <w:r>
        <w:t>和</w:t>
      </w:r>
      <w:r>
        <w:t xml:space="preserve"> 0.4280</w:t>
      </w:r>
      <w:r>
        <w:t>。</w:t>
      </w:r>
      <w:r>
        <w:t xml:space="preserve">NDVI </w:t>
      </w:r>
      <w:r>
        <w:t>直接反映的是植被光合作用的强弱和冠层的茂密程度，它表现出正向影响，就说明植被覆盖度越高的地方、叶子长得越密的区域，</w:t>
      </w:r>
      <w:r>
        <w:t xml:space="preserve">PC1 </w:t>
      </w:r>
      <w:r>
        <w:t>的得分也就越高，这跟植被生产力越高、生态系统服务功能越强的那一套经典生态学原理是高度一致的。而</w:t>
      </w:r>
      <w:r>
        <w:t xml:space="preserve"> Wet </w:t>
      </w:r>
      <w:r>
        <w:t>这个分量，是从缨帽变换里得到的湿度信息，它表现出的是地表水汽和土壤湿度状况，它也是正向作用，这就说明水分条件是限制吉林省三北区域植被生长的一个非常关键的因子。</w:t>
      </w:r>
    </w:p>
    <w:p w14:paraId="79B9F4CD" w14:textId="77777777" w:rsidR="00D46586" w:rsidRDefault="00000000">
      <w:pPr>
        <w:pStyle w:val="a3"/>
        <w:ind w:left="480" w:firstLine="480"/>
      </w:pPr>
      <w:r>
        <w:t>热度（</w:t>
      </w:r>
      <w:r>
        <w:t>LST</w:t>
      </w:r>
      <w:r>
        <w:t>）和干度（</w:t>
      </w:r>
      <w:r>
        <w:t>NDBSI</w:t>
      </w:r>
      <w:r>
        <w:t>）对</w:t>
      </w:r>
      <w:r>
        <w:t xml:space="preserve"> PC1 </w:t>
      </w:r>
      <w:r>
        <w:t>的贡献方向则是负的，七期平均值各自为</w:t>
      </w:r>
      <w:r>
        <w:t xml:space="preserve"> -0.3825 </w:t>
      </w:r>
      <w:r>
        <w:t>和</w:t>
      </w:r>
      <w:r>
        <w:t xml:space="preserve"> -0.5149</w:t>
      </w:r>
      <w:r>
        <w:t>。</w:t>
      </w:r>
      <w:r>
        <w:t xml:space="preserve">LST </w:t>
      </w:r>
      <w:r>
        <w:t>体现的是地表热环境状态，它带有负向的载荷，就意味着地表温度</w:t>
      </w:r>
      <w:proofErr w:type="gramStart"/>
      <w:r>
        <w:t>一</w:t>
      </w:r>
      <w:proofErr w:type="gramEnd"/>
      <w:r>
        <w:t>升高，相应区域的生态质量就会朝着变差的方向走。</w:t>
      </w:r>
      <w:r>
        <w:t xml:space="preserve">NDBSI </w:t>
      </w:r>
      <w:r>
        <w:t>是由裸土指数（</w:t>
      </w:r>
      <w:r>
        <w:t>SI</w:t>
      </w:r>
      <w:r>
        <w:t>）和建筑指数（</w:t>
      </w:r>
      <w:r>
        <w:t>IBI</w:t>
      </w:r>
      <w:r>
        <w:t>）合在一起得到的，它的绝对值平均值达到了</w:t>
      </w:r>
      <w:r>
        <w:t xml:space="preserve"> 0.5149</w:t>
      </w:r>
      <w:r>
        <w:t>，在所有时段里是</w:t>
      </w:r>
      <w:r>
        <w:t xml:space="preserve"> PC1 </w:t>
      </w:r>
      <w:r>
        <w:t>里面影响力最大的一个单独指标；这种负向的影响从原理上印证了，</w:t>
      </w:r>
      <w:proofErr w:type="gramStart"/>
      <w:r>
        <w:t>不</w:t>
      </w:r>
      <w:proofErr w:type="gramEnd"/>
      <w:r>
        <w:t>透水面向外扩张和裸土大量暴露，正是导致吉林省三北区域生态质量退化的首要推动力，这个情况跟干热复合胁迫加剧区域生态脆弱性的核心机理是对得上的。</w:t>
      </w:r>
    </w:p>
    <w:p w14:paraId="6DF1437F" w14:textId="77777777" w:rsidR="00D46586" w:rsidRDefault="00000000">
      <w:pPr>
        <w:pStyle w:val="a3"/>
        <w:ind w:left="480" w:firstLine="480"/>
      </w:pPr>
      <w:r>
        <w:t>再看载荷结构在时间推移过程中的稳定性。把七期</w:t>
      </w:r>
      <w:r>
        <w:t xml:space="preserve"> PCA </w:t>
      </w:r>
      <w:r>
        <w:t>的结果放在一起观察，这四项指标载荷的正负符号方向从头到尾都是一样的，数值的波动</w:t>
      </w:r>
      <w:r>
        <w:lastRenderedPageBreak/>
        <w:t>也特别小，像</w:t>
      </w:r>
      <w:r>
        <w:t xml:space="preserve"> NDVI </w:t>
      </w:r>
      <w:r>
        <w:t>的标准差是</w:t>
      </w:r>
      <w:r>
        <w:t xml:space="preserve"> 0.023</w:t>
      </w:r>
      <w:r>
        <w:t>，</w:t>
      </w:r>
      <w:r>
        <w:t xml:space="preserve">LST </w:t>
      </w:r>
      <w:r>
        <w:t>的标准差只有</w:t>
      </w:r>
      <w:r>
        <w:t xml:space="preserve"> 0.016</w:t>
      </w:r>
      <w:r>
        <w:t>，这就可以说明，</w:t>
      </w:r>
      <w:r>
        <w:t xml:space="preserve">RSEI </w:t>
      </w:r>
      <w:r>
        <w:t>这样一个指标集成的框架，在</w:t>
      </w:r>
      <w:r>
        <w:t xml:space="preserve"> 35 </w:t>
      </w:r>
      <w:r>
        <w:t>年的时间尺度上是相当稳健的。</w:t>
      </w:r>
      <w:r>
        <w:t xml:space="preserve">NDBSI </w:t>
      </w:r>
      <w:r>
        <w:t>载荷的绝对值在</w:t>
      </w:r>
      <w:r>
        <w:t xml:space="preserve"> 2010—2014 </w:t>
      </w:r>
      <w:r>
        <w:t>年这个时期达到了最高的</w:t>
      </w:r>
      <w:r>
        <w:t xml:space="preserve"> -0.5310</w:t>
      </w:r>
      <w:r>
        <w:t>，这刚好对应着城市化快速推进的阶段，建设用地的扩张给生态质量带来了强烈的负面压力；而同一个时期，</w:t>
      </w:r>
      <w:r>
        <w:t xml:space="preserve">NDVI </w:t>
      </w:r>
      <w:r>
        <w:t>的载荷也达到了峰值</w:t>
      </w:r>
      <w:r>
        <w:t xml:space="preserve"> 0.5821</w:t>
      </w:r>
      <w:r>
        <w:t>，这反映出植被起到的正面作用在同步增强，这种</w:t>
      </w:r>
      <w:r>
        <w:t>“</w:t>
      </w:r>
      <w:r>
        <w:t>正面效应抵消负面效应</w:t>
      </w:r>
      <w:r>
        <w:t>”</w:t>
      </w:r>
      <w:r>
        <w:t>的机制，从侧面很好地证实了，吉林省三北防护林工程的建设，在遏制生态退化这件事上确实是发挥了关键调节作用的。</w:t>
      </w:r>
    </w:p>
    <w:p w14:paraId="5BB7560C" w14:textId="77777777" w:rsidR="00D46586" w:rsidRDefault="00000000">
      <w:pPr>
        <w:pStyle w:val="a3"/>
        <w:ind w:left="480" w:firstLine="480"/>
      </w:pPr>
      <w:r>
        <w:rPr>
          <w:rFonts w:hint="eastAsia"/>
        </w:rPr>
        <w:t>以下是七期</w:t>
      </w:r>
      <w:r>
        <w:rPr>
          <w:rFonts w:hint="eastAsia"/>
        </w:rPr>
        <w:t>RESI</w:t>
      </w:r>
      <w:r>
        <w:rPr>
          <w:rFonts w:hint="eastAsia"/>
        </w:rPr>
        <w:t>示意图</w:t>
      </w:r>
    </w:p>
    <w:p w14:paraId="7103CDE0" w14:textId="77777777" w:rsidR="0035488F" w:rsidRDefault="00000000" w:rsidP="0035488F">
      <w:pPr>
        <w:pStyle w:val="a3"/>
        <w:keepNext/>
        <w:ind w:left="480" w:firstLine="440"/>
        <w:jc w:val="center"/>
      </w:pPr>
      <w:r w:rsidRPr="0035488F">
        <w:rPr>
          <w:rFonts w:hint="eastAsia"/>
          <w:noProof/>
          <w:sz w:val="22"/>
          <w:szCs w:val="22"/>
        </w:rPr>
        <w:drawing>
          <wp:inline distT="0" distB="0" distL="114300" distR="114300" wp14:anchorId="31A3925E" wp14:editId="7F0144B9">
            <wp:extent cx="3291840" cy="2329610"/>
            <wp:effectExtent l="0" t="0" r="3810" b="0"/>
            <wp:docPr id="1" name="图片 1" descr="RSE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SEI（1）"/>
                    <pic:cNvPicPr>
                      <a:picLocks noChangeAspect="1"/>
                    </pic:cNvPicPr>
                  </pic:nvPicPr>
                  <pic:blipFill>
                    <a:blip r:embed="rId18"/>
                    <a:stretch>
                      <a:fillRect/>
                    </a:stretch>
                  </pic:blipFill>
                  <pic:spPr>
                    <a:xfrm>
                      <a:off x="0" y="0"/>
                      <a:ext cx="3299215" cy="2334829"/>
                    </a:xfrm>
                    <a:prstGeom prst="rect">
                      <a:avLst/>
                    </a:prstGeom>
                  </pic:spPr>
                </pic:pic>
              </a:graphicData>
            </a:graphic>
          </wp:inline>
        </w:drawing>
      </w:r>
      <w:r>
        <w:rPr>
          <w:rFonts w:hint="eastAsia"/>
          <w:noProof/>
        </w:rPr>
        <w:drawing>
          <wp:inline distT="0" distB="0" distL="114300" distR="114300" wp14:anchorId="1A34F88C" wp14:editId="07B8FC94">
            <wp:extent cx="2340000" cy="1656000"/>
            <wp:effectExtent l="0" t="0" r="3175" b="1905"/>
            <wp:docPr id="3" name="图片 3" descr="RSE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RSEI（2）"/>
                    <pic:cNvPicPr>
                      <a:picLocks noChangeAspect="1"/>
                    </pic:cNvPicPr>
                  </pic:nvPicPr>
                  <pic:blipFill>
                    <a:blip r:embed="rId19"/>
                    <a:stretch>
                      <a:fillRect/>
                    </a:stretch>
                  </pic:blipFill>
                  <pic:spPr>
                    <a:xfrm>
                      <a:off x="0" y="0"/>
                      <a:ext cx="2340000" cy="1656000"/>
                    </a:xfrm>
                    <a:prstGeom prst="rect">
                      <a:avLst/>
                    </a:prstGeom>
                  </pic:spPr>
                </pic:pic>
              </a:graphicData>
            </a:graphic>
          </wp:inline>
        </w:drawing>
      </w:r>
      <w:r>
        <w:rPr>
          <w:rFonts w:hint="eastAsia"/>
          <w:noProof/>
        </w:rPr>
        <w:drawing>
          <wp:inline distT="0" distB="0" distL="114300" distR="114300" wp14:anchorId="2DE6D6C2" wp14:editId="33159F93">
            <wp:extent cx="2340000" cy="1656000"/>
            <wp:effectExtent l="0" t="0" r="3175" b="1905"/>
            <wp:docPr id="4" name="图片 4" descr="RSE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RSEI（3）"/>
                    <pic:cNvPicPr>
                      <a:picLocks noChangeAspect="1"/>
                    </pic:cNvPicPr>
                  </pic:nvPicPr>
                  <pic:blipFill>
                    <a:blip r:embed="rId20"/>
                    <a:stretch>
                      <a:fillRect/>
                    </a:stretch>
                  </pic:blipFill>
                  <pic:spPr>
                    <a:xfrm>
                      <a:off x="0" y="0"/>
                      <a:ext cx="2340000" cy="1656000"/>
                    </a:xfrm>
                    <a:prstGeom prst="rect">
                      <a:avLst/>
                    </a:prstGeom>
                  </pic:spPr>
                </pic:pic>
              </a:graphicData>
            </a:graphic>
          </wp:inline>
        </w:drawing>
      </w:r>
      <w:r>
        <w:rPr>
          <w:rFonts w:hint="eastAsia"/>
          <w:noProof/>
        </w:rPr>
        <w:drawing>
          <wp:inline distT="0" distB="0" distL="114300" distR="114300" wp14:anchorId="51F6BE57" wp14:editId="5F979C26">
            <wp:extent cx="2340000" cy="1656000"/>
            <wp:effectExtent l="0" t="0" r="3175" b="1905"/>
            <wp:docPr id="5" name="图片 5" descr="RSE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RSEI（4）"/>
                    <pic:cNvPicPr>
                      <a:picLocks noChangeAspect="1"/>
                    </pic:cNvPicPr>
                  </pic:nvPicPr>
                  <pic:blipFill>
                    <a:blip r:embed="rId21"/>
                    <a:stretch>
                      <a:fillRect/>
                    </a:stretch>
                  </pic:blipFill>
                  <pic:spPr>
                    <a:xfrm>
                      <a:off x="0" y="0"/>
                      <a:ext cx="2340000" cy="1656000"/>
                    </a:xfrm>
                    <a:prstGeom prst="rect">
                      <a:avLst/>
                    </a:prstGeom>
                  </pic:spPr>
                </pic:pic>
              </a:graphicData>
            </a:graphic>
          </wp:inline>
        </w:drawing>
      </w:r>
      <w:r>
        <w:rPr>
          <w:rFonts w:hint="eastAsia"/>
          <w:noProof/>
        </w:rPr>
        <w:drawing>
          <wp:inline distT="0" distB="0" distL="114300" distR="114300" wp14:anchorId="123E4BD5" wp14:editId="564E3E29">
            <wp:extent cx="2340000" cy="1656000"/>
            <wp:effectExtent l="0" t="0" r="3175" b="1905"/>
            <wp:docPr id="6" name="图片 6" descr="RSEI（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RSEI（5）"/>
                    <pic:cNvPicPr>
                      <a:picLocks noChangeAspect="1"/>
                    </pic:cNvPicPr>
                  </pic:nvPicPr>
                  <pic:blipFill>
                    <a:blip r:embed="rId22"/>
                    <a:stretch>
                      <a:fillRect/>
                    </a:stretch>
                  </pic:blipFill>
                  <pic:spPr>
                    <a:xfrm>
                      <a:off x="0" y="0"/>
                      <a:ext cx="2340000" cy="1656000"/>
                    </a:xfrm>
                    <a:prstGeom prst="rect">
                      <a:avLst/>
                    </a:prstGeom>
                  </pic:spPr>
                </pic:pic>
              </a:graphicData>
            </a:graphic>
          </wp:inline>
        </w:drawing>
      </w:r>
      <w:r>
        <w:rPr>
          <w:rFonts w:hint="eastAsia"/>
          <w:noProof/>
        </w:rPr>
        <w:lastRenderedPageBreak/>
        <w:drawing>
          <wp:inline distT="0" distB="0" distL="114300" distR="114300" wp14:anchorId="5DD1923C" wp14:editId="12B39B5D">
            <wp:extent cx="2340000" cy="1656000"/>
            <wp:effectExtent l="0" t="0" r="3175" b="1905"/>
            <wp:docPr id="7" name="图片 7" descr="RSEI（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RSEI（6）"/>
                    <pic:cNvPicPr>
                      <a:picLocks noChangeAspect="1"/>
                    </pic:cNvPicPr>
                  </pic:nvPicPr>
                  <pic:blipFill>
                    <a:blip r:embed="rId23"/>
                    <a:stretch>
                      <a:fillRect/>
                    </a:stretch>
                  </pic:blipFill>
                  <pic:spPr>
                    <a:xfrm>
                      <a:off x="0" y="0"/>
                      <a:ext cx="2340000" cy="1656000"/>
                    </a:xfrm>
                    <a:prstGeom prst="rect">
                      <a:avLst/>
                    </a:prstGeom>
                  </pic:spPr>
                </pic:pic>
              </a:graphicData>
            </a:graphic>
          </wp:inline>
        </w:drawing>
      </w:r>
      <w:r>
        <w:rPr>
          <w:rFonts w:hint="eastAsia"/>
          <w:noProof/>
        </w:rPr>
        <w:drawing>
          <wp:inline distT="0" distB="0" distL="114300" distR="114300" wp14:anchorId="01902DAA" wp14:editId="0F5C0AEA">
            <wp:extent cx="2340000" cy="1656000"/>
            <wp:effectExtent l="0" t="0" r="3175" b="1905"/>
            <wp:docPr id="8" name="图片 8" descr="RSEI（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RSEI（7）"/>
                    <pic:cNvPicPr>
                      <a:picLocks noChangeAspect="1"/>
                    </pic:cNvPicPr>
                  </pic:nvPicPr>
                  <pic:blipFill>
                    <a:blip r:embed="rId24"/>
                    <a:stretch>
                      <a:fillRect/>
                    </a:stretch>
                  </pic:blipFill>
                  <pic:spPr>
                    <a:xfrm>
                      <a:off x="0" y="0"/>
                      <a:ext cx="2340000" cy="1656000"/>
                    </a:xfrm>
                    <a:prstGeom prst="rect">
                      <a:avLst/>
                    </a:prstGeom>
                  </pic:spPr>
                </pic:pic>
              </a:graphicData>
            </a:graphic>
          </wp:inline>
        </w:drawing>
      </w:r>
    </w:p>
    <w:p w14:paraId="685F1D94" w14:textId="0CB55940" w:rsidR="0035488F" w:rsidRPr="0035488F" w:rsidRDefault="0035488F" w:rsidP="0035488F">
      <w:pPr>
        <w:pStyle w:val="a5"/>
        <w:ind w:left="480"/>
        <w:jc w:val="center"/>
        <w:rPr>
          <w:rFonts w:asciiTheme="minorEastAsia" w:eastAsiaTheme="minorEastAsia" w:hAnsiTheme="minorEastAsia" w:hint="eastAsia"/>
          <w:sz w:val="24"/>
          <w:szCs w:val="24"/>
        </w:rPr>
      </w:pPr>
      <w:r w:rsidRPr="0035488F">
        <w:rPr>
          <w:rFonts w:asciiTheme="minorEastAsia" w:eastAsiaTheme="minorEastAsia" w:hAnsiTheme="minorEastAsia" w:hint="eastAsia"/>
          <w:sz w:val="24"/>
          <w:szCs w:val="24"/>
        </w:rPr>
        <w:t xml:space="preserve">图4- </w:t>
      </w:r>
      <w:r w:rsidRPr="0035488F">
        <w:rPr>
          <w:rFonts w:asciiTheme="minorEastAsia" w:eastAsiaTheme="minorEastAsia" w:hAnsiTheme="minorEastAsia"/>
          <w:sz w:val="24"/>
          <w:szCs w:val="24"/>
        </w:rPr>
        <w:fldChar w:fldCharType="begin"/>
      </w:r>
      <w:r w:rsidRPr="0035488F">
        <w:rPr>
          <w:rFonts w:asciiTheme="minorEastAsia" w:eastAsiaTheme="minorEastAsia" w:hAnsiTheme="minorEastAsia"/>
          <w:sz w:val="24"/>
          <w:szCs w:val="24"/>
        </w:rPr>
        <w:instrText xml:space="preserve"> </w:instrText>
      </w:r>
      <w:r w:rsidRPr="0035488F">
        <w:rPr>
          <w:rFonts w:asciiTheme="minorEastAsia" w:eastAsiaTheme="minorEastAsia" w:hAnsiTheme="minorEastAsia" w:hint="eastAsia"/>
          <w:sz w:val="24"/>
          <w:szCs w:val="24"/>
        </w:rPr>
        <w:instrText>SEQ 图4- \* ARABIC</w:instrText>
      </w:r>
      <w:r w:rsidRPr="0035488F">
        <w:rPr>
          <w:rFonts w:asciiTheme="minorEastAsia" w:eastAsiaTheme="minorEastAsia" w:hAnsiTheme="minorEastAsia"/>
          <w:sz w:val="24"/>
          <w:szCs w:val="24"/>
        </w:rPr>
        <w:instrText xml:space="preserve"> </w:instrText>
      </w:r>
      <w:r w:rsidRPr="0035488F">
        <w:rPr>
          <w:rFonts w:asciiTheme="minorEastAsia" w:eastAsiaTheme="minorEastAsia" w:hAnsiTheme="minorEastAsia"/>
          <w:sz w:val="24"/>
          <w:szCs w:val="24"/>
        </w:rPr>
        <w:fldChar w:fldCharType="separate"/>
      </w:r>
      <w:r w:rsidRPr="0035488F">
        <w:rPr>
          <w:rFonts w:asciiTheme="minorEastAsia" w:eastAsiaTheme="minorEastAsia" w:hAnsiTheme="minorEastAsia"/>
          <w:noProof/>
          <w:sz w:val="24"/>
          <w:szCs w:val="24"/>
        </w:rPr>
        <w:t>1</w:t>
      </w:r>
      <w:r w:rsidRPr="0035488F">
        <w:rPr>
          <w:rFonts w:asciiTheme="minorEastAsia" w:eastAsiaTheme="minorEastAsia" w:hAnsiTheme="minorEastAsia"/>
          <w:sz w:val="24"/>
          <w:szCs w:val="24"/>
        </w:rPr>
        <w:fldChar w:fldCharType="end"/>
      </w:r>
      <w:r w:rsidRPr="0035488F">
        <w:rPr>
          <w:rFonts w:asciiTheme="minorEastAsia" w:eastAsiaTheme="minorEastAsia" w:hAnsiTheme="minorEastAsia" w:hint="eastAsia"/>
          <w:sz w:val="24"/>
          <w:szCs w:val="24"/>
        </w:rPr>
        <w:t>各期RSEI示意图</w:t>
      </w:r>
    </w:p>
    <w:p w14:paraId="2502389D" w14:textId="77777777" w:rsidR="00D46586" w:rsidRDefault="00000000">
      <w:pPr>
        <w:pStyle w:val="3"/>
        <w:spacing w:before="78" w:after="78"/>
        <w:ind w:left="480"/>
      </w:pPr>
      <w:bookmarkStart w:id="148" w:name="_Toc230815681"/>
      <w:r>
        <w:t xml:space="preserve">4.1.2  RSEI </w:t>
      </w:r>
      <w:r>
        <w:t>与各因子相关性验证</w:t>
      </w:r>
      <w:bookmarkEnd w:id="148"/>
    </w:p>
    <w:p w14:paraId="6142A10C" w14:textId="60FE173A" w:rsidR="00D46586" w:rsidRDefault="00000000">
      <w:pPr>
        <w:pStyle w:val="a3"/>
        <w:ind w:left="480" w:firstLine="480"/>
      </w:pPr>
      <w:r>
        <w:t>为了定量检验</w:t>
      </w:r>
      <w:r>
        <w:t xml:space="preserve"> RSEI </w:t>
      </w:r>
      <w:r>
        <w:t>这个综合生态指数和四个生态指标之间关系的紧密程度，我们用了</w:t>
      </w:r>
      <w:r>
        <w:t xml:space="preserve"> 1985—2020 </w:t>
      </w:r>
      <w:r>
        <w:t>年全时段的有效像元数据来构建空间采样，样本数量达到</w:t>
      </w:r>
      <w:r>
        <w:t xml:space="preserve"> 625,986 </w:t>
      </w:r>
      <w:proofErr w:type="gramStart"/>
      <w:r>
        <w:t>个</w:t>
      </w:r>
      <w:proofErr w:type="gramEnd"/>
      <w:r>
        <w:t>，并在此基础上算出了这五个因子彼此的相关系数矩阵，最终的结果被放在了图</w:t>
      </w:r>
      <w:r>
        <w:t xml:space="preserve"> 4-</w:t>
      </w:r>
      <w:r w:rsidR="0035488F">
        <w:rPr>
          <w:rFonts w:hint="eastAsia"/>
        </w:rPr>
        <w:t>2</w:t>
      </w:r>
      <w:r>
        <w:t xml:space="preserve"> </w:t>
      </w:r>
      <w:r>
        <w:t>和表</w:t>
      </w:r>
      <w:r>
        <w:t xml:space="preserve"> 4-2 </w:t>
      </w:r>
      <w:r>
        <w:t>中。</w:t>
      </w:r>
    </w:p>
    <w:p w14:paraId="5429242C" w14:textId="77777777" w:rsidR="00D46586" w:rsidRDefault="00000000">
      <w:pPr>
        <w:pStyle w:val="a3"/>
        <w:ind w:left="480" w:firstLine="480"/>
        <w:rPr>
          <w:b/>
        </w:rPr>
      </w:pPr>
      <w:r>
        <w:rPr>
          <w:noProof/>
        </w:rPr>
        <w:drawing>
          <wp:inline distT="0" distB="0" distL="0" distR="0" wp14:anchorId="620B7216" wp14:editId="6C24AFDC">
            <wp:extent cx="4055110" cy="3633470"/>
            <wp:effectExtent l="0" t="0" r="13970" b="8890"/>
            <wp:docPr id="493370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7032" name="图片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055110" cy="3633470"/>
                    </a:xfrm>
                    <a:prstGeom prst="rect">
                      <a:avLst/>
                    </a:prstGeom>
                    <a:noFill/>
                    <a:ln>
                      <a:noFill/>
                    </a:ln>
                  </pic:spPr>
                </pic:pic>
              </a:graphicData>
            </a:graphic>
          </wp:inline>
        </w:drawing>
      </w:r>
      <w:r>
        <w:rPr>
          <w:b/>
        </w:rPr>
        <w:t xml:space="preserve"> </w:t>
      </w:r>
    </w:p>
    <w:p w14:paraId="495D8B85" w14:textId="08019577" w:rsidR="00D46586" w:rsidRPr="0035488F" w:rsidRDefault="00000000">
      <w:pPr>
        <w:pStyle w:val="a3"/>
        <w:ind w:left="480" w:firstLine="480"/>
        <w:jc w:val="center"/>
        <w:rPr>
          <w:rFonts w:asciiTheme="minorEastAsia" w:eastAsiaTheme="minorEastAsia" w:hAnsiTheme="minorEastAsia"/>
          <w:bCs/>
        </w:rPr>
      </w:pPr>
      <w:r w:rsidRPr="0035488F">
        <w:rPr>
          <w:rFonts w:asciiTheme="minorEastAsia" w:eastAsiaTheme="minorEastAsia" w:hAnsiTheme="minorEastAsia"/>
          <w:bCs/>
        </w:rPr>
        <w:t>图 4-</w:t>
      </w:r>
      <w:r w:rsidR="0035488F" w:rsidRPr="0035488F">
        <w:rPr>
          <w:rFonts w:asciiTheme="minorEastAsia" w:eastAsiaTheme="minorEastAsia" w:hAnsiTheme="minorEastAsia" w:hint="eastAsia"/>
          <w:bCs/>
        </w:rPr>
        <w:t>2</w:t>
      </w:r>
      <w:r w:rsidRPr="0035488F">
        <w:rPr>
          <w:rFonts w:asciiTheme="minorEastAsia" w:eastAsiaTheme="minorEastAsia" w:hAnsiTheme="minorEastAsia"/>
          <w:bCs/>
        </w:rPr>
        <w:t xml:space="preserve">  RSEI 与各生态因子的相关系数矩阵热力图</w:t>
      </w:r>
    </w:p>
    <w:p w14:paraId="24BE377F" w14:textId="77777777" w:rsidR="00D46586" w:rsidRPr="0035488F" w:rsidRDefault="00000000">
      <w:pPr>
        <w:pStyle w:val="a3"/>
        <w:ind w:left="480" w:firstLine="480"/>
        <w:rPr>
          <w:bCs/>
        </w:rPr>
      </w:pPr>
      <w:r w:rsidRPr="0035488F">
        <w:rPr>
          <w:bCs/>
        </w:rPr>
        <w:t>表</w:t>
      </w:r>
      <w:r w:rsidRPr="0035488F">
        <w:rPr>
          <w:bCs/>
        </w:rPr>
        <w:t xml:space="preserve"> 4-2  RSEI </w:t>
      </w:r>
      <w:r w:rsidRPr="0035488F">
        <w:rPr>
          <w:bCs/>
        </w:rPr>
        <w:t>与各生态因子的皮尔逊相关系数矩阵</w:t>
      </w:r>
    </w:p>
    <w:tbl>
      <w:tblPr>
        <w:tblStyle w:val="afe"/>
        <w:tblW w:w="4270" w:type="pct"/>
        <w:jc w:val="center"/>
        <w:tblLook w:val="04A0" w:firstRow="1" w:lastRow="0" w:firstColumn="1" w:lastColumn="0" w:noHBand="0" w:noVBand="1"/>
      </w:tblPr>
      <w:tblGrid>
        <w:gridCol w:w="1040"/>
        <w:gridCol w:w="1241"/>
        <w:gridCol w:w="1241"/>
        <w:gridCol w:w="1252"/>
        <w:gridCol w:w="1252"/>
        <w:gridCol w:w="1252"/>
      </w:tblGrid>
      <w:tr w:rsidR="00D46586" w14:paraId="68F1FCC7" w14:textId="77777777" w:rsidTr="00D46586">
        <w:trPr>
          <w:cnfStyle w:val="100000000000" w:firstRow="1" w:lastRow="0" w:firstColumn="0" w:lastColumn="0" w:oddVBand="0" w:evenVBand="0" w:oddHBand="0" w:evenHBand="0" w:firstRowFirstColumn="0" w:firstRowLastColumn="0" w:lastRowFirstColumn="0" w:lastRowLastColumn="0"/>
          <w:jc w:val="center"/>
        </w:trPr>
        <w:tc>
          <w:tcPr>
            <w:tcW w:w="714" w:type="pct"/>
          </w:tcPr>
          <w:p w14:paraId="3063D63C" w14:textId="77777777" w:rsidR="00D46586" w:rsidRDefault="00000000">
            <w:pPr>
              <w:widowControl/>
              <w:spacing w:before="100" w:beforeAutospacing="1" w:line="273" w:lineRule="auto"/>
              <w:ind w:leftChars="0" w:left="480"/>
              <w:jc w:val="center"/>
              <w:rPr>
                <w:rFonts w:ascii="宋体" w:eastAsia="Times New Roman" w:hAnsi="宋体" w:cs="Times New Roman"/>
                <w:bCs/>
                <w:kern w:val="0"/>
              </w:rPr>
            </w:pPr>
            <w:r>
              <w:rPr>
                <w:rFonts w:ascii="宋体" w:eastAsia="Times New Roman" w:hAnsi="宋体" w:cs="Times New Roman"/>
                <w:bCs/>
                <w:kern w:val="0"/>
                <w:sz w:val="18"/>
                <w:szCs w:val="18"/>
              </w:rPr>
              <w:t>LST</w:t>
            </w:r>
          </w:p>
        </w:tc>
        <w:tc>
          <w:tcPr>
            <w:tcW w:w="852" w:type="pct"/>
          </w:tcPr>
          <w:p w14:paraId="011E8023" w14:textId="77777777" w:rsidR="00D46586" w:rsidRDefault="00000000">
            <w:pPr>
              <w:widowControl/>
              <w:spacing w:before="100" w:beforeAutospacing="1" w:line="273" w:lineRule="auto"/>
              <w:ind w:leftChars="0" w:left="0"/>
              <w:jc w:val="center"/>
              <w:rPr>
                <w:rFonts w:ascii="宋体" w:eastAsia="Times New Roman" w:hAnsi="宋体" w:cs="Times New Roman"/>
                <w:bCs/>
                <w:kern w:val="0"/>
              </w:rPr>
            </w:pPr>
            <w:r>
              <w:rPr>
                <w:rFonts w:ascii="宋体" w:eastAsia="Times New Roman" w:hAnsi="宋体" w:cs="Times New Roman"/>
                <w:bCs/>
                <w:kern w:val="0"/>
                <w:sz w:val="18"/>
                <w:szCs w:val="18"/>
              </w:rPr>
              <w:t>1.000</w:t>
            </w:r>
          </w:p>
        </w:tc>
        <w:tc>
          <w:tcPr>
            <w:tcW w:w="852" w:type="pct"/>
          </w:tcPr>
          <w:p w14:paraId="0A266502" w14:textId="77777777" w:rsidR="00D46586" w:rsidRDefault="00000000">
            <w:pPr>
              <w:widowControl/>
              <w:spacing w:before="100" w:beforeAutospacing="1" w:line="273" w:lineRule="auto"/>
              <w:ind w:leftChars="0" w:left="0"/>
              <w:jc w:val="center"/>
              <w:rPr>
                <w:rFonts w:ascii="宋体" w:eastAsia="Times New Roman" w:hAnsi="宋体" w:cs="Times New Roman"/>
                <w:bCs/>
                <w:kern w:val="0"/>
              </w:rPr>
            </w:pPr>
            <w:r>
              <w:rPr>
                <w:rFonts w:ascii="宋体" w:eastAsia="Times New Roman" w:hAnsi="宋体" w:cs="Times New Roman"/>
                <w:bCs/>
                <w:kern w:val="0"/>
                <w:sz w:val="18"/>
                <w:szCs w:val="18"/>
              </w:rPr>
              <w:t>0.563</w:t>
            </w:r>
          </w:p>
        </w:tc>
        <w:tc>
          <w:tcPr>
            <w:tcW w:w="860" w:type="pct"/>
          </w:tcPr>
          <w:p w14:paraId="7DFDAA3B" w14:textId="77777777" w:rsidR="00D46586" w:rsidRDefault="00000000">
            <w:pPr>
              <w:widowControl/>
              <w:spacing w:before="100" w:beforeAutospacing="1" w:line="273" w:lineRule="auto"/>
              <w:ind w:leftChars="0" w:left="0"/>
              <w:jc w:val="center"/>
              <w:rPr>
                <w:rFonts w:ascii="宋体" w:eastAsia="Times New Roman" w:hAnsi="宋体" w:cs="Times New Roman"/>
                <w:bCs/>
                <w:kern w:val="0"/>
              </w:rPr>
            </w:pPr>
            <w:r>
              <w:rPr>
                <w:rFonts w:ascii="Cambria Math" w:eastAsia="Times New Roman" w:hAnsi="Cambria Math" w:cs="Cambria Math"/>
                <w:bCs/>
                <w:kern w:val="0"/>
                <w:sz w:val="18"/>
                <w:szCs w:val="18"/>
              </w:rPr>
              <w:t>−</w:t>
            </w:r>
            <w:r>
              <w:rPr>
                <w:rFonts w:ascii="宋体" w:eastAsia="Times New Roman" w:hAnsi="宋体" w:cs="Times New Roman"/>
                <w:bCs/>
                <w:kern w:val="0"/>
                <w:sz w:val="18"/>
                <w:szCs w:val="18"/>
              </w:rPr>
              <w:t>0.682</w:t>
            </w:r>
          </w:p>
        </w:tc>
        <w:tc>
          <w:tcPr>
            <w:tcW w:w="860" w:type="pct"/>
          </w:tcPr>
          <w:p w14:paraId="0778A118" w14:textId="77777777" w:rsidR="00D46586" w:rsidRDefault="00000000">
            <w:pPr>
              <w:widowControl/>
              <w:spacing w:before="100" w:beforeAutospacing="1" w:line="273" w:lineRule="auto"/>
              <w:ind w:leftChars="0" w:left="0"/>
              <w:jc w:val="center"/>
              <w:rPr>
                <w:rFonts w:ascii="宋体" w:eastAsia="Times New Roman" w:hAnsi="宋体" w:cs="Times New Roman"/>
                <w:bCs/>
                <w:kern w:val="0"/>
              </w:rPr>
            </w:pPr>
            <w:r>
              <w:rPr>
                <w:rFonts w:ascii="Cambria Math" w:eastAsia="Times New Roman" w:hAnsi="Cambria Math" w:cs="Cambria Math"/>
                <w:bCs/>
                <w:kern w:val="0"/>
                <w:sz w:val="18"/>
                <w:szCs w:val="18"/>
              </w:rPr>
              <w:t>−</w:t>
            </w:r>
            <w:r>
              <w:rPr>
                <w:rFonts w:ascii="宋体" w:eastAsia="Times New Roman" w:hAnsi="宋体" w:cs="Times New Roman"/>
                <w:bCs/>
                <w:kern w:val="0"/>
                <w:sz w:val="18"/>
                <w:szCs w:val="18"/>
              </w:rPr>
              <w:t>0.547</w:t>
            </w:r>
          </w:p>
        </w:tc>
        <w:tc>
          <w:tcPr>
            <w:tcW w:w="860" w:type="pct"/>
          </w:tcPr>
          <w:p w14:paraId="39C8D722" w14:textId="77777777" w:rsidR="00D46586" w:rsidRDefault="00000000">
            <w:pPr>
              <w:widowControl/>
              <w:spacing w:before="100" w:beforeAutospacing="1" w:line="273" w:lineRule="auto"/>
              <w:ind w:leftChars="0" w:left="0"/>
              <w:jc w:val="center"/>
              <w:rPr>
                <w:rFonts w:ascii="宋体" w:eastAsia="Times New Roman" w:hAnsi="宋体" w:cs="Times New Roman"/>
                <w:bCs/>
                <w:kern w:val="0"/>
              </w:rPr>
            </w:pPr>
            <w:r>
              <w:rPr>
                <w:rFonts w:ascii="Cambria Math" w:eastAsia="Times New Roman" w:hAnsi="Cambria Math" w:cs="Cambria Math"/>
                <w:bCs/>
                <w:kern w:val="0"/>
                <w:sz w:val="18"/>
                <w:szCs w:val="18"/>
              </w:rPr>
              <w:t>−</w:t>
            </w:r>
            <w:r>
              <w:rPr>
                <w:rFonts w:ascii="宋体" w:eastAsia="Times New Roman" w:hAnsi="宋体" w:cs="Times New Roman"/>
                <w:bCs/>
                <w:kern w:val="0"/>
                <w:sz w:val="18"/>
                <w:szCs w:val="18"/>
              </w:rPr>
              <w:t>0.619</w:t>
            </w:r>
          </w:p>
        </w:tc>
      </w:tr>
      <w:tr w:rsidR="00D46586" w14:paraId="62F47344" w14:textId="77777777" w:rsidTr="00D46586">
        <w:trPr>
          <w:jc w:val="center"/>
        </w:trPr>
        <w:tc>
          <w:tcPr>
            <w:tcW w:w="714" w:type="pct"/>
          </w:tcPr>
          <w:p w14:paraId="267B5ECC"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NDBSI</w:t>
            </w:r>
          </w:p>
        </w:tc>
        <w:tc>
          <w:tcPr>
            <w:tcW w:w="852" w:type="pct"/>
          </w:tcPr>
          <w:p w14:paraId="65F07F4A"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0.563</w:t>
            </w:r>
          </w:p>
        </w:tc>
        <w:tc>
          <w:tcPr>
            <w:tcW w:w="852" w:type="pct"/>
          </w:tcPr>
          <w:p w14:paraId="5650292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1.000</w:t>
            </w:r>
          </w:p>
        </w:tc>
        <w:tc>
          <w:tcPr>
            <w:tcW w:w="860" w:type="pct"/>
          </w:tcPr>
          <w:p w14:paraId="5C478CE4"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0.876</w:t>
            </w:r>
          </w:p>
        </w:tc>
        <w:tc>
          <w:tcPr>
            <w:tcW w:w="860" w:type="pct"/>
          </w:tcPr>
          <w:p w14:paraId="3FF4EADC"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0.821</w:t>
            </w:r>
          </w:p>
        </w:tc>
        <w:tc>
          <w:tcPr>
            <w:tcW w:w="860" w:type="pct"/>
          </w:tcPr>
          <w:p w14:paraId="31E2C035"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0.924</w:t>
            </w:r>
          </w:p>
        </w:tc>
      </w:tr>
      <w:tr w:rsidR="00D46586" w14:paraId="03B99AB9" w14:textId="77777777" w:rsidTr="00D46586">
        <w:trPr>
          <w:jc w:val="center"/>
        </w:trPr>
        <w:tc>
          <w:tcPr>
            <w:tcW w:w="714" w:type="pct"/>
          </w:tcPr>
          <w:p w14:paraId="56F6D284"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lastRenderedPageBreak/>
              <w:t>NDVI</w:t>
            </w:r>
          </w:p>
        </w:tc>
        <w:tc>
          <w:tcPr>
            <w:tcW w:w="852" w:type="pct"/>
          </w:tcPr>
          <w:p w14:paraId="55F6F17C"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0.682</w:t>
            </w:r>
          </w:p>
        </w:tc>
        <w:tc>
          <w:tcPr>
            <w:tcW w:w="852" w:type="pct"/>
          </w:tcPr>
          <w:p w14:paraId="7D9B129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0.876</w:t>
            </w:r>
          </w:p>
        </w:tc>
        <w:tc>
          <w:tcPr>
            <w:tcW w:w="860" w:type="pct"/>
          </w:tcPr>
          <w:p w14:paraId="4124FDF4"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1.000</w:t>
            </w:r>
          </w:p>
        </w:tc>
        <w:tc>
          <w:tcPr>
            <w:tcW w:w="860" w:type="pct"/>
          </w:tcPr>
          <w:p w14:paraId="432F3E0D"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0.793</w:t>
            </w:r>
          </w:p>
        </w:tc>
        <w:tc>
          <w:tcPr>
            <w:tcW w:w="860" w:type="pct"/>
          </w:tcPr>
          <w:p w14:paraId="066C4C59"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0.856</w:t>
            </w:r>
          </w:p>
        </w:tc>
      </w:tr>
      <w:tr w:rsidR="00D46586" w14:paraId="1049DE05" w14:textId="77777777" w:rsidTr="00D46586">
        <w:trPr>
          <w:jc w:val="center"/>
        </w:trPr>
        <w:tc>
          <w:tcPr>
            <w:tcW w:w="714" w:type="pct"/>
          </w:tcPr>
          <w:p w14:paraId="02715B04"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WET</w:t>
            </w:r>
          </w:p>
        </w:tc>
        <w:tc>
          <w:tcPr>
            <w:tcW w:w="852" w:type="pct"/>
          </w:tcPr>
          <w:p w14:paraId="51BD5795"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0.547</w:t>
            </w:r>
          </w:p>
        </w:tc>
        <w:tc>
          <w:tcPr>
            <w:tcW w:w="852" w:type="pct"/>
          </w:tcPr>
          <w:p w14:paraId="67D5D2A2"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0.821</w:t>
            </w:r>
          </w:p>
        </w:tc>
        <w:tc>
          <w:tcPr>
            <w:tcW w:w="860" w:type="pct"/>
          </w:tcPr>
          <w:p w14:paraId="10FE8A17"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0.793</w:t>
            </w:r>
          </w:p>
        </w:tc>
        <w:tc>
          <w:tcPr>
            <w:tcW w:w="860" w:type="pct"/>
          </w:tcPr>
          <w:p w14:paraId="100443CA"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1.000</w:t>
            </w:r>
          </w:p>
        </w:tc>
        <w:tc>
          <w:tcPr>
            <w:tcW w:w="860" w:type="pct"/>
          </w:tcPr>
          <w:p w14:paraId="0EA94F0A"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0.881</w:t>
            </w:r>
          </w:p>
        </w:tc>
      </w:tr>
      <w:tr w:rsidR="00D46586" w14:paraId="64069560" w14:textId="77777777" w:rsidTr="00D46586">
        <w:trPr>
          <w:jc w:val="center"/>
        </w:trPr>
        <w:tc>
          <w:tcPr>
            <w:tcW w:w="714" w:type="pct"/>
          </w:tcPr>
          <w:p w14:paraId="7CD71FCF"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RSEI</w:t>
            </w:r>
          </w:p>
        </w:tc>
        <w:tc>
          <w:tcPr>
            <w:tcW w:w="852" w:type="pct"/>
          </w:tcPr>
          <w:p w14:paraId="63EC38AA"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0.619</w:t>
            </w:r>
          </w:p>
        </w:tc>
        <w:tc>
          <w:tcPr>
            <w:tcW w:w="852" w:type="pct"/>
          </w:tcPr>
          <w:p w14:paraId="7846C452"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0.924</w:t>
            </w:r>
          </w:p>
        </w:tc>
        <w:tc>
          <w:tcPr>
            <w:tcW w:w="860" w:type="pct"/>
          </w:tcPr>
          <w:p w14:paraId="4DE67393"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0.856</w:t>
            </w:r>
          </w:p>
        </w:tc>
        <w:tc>
          <w:tcPr>
            <w:tcW w:w="860" w:type="pct"/>
          </w:tcPr>
          <w:p w14:paraId="1CECBCED"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0.881</w:t>
            </w:r>
          </w:p>
        </w:tc>
        <w:tc>
          <w:tcPr>
            <w:tcW w:w="860" w:type="pct"/>
          </w:tcPr>
          <w:p w14:paraId="41188080"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1.000</w:t>
            </w:r>
          </w:p>
        </w:tc>
      </w:tr>
    </w:tbl>
    <w:p w14:paraId="6B9D6CC6" w14:textId="77777777" w:rsidR="00D46586" w:rsidRDefault="00D46586">
      <w:pPr>
        <w:pStyle w:val="a3"/>
        <w:ind w:left="480" w:firstLine="480"/>
      </w:pPr>
    </w:p>
    <w:p w14:paraId="1162CD29" w14:textId="77777777" w:rsidR="00D46586" w:rsidRDefault="00000000">
      <w:pPr>
        <w:pStyle w:val="a3"/>
        <w:ind w:left="480" w:firstLine="480"/>
      </w:pPr>
      <w:r>
        <w:t>注：所有相关系数均通过</w:t>
      </w:r>
      <w:r>
        <w:t xml:space="preserve"> p &lt; 0.001 </w:t>
      </w:r>
      <w:r>
        <w:t>水平的显著性检验（双尾</w:t>
      </w:r>
      <w:r>
        <w:rPr>
          <w:rFonts w:hint="eastAsia"/>
        </w:rPr>
        <w:t>）。</w:t>
      </w:r>
    </w:p>
    <w:p w14:paraId="166560A9" w14:textId="77777777" w:rsidR="00D46586" w:rsidRDefault="00000000">
      <w:pPr>
        <w:pStyle w:val="a3"/>
        <w:ind w:left="480" w:firstLine="480"/>
      </w:pPr>
      <w:r>
        <w:t>从表</w:t>
      </w:r>
      <w:r>
        <w:t xml:space="preserve"> 4-2 </w:t>
      </w:r>
      <w:r>
        <w:t>和图</w:t>
      </w:r>
      <w:r>
        <w:t xml:space="preserve"> 4-1 </w:t>
      </w:r>
      <w:r>
        <w:t>里能看出来，</w:t>
      </w:r>
      <w:r>
        <w:t xml:space="preserve">RSEI </w:t>
      </w:r>
      <w:r>
        <w:t>与各个生态因子的相关关系表现出一种很清晰的、也符合生态物理原理的</w:t>
      </w:r>
      <w:r>
        <w:t>“</w:t>
      </w:r>
      <w:r>
        <w:t>一正一负</w:t>
      </w:r>
      <w:r>
        <w:t>”</w:t>
      </w:r>
      <w:r>
        <w:t>两分结构：</w:t>
      </w:r>
    </w:p>
    <w:p w14:paraId="4A39E0CD" w14:textId="77777777" w:rsidR="00D46586" w:rsidRDefault="00000000">
      <w:pPr>
        <w:pStyle w:val="a3"/>
        <w:ind w:left="480" w:firstLine="480"/>
      </w:pPr>
      <w:r>
        <w:t>（</w:t>
      </w:r>
      <w:r>
        <w:t>1</w:t>
      </w:r>
      <w:r>
        <w:t>）湿度（</w:t>
      </w:r>
      <w:r>
        <w:t>WET</w:t>
      </w:r>
      <w:r>
        <w:t>）跟</w:t>
      </w:r>
      <w:r>
        <w:t xml:space="preserve"> RSEI </w:t>
      </w:r>
      <w:r>
        <w:t>之间呈现出了最强的正向相关，相关系数达到了</w:t>
      </w:r>
      <w:r>
        <w:t xml:space="preserve"> 0.881</w:t>
      </w:r>
      <w:r>
        <w:t>；在所有四个生态指标里，</w:t>
      </w:r>
      <w:r>
        <w:t xml:space="preserve">WET </w:t>
      </w:r>
      <w:r>
        <w:t>与</w:t>
      </w:r>
      <w:r>
        <w:t xml:space="preserve"> RSEI </w:t>
      </w:r>
      <w:r>
        <w:t>的相关系数是最高的，这就说明水分条件是限制吉林省西部半干旱区生态系统健康的一个基础性因子，吉林省的三北区域从东南往西北方向存在着很明显的降水梯度，年降水量从超过</w:t>
      </w:r>
      <w:r>
        <w:t xml:space="preserve"> 800 </w:t>
      </w:r>
      <w:r>
        <w:t>毫米一直减少到不足</w:t>
      </w:r>
      <w:r>
        <w:t xml:space="preserve"> 400 </w:t>
      </w:r>
      <w:r>
        <w:t>毫米，湿度的这种空间差异直接带动了植被类型、土壤含水量以及生态系统生产力沿这个方向发生规律性的变化；跟渭河流域（宋慧敏等，</w:t>
      </w:r>
      <w:r>
        <w:t xml:space="preserve">2021 </w:t>
      </w:r>
      <w:r>
        <w:t>年得到的</w:t>
      </w:r>
      <w:r>
        <w:t xml:space="preserve"> </w:t>
      </w:r>
      <w:proofErr w:type="spellStart"/>
      <w:r>
        <w:t>rRSEI</w:t>
      </w:r>
      <w:proofErr w:type="spellEnd"/>
      <w:r>
        <w:t xml:space="preserve">-WET </w:t>
      </w:r>
      <w:r>
        <w:t>为</w:t>
      </w:r>
      <w:r>
        <w:t xml:space="preserve"> 0.713</w:t>
      </w:r>
      <w:r>
        <w:t>）以及京津</w:t>
      </w:r>
      <w:proofErr w:type="gramStart"/>
      <w:r>
        <w:t>冀城</w:t>
      </w:r>
      <w:proofErr w:type="gramEnd"/>
      <w:r>
        <w:t>市群（张立伟等，</w:t>
      </w:r>
      <w:r>
        <w:t xml:space="preserve">2022 </w:t>
      </w:r>
      <w:r>
        <w:t>年得到的</w:t>
      </w:r>
      <w:r>
        <w:t xml:space="preserve"> </w:t>
      </w:r>
      <w:proofErr w:type="spellStart"/>
      <w:r>
        <w:t>rRSEI</w:t>
      </w:r>
      <w:proofErr w:type="spellEnd"/>
      <w:r>
        <w:t xml:space="preserve">-WET </w:t>
      </w:r>
      <w:r>
        <w:t>为</w:t>
      </w:r>
      <w:r>
        <w:t xml:space="preserve"> 0.657</w:t>
      </w:r>
      <w:r>
        <w:t>）这些同类研究</w:t>
      </w:r>
      <w:proofErr w:type="gramStart"/>
      <w:r>
        <w:t>一</w:t>
      </w:r>
      <w:proofErr w:type="gramEnd"/>
      <w:r>
        <w:t>对比，吉林省三北区域的</w:t>
      </w:r>
      <w:r>
        <w:t xml:space="preserve"> RSEI </w:t>
      </w:r>
      <w:r>
        <w:t>和</w:t>
      </w:r>
      <w:r>
        <w:t xml:space="preserve"> WET </w:t>
      </w:r>
      <w:r>
        <w:t>的关联程度明显要高出不少，高出的幅度在</w:t>
      </w:r>
      <w:r>
        <w:t xml:space="preserve"> 0.17 </w:t>
      </w:r>
      <w:r>
        <w:t>到</w:t>
      </w:r>
      <w:r>
        <w:t xml:space="preserve"> 0.22 </w:t>
      </w:r>
      <w:r>
        <w:t>之间，这背后反映出来的是，三北防护林体系通过树冠对降水的截留、枯枝落叶让土壤更容易接纳水分、降低贴近地面的风速从而减少蒸发等一系列调节水文的过程，系统性地加强了湿度和生态质量之间的正向锁定关系。</w:t>
      </w:r>
    </w:p>
    <w:p w14:paraId="2971F529" w14:textId="77777777" w:rsidR="00D46586" w:rsidRDefault="00000000">
      <w:pPr>
        <w:pStyle w:val="a3"/>
        <w:ind w:left="480" w:firstLine="480"/>
      </w:pPr>
      <w:r>
        <w:t>（</w:t>
      </w:r>
      <w:r>
        <w:t>2</w:t>
      </w:r>
      <w:r>
        <w:t>）绿度（</w:t>
      </w:r>
      <w:r>
        <w:t>NDVI</w:t>
      </w:r>
      <w:r>
        <w:t>）跟</w:t>
      </w:r>
      <w:r>
        <w:t xml:space="preserve"> RSEI </w:t>
      </w:r>
      <w:r>
        <w:t>也表现出了很强的正向相关，相关系数为</w:t>
      </w:r>
      <w:r>
        <w:t xml:space="preserve"> 0.856</w:t>
      </w:r>
      <w:r>
        <w:t>，这反映出了这</w:t>
      </w:r>
      <w:r>
        <w:t xml:space="preserve"> 35 </w:t>
      </w:r>
      <w:r>
        <w:t>年间大规模的造林、种草以及封山育林，给生态质量带来了直接的改善效果；</w:t>
      </w:r>
      <w:r>
        <w:t xml:space="preserve">NDVI </w:t>
      </w:r>
      <w:r>
        <w:t>和</w:t>
      </w:r>
      <w:r>
        <w:t xml:space="preserve"> WET </w:t>
      </w:r>
      <w:r>
        <w:t>之间同样存在着强正向相关，</w:t>
      </w:r>
      <w:r>
        <w:t xml:space="preserve">r </w:t>
      </w:r>
      <w:r>
        <w:t>值是</w:t>
      </w:r>
      <w:r>
        <w:t xml:space="preserve"> 0.793</w:t>
      </w:r>
      <w:r>
        <w:t>，这说明植被的恢复与水分的改善之间有着很明显的相互促进效应</w:t>
      </w:r>
      <w:r>
        <w:t>——</w:t>
      </w:r>
      <w:r>
        <w:t>具体来讲，就是植被覆盖增多以后，会通过蒸腾作用把深层土壤里的水分送到贴近地面的那部分大气层里，让局地的水汽含量变大，接着又会促进降水的再循环和土壤湿度的回升，这样就形成了一个</w:t>
      </w:r>
      <w:r>
        <w:t>“</w:t>
      </w:r>
      <w:r>
        <w:t>增加绿色</w:t>
      </w:r>
      <w:r>
        <w:t>—</w:t>
      </w:r>
      <w:r>
        <w:t>保住水分</w:t>
      </w:r>
      <w:r>
        <w:t>—</w:t>
      </w:r>
      <w:r>
        <w:t>再增加绿色</w:t>
      </w:r>
      <w:r>
        <w:t>”</w:t>
      </w:r>
      <w:r>
        <w:t>的良性生态循环。</w:t>
      </w:r>
    </w:p>
    <w:p w14:paraId="13D6F3D3" w14:textId="77777777" w:rsidR="00D46586" w:rsidRDefault="00000000">
      <w:pPr>
        <w:pStyle w:val="a3"/>
        <w:ind w:left="480" w:firstLine="480"/>
      </w:pPr>
      <w:r>
        <w:t>（</w:t>
      </w:r>
      <w:r>
        <w:t>3</w:t>
      </w:r>
      <w:r>
        <w:t>）干度（</w:t>
      </w:r>
      <w:r>
        <w:t>NDBSI</w:t>
      </w:r>
      <w:r>
        <w:t>）跟</w:t>
      </w:r>
      <w:r>
        <w:t xml:space="preserve"> RSEI </w:t>
      </w:r>
      <w:r>
        <w:t>之间是负相关里面最强的那一个，相关</w:t>
      </w:r>
      <w:r>
        <w:lastRenderedPageBreak/>
        <w:t>系数是</w:t>
      </w:r>
      <w:r>
        <w:t xml:space="preserve"> −0.924</w:t>
      </w:r>
      <w:r>
        <w:t>，这个值的绝对值在全部生态指标里是最大的；</w:t>
      </w:r>
      <w:r>
        <w:t xml:space="preserve">NDBSI </w:t>
      </w:r>
      <w:r>
        <w:t>这个指标是用裸土指数和建筑指数合在一起得到的，它一旦升高，就意味着要么是沙化土地光秃秃地暴露了出来，要么就是城镇和建设用地向外边进行了扩张，在吉林省西边科尔沁沙地的边缘地带，历史上因为过度的放牧和不合理的开垦，土地沙化的面积一直在持续往外扩大；这</w:t>
      </w:r>
      <w:r>
        <w:t xml:space="preserve"> 35 </w:t>
      </w:r>
      <w:r>
        <w:t>年里，防护林通过固沙造林让流动沙丘的面积大大缩小了，</w:t>
      </w:r>
      <w:r>
        <w:t xml:space="preserve">NDBSI </w:t>
      </w:r>
      <w:r>
        <w:t>从以前的正值效应转变为负值效应，这种治理成效是</w:t>
      </w:r>
      <w:r>
        <w:t xml:space="preserve"> RSEI </w:t>
      </w:r>
      <w:r>
        <w:t>整体往上抬升的一个关键贡献点。</w:t>
      </w:r>
    </w:p>
    <w:p w14:paraId="38549588" w14:textId="77777777" w:rsidR="00D46586" w:rsidRDefault="00000000">
      <w:pPr>
        <w:pStyle w:val="a3"/>
        <w:ind w:left="480" w:firstLine="480"/>
      </w:pPr>
      <w:r>
        <w:t>（</w:t>
      </w:r>
      <w:r>
        <w:t>4</w:t>
      </w:r>
      <w:r>
        <w:t>）热度（</w:t>
      </w:r>
      <w:r>
        <w:t>LST</w:t>
      </w:r>
      <w:r>
        <w:t>）跟</w:t>
      </w:r>
      <w:r>
        <w:t xml:space="preserve"> RSEI </w:t>
      </w:r>
      <w:r>
        <w:t>呈中等程度的负相关，相关系数为</w:t>
      </w:r>
      <w:r>
        <w:t xml:space="preserve"> −0.619</w:t>
      </w:r>
      <w:r>
        <w:t>，植物的冠层借助遮阴和蒸腾作用来降低温度，这样就把地表的净辐射和感热</w:t>
      </w:r>
      <w:proofErr w:type="gramStart"/>
      <w:r>
        <w:t>通量给降了</w:t>
      </w:r>
      <w:proofErr w:type="gramEnd"/>
      <w:r>
        <w:t>下来，并且把更多的能量转化成了潜热，从而让地表的高温压力得到了缓解；</w:t>
      </w:r>
      <w:r>
        <w:t xml:space="preserve">LST </w:t>
      </w:r>
      <w:r>
        <w:t>跟</w:t>
      </w:r>
      <w:r>
        <w:t xml:space="preserve"> NDBSI </w:t>
      </w:r>
      <w:r>
        <w:t>是正向相关，</w:t>
      </w:r>
      <w:r>
        <w:t xml:space="preserve">r </w:t>
      </w:r>
      <w:r>
        <w:t>是</w:t>
      </w:r>
      <w:r>
        <w:t xml:space="preserve"> 0.563</w:t>
      </w:r>
      <w:r>
        <w:t>，跟</w:t>
      </w:r>
      <w:r>
        <w:t xml:space="preserve"> NDVI </w:t>
      </w:r>
      <w:r>
        <w:t>则是负相关，</w:t>
      </w:r>
      <w:r>
        <w:t xml:space="preserve">r </w:t>
      </w:r>
      <w:r>
        <w:t>为</w:t>
      </w:r>
      <w:r>
        <w:t xml:space="preserve"> −0.682</w:t>
      </w:r>
      <w:r>
        <w:t>，这种</w:t>
      </w:r>
      <w:r>
        <w:t>“</w:t>
      </w:r>
      <w:r>
        <w:t>热</w:t>
      </w:r>
      <w:r>
        <w:t>—</w:t>
      </w:r>
      <w:r>
        <w:t>绿</w:t>
      </w:r>
      <w:r>
        <w:t>—</w:t>
      </w:r>
      <w:r>
        <w:t>干</w:t>
      </w:r>
      <w:r>
        <w:t>”</w:t>
      </w:r>
      <w:r>
        <w:t>三者之间的相互关联，从统计的角度证实了防护林工程是通过</w:t>
      </w:r>
      <w:r>
        <w:t>“</w:t>
      </w:r>
      <w:r>
        <w:t>增加绿色、降低干度</w:t>
      </w:r>
      <w:r>
        <w:t>”</w:t>
      </w:r>
      <w:r>
        <w:t>的办法，间接达到</w:t>
      </w:r>
      <w:r>
        <w:t>“</w:t>
      </w:r>
      <w:r>
        <w:t>降温</w:t>
      </w:r>
      <w:r>
        <w:t>”</w:t>
      </w:r>
      <w:r>
        <w:t>效果的这么一条生态调控传导路线。</w:t>
      </w:r>
    </w:p>
    <w:p w14:paraId="1FF95EDF" w14:textId="77777777" w:rsidR="00D46586" w:rsidRDefault="00000000">
      <w:pPr>
        <w:pStyle w:val="a3"/>
        <w:ind w:left="480" w:firstLine="480"/>
      </w:pPr>
      <w:r>
        <w:t>（</w:t>
      </w:r>
      <w:r>
        <w:t>5</w:t>
      </w:r>
      <w:r>
        <w:t>）关于生态效应的完整传导链条，我们根据相关系数矩阵所展现出来的各个因子之间的内部联系，可以归纳出防护林工程生态效应的一条完整的传递机制：先是借由增加植被</w:t>
      </w:r>
      <w:proofErr w:type="gramStart"/>
      <w:r>
        <w:t>覆盖让</w:t>
      </w:r>
      <w:proofErr w:type="gramEnd"/>
      <w:r>
        <w:t xml:space="preserve"> NDVI </w:t>
      </w:r>
      <w:r>
        <w:t>升上去，随后这便提高了树冠对降水的截留以及土壤的湿度，也就是</w:t>
      </w:r>
      <w:r>
        <w:t xml:space="preserve"> WET </w:t>
      </w:r>
      <w:r>
        <w:t>也跟着上升，接下来裸土面积和沙化程度便随之降低，让</w:t>
      </w:r>
      <w:r>
        <w:t xml:space="preserve"> NDBSI </w:t>
      </w:r>
      <w:r>
        <w:t>降下来，再往后地表温度和高温胁迫也跟着减小，</w:t>
      </w:r>
      <w:r>
        <w:t xml:space="preserve">LST </w:t>
      </w:r>
      <w:r>
        <w:t>就下降了，到最后便实现了区域生态质量在系统层面和整体层面上的提升，也就是</w:t>
      </w:r>
      <w:r>
        <w:t xml:space="preserve"> RSEI </w:t>
      </w:r>
      <w:r>
        <w:t>升了上去；这五条环环相扣的正负反馈通路，构成了吉林省三北防护林体系从过去的</w:t>
      </w:r>
      <w:r>
        <w:t>“</w:t>
      </w:r>
      <w:r>
        <w:t>单纯种树</w:t>
      </w:r>
      <w:r>
        <w:t>”</w:t>
      </w:r>
      <w:r>
        <w:t>走向</w:t>
      </w:r>
      <w:r>
        <w:t>“</w:t>
      </w:r>
      <w:r>
        <w:t>系统性生态修复</w:t>
      </w:r>
      <w:r>
        <w:t>”</w:t>
      </w:r>
      <w:r>
        <w:t>的一条科学逻辑链条。</w:t>
      </w:r>
    </w:p>
    <w:p w14:paraId="3CB94A08" w14:textId="77777777" w:rsidR="00D46586" w:rsidRDefault="00000000">
      <w:pPr>
        <w:pStyle w:val="2"/>
        <w:spacing w:before="156" w:after="156"/>
        <w:ind w:left="480"/>
      </w:pPr>
      <w:bookmarkStart w:id="149" w:name="_Toc230815682"/>
      <w:r>
        <w:t xml:space="preserve">4.2 </w:t>
      </w:r>
      <w:r>
        <w:t>生态环境质量整体时空变化特征</w:t>
      </w:r>
      <w:bookmarkEnd w:id="149"/>
    </w:p>
    <w:p w14:paraId="2B59F783" w14:textId="77777777" w:rsidR="00D46586" w:rsidRDefault="00000000">
      <w:pPr>
        <w:pStyle w:val="3"/>
        <w:spacing w:before="78" w:after="78"/>
        <w:ind w:left="480"/>
      </w:pPr>
      <w:bookmarkStart w:id="150" w:name="_Toc230815683"/>
      <w:r>
        <w:t xml:space="preserve">4.2.1 </w:t>
      </w:r>
      <w:r>
        <w:t>全域统计特征</w:t>
      </w:r>
      <w:bookmarkEnd w:id="150"/>
    </w:p>
    <w:p w14:paraId="357937EE" w14:textId="4C793F87" w:rsidR="00D46586" w:rsidRDefault="00000000">
      <w:pPr>
        <w:pStyle w:val="a3"/>
        <w:ind w:left="480" w:firstLine="480"/>
      </w:pPr>
      <w:r>
        <w:t>基于</w:t>
      </w:r>
      <w:r>
        <w:t>2048×2048</w:t>
      </w:r>
      <w:r>
        <w:t>像素的分块流式统计算法，对七期</w:t>
      </w:r>
      <w:r>
        <w:t>RSEI</w:t>
      </w:r>
      <w:r>
        <w:t>影像全图约</w:t>
      </w:r>
      <w:r>
        <w:t>2.5</w:t>
      </w:r>
      <w:r>
        <w:t>亿个有效像素做了全域精确统计，结果如图</w:t>
      </w:r>
      <w:r>
        <w:t>4-</w:t>
      </w:r>
      <w:r w:rsidR="0035488F">
        <w:rPr>
          <w:rFonts w:hint="eastAsia"/>
        </w:rPr>
        <w:t>3</w:t>
      </w:r>
      <w:r>
        <w:t>和表</w:t>
      </w:r>
      <w:r>
        <w:t>4-3</w:t>
      </w:r>
      <w:r>
        <w:t>表示。</w:t>
      </w:r>
    </w:p>
    <w:p w14:paraId="2EC1C50E" w14:textId="77777777" w:rsidR="00D46586" w:rsidRDefault="00000000">
      <w:pPr>
        <w:pStyle w:val="a3"/>
        <w:ind w:left="480" w:firstLine="480"/>
      </w:pPr>
      <w:r>
        <w:rPr>
          <w:noProof/>
        </w:rPr>
        <w:lastRenderedPageBreak/>
        <w:drawing>
          <wp:inline distT="0" distB="0" distL="0" distR="0" wp14:anchorId="567B88CD" wp14:editId="5C3C004E">
            <wp:extent cx="4213860" cy="2019300"/>
            <wp:effectExtent l="0" t="0" r="0" b="0"/>
            <wp:docPr id="7760478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47835" name="图片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218822" cy="2021540"/>
                    </a:xfrm>
                    <a:prstGeom prst="rect">
                      <a:avLst/>
                    </a:prstGeom>
                    <a:noFill/>
                    <a:ln>
                      <a:noFill/>
                    </a:ln>
                  </pic:spPr>
                </pic:pic>
              </a:graphicData>
            </a:graphic>
          </wp:inline>
        </w:drawing>
      </w:r>
    </w:p>
    <w:p w14:paraId="047B7EF0" w14:textId="0BE2EE5B" w:rsidR="0035488F" w:rsidRPr="0035488F" w:rsidRDefault="0035488F" w:rsidP="0035488F">
      <w:pPr>
        <w:pStyle w:val="a3"/>
        <w:ind w:left="480" w:firstLine="480"/>
        <w:rPr>
          <w:rFonts w:asciiTheme="minorEastAsia" w:eastAsiaTheme="minorEastAsia" w:hAnsiTheme="minorEastAsia" w:hint="eastAsia"/>
          <w:bCs/>
        </w:rPr>
      </w:pPr>
      <w:r w:rsidRPr="0035488F">
        <w:rPr>
          <w:rFonts w:asciiTheme="minorEastAsia" w:eastAsiaTheme="minorEastAsia" w:hAnsiTheme="minorEastAsia"/>
          <w:bCs/>
        </w:rPr>
        <w:t>图 4-</w:t>
      </w:r>
      <w:r>
        <w:rPr>
          <w:rFonts w:asciiTheme="minorEastAsia" w:eastAsiaTheme="minorEastAsia" w:hAnsiTheme="minorEastAsia" w:hint="eastAsia"/>
          <w:bCs/>
        </w:rPr>
        <w:t>3</w:t>
      </w:r>
      <w:r w:rsidRPr="0035488F">
        <w:rPr>
          <w:rFonts w:asciiTheme="minorEastAsia" w:eastAsiaTheme="minorEastAsia" w:hAnsiTheme="minorEastAsia"/>
          <w:bCs/>
        </w:rPr>
        <w:t xml:space="preserve">  1985—2020 年吉林省三北防护林 RSEI 均值变化趋势</w:t>
      </w:r>
    </w:p>
    <w:p w14:paraId="5AB17FCD" w14:textId="77777777" w:rsidR="00D46586" w:rsidRPr="0035488F" w:rsidRDefault="00000000">
      <w:pPr>
        <w:pStyle w:val="a3"/>
        <w:ind w:left="480" w:firstLine="480"/>
        <w:rPr>
          <w:bCs/>
        </w:rPr>
      </w:pPr>
      <w:r w:rsidRPr="0035488F">
        <w:rPr>
          <w:bCs/>
        </w:rPr>
        <w:t>表</w:t>
      </w:r>
      <w:r w:rsidRPr="0035488F">
        <w:rPr>
          <w:bCs/>
        </w:rPr>
        <w:t xml:space="preserve"> 4-3  </w:t>
      </w:r>
      <w:r w:rsidRPr="0035488F">
        <w:rPr>
          <w:bCs/>
        </w:rPr>
        <w:t>七期</w:t>
      </w:r>
      <w:r w:rsidRPr="0035488F">
        <w:rPr>
          <w:bCs/>
        </w:rPr>
        <w:t xml:space="preserve"> RSEI </w:t>
      </w:r>
      <w:r w:rsidRPr="0035488F">
        <w:rPr>
          <w:bCs/>
        </w:rPr>
        <w:t>全域精确统计指标</w:t>
      </w:r>
    </w:p>
    <w:tbl>
      <w:tblPr>
        <w:tblStyle w:val="afe"/>
        <w:tblW w:w="4731" w:type="pct"/>
        <w:jc w:val="center"/>
        <w:tblLook w:val="04A0" w:firstRow="1" w:lastRow="0" w:firstColumn="1" w:lastColumn="0" w:noHBand="0" w:noVBand="1"/>
      </w:tblPr>
      <w:tblGrid>
        <w:gridCol w:w="1439"/>
        <w:gridCol w:w="1743"/>
        <w:gridCol w:w="792"/>
        <w:gridCol w:w="856"/>
        <w:gridCol w:w="856"/>
        <w:gridCol w:w="797"/>
        <w:gridCol w:w="792"/>
        <w:gridCol w:w="789"/>
      </w:tblGrid>
      <w:tr w:rsidR="00D46586" w14:paraId="59DDA386" w14:textId="77777777" w:rsidTr="00D46586">
        <w:trPr>
          <w:cnfStyle w:val="100000000000" w:firstRow="1" w:lastRow="0" w:firstColumn="0" w:lastColumn="0" w:oddVBand="0" w:evenVBand="0" w:oddHBand="0" w:evenHBand="0" w:firstRowFirstColumn="0" w:firstRowLastColumn="0" w:lastRowFirstColumn="0" w:lastRowLastColumn="0"/>
          <w:jc w:val="center"/>
        </w:trPr>
        <w:tc>
          <w:tcPr>
            <w:tcW w:w="892" w:type="pct"/>
          </w:tcPr>
          <w:p w14:paraId="6680D3E1" w14:textId="77777777" w:rsidR="00D46586" w:rsidRPr="0035488F" w:rsidRDefault="00000000">
            <w:pPr>
              <w:widowControl/>
              <w:spacing w:before="100" w:beforeAutospacing="1" w:line="273" w:lineRule="auto"/>
              <w:ind w:leftChars="0" w:left="480"/>
              <w:jc w:val="center"/>
              <w:rPr>
                <w:rFonts w:ascii="宋体" w:eastAsia="Times New Roman" w:hAnsi="宋体" w:cs="Times New Roman"/>
                <w:bCs/>
                <w:kern w:val="0"/>
              </w:rPr>
            </w:pPr>
            <w:proofErr w:type="spellStart"/>
            <w:r w:rsidRPr="0035488F">
              <w:rPr>
                <w:rFonts w:ascii="宋体" w:eastAsia="Times New Roman" w:hAnsi="宋体" w:cs="Times New Roman"/>
                <w:bCs/>
                <w:kern w:val="0"/>
                <w:sz w:val="18"/>
                <w:szCs w:val="18"/>
              </w:rPr>
              <w:t>时期</w:t>
            </w:r>
            <w:proofErr w:type="spellEnd"/>
          </w:p>
        </w:tc>
        <w:tc>
          <w:tcPr>
            <w:tcW w:w="1081" w:type="pct"/>
          </w:tcPr>
          <w:p w14:paraId="774D5AF7" w14:textId="77777777" w:rsidR="00D46586" w:rsidRPr="0035488F" w:rsidRDefault="00000000">
            <w:pPr>
              <w:widowControl/>
              <w:spacing w:before="100" w:beforeAutospacing="1" w:line="273" w:lineRule="auto"/>
              <w:ind w:leftChars="0" w:left="0"/>
              <w:jc w:val="center"/>
              <w:rPr>
                <w:rFonts w:ascii="宋体" w:eastAsia="Times New Roman" w:hAnsi="宋体" w:cs="Times New Roman"/>
                <w:bCs/>
                <w:kern w:val="0"/>
              </w:rPr>
            </w:pPr>
            <w:proofErr w:type="spellStart"/>
            <w:r w:rsidRPr="0035488F">
              <w:rPr>
                <w:rFonts w:ascii="宋体" w:eastAsia="Times New Roman" w:hAnsi="宋体" w:cs="Times New Roman"/>
                <w:bCs/>
                <w:kern w:val="0"/>
                <w:sz w:val="18"/>
                <w:szCs w:val="18"/>
              </w:rPr>
              <w:t>有效像元</w:t>
            </w:r>
            <w:proofErr w:type="spellEnd"/>
            <w:r w:rsidRPr="0035488F">
              <w:rPr>
                <w:rFonts w:ascii="宋体" w:eastAsia="Times New Roman" w:hAnsi="宋体" w:cs="Times New Roman"/>
                <w:bCs/>
                <w:kern w:val="0"/>
                <w:sz w:val="18"/>
                <w:szCs w:val="18"/>
              </w:rPr>
              <w:t>（×10</w:t>
            </w:r>
            <w:r w:rsidRPr="0035488F">
              <w:rPr>
                <w:rFonts w:ascii="Cambria Math" w:eastAsia="Times New Roman" w:hAnsi="Cambria Math" w:cs="Cambria Math"/>
                <w:bCs/>
                <w:kern w:val="0"/>
                <w:sz w:val="18"/>
                <w:szCs w:val="18"/>
              </w:rPr>
              <w:t>⁶</w:t>
            </w:r>
            <w:r w:rsidRPr="0035488F">
              <w:rPr>
                <w:rFonts w:ascii="宋体" w:eastAsia="Times New Roman" w:hAnsi="宋体" w:cs="Times New Roman"/>
                <w:bCs/>
                <w:kern w:val="0"/>
                <w:sz w:val="18"/>
                <w:szCs w:val="18"/>
              </w:rPr>
              <w:t>）</w:t>
            </w:r>
          </w:p>
        </w:tc>
        <w:tc>
          <w:tcPr>
            <w:tcW w:w="491" w:type="pct"/>
          </w:tcPr>
          <w:p w14:paraId="6DA7BC13" w14:textId="77777777" w:rsidR="00D46586" w:rsidRPr="0035488F" w:rsidRDefault="00000000">
            <w:pPr>
              <w:widowControl/>
              <w:spacing w:before="100" w:beforeAutospacing="1" w:line="273" w:lineRule="auto"/>
              <w:ind w:leftChars="0" w:left="0"/>
              <w:jc w:val="center"/>
              <w:rPr>
                <w:rFonts w:ascii="宋体" w:eastAsia="Times New Roman" w:hAnsi="宋体" w:cs="Times New Roman"/>
                <w:bCs/>
                <w:kern w:val="0"/>
              </w:rPr>
            </w:pPr>
            <w:proofErr w:type="spellStart"/>
            <w:r w:rsidRPr="0035488F">
              <w:rPr>
                <w:rFonts w:ascii="宋体" w:eastAsia="Times New Roman" w:hAnsi="宋体" w:cs="Times New Roman"/>
                <w:bCs/>
                <w:kern w:val="0"/>
                <w:sz w:val="18"/>
                <w:szCs w:val="18"/>
              </w:rPr>
              <w:t>均值</w:t>
            </w:r>
            <w:proofErr w:type="spellEnd"/>
          </w:p>
        </w:tc>
        <w:tc>
          <w:tcPr>
            <w:tcW w:w="531" w:type="pct"/>
          </w:tcPr>
          <w:p w14:paraId="56E718F7" w14:textId="77777777" w:rsidR="00D46586" w:rsidRPr="0035488F" w:rsidRDefault="00000000">
            <w:pPr>
              <w:widowControl/>
              <w:spacing w:before="100" w:beforeAutospacing="1" w:line="273" w:lineRule="auto"/>
              <w:ind w:leftChars="0" w:left="0"/>
              <w:jc w:val="center"/>
              <w:rPr>
                <w:rFonts w:ascii="宋体" w:eastAsia="Times New Roman" w:hAnsi="宋体" w:cs="Times New Roman"/>
                <w:bCs/>
                <w:kern w:val="0"/>
              </w:rPr>
            </w:pPr>
            <w:proofErr w:type="spellStart"/>
            <w:r w:rsidRPr="0035488F">
              <w:rPr>
                <w:rFonts w:ascii="宋体" w:eastAsia="Times New Roman" w:hAnsi="宋体" w:cs="Times New Roman"/>
                <w:bCs/>
                <w:kern w:val="0"/>
                <w:sz w:val="18"/>
                <w:szCs w:val="18"/>
              </w:rPr>
              <w:t>标准差</w:t>
            </w:r>
            <w:proofErr w:type="spellEnd"/>
          </w:p>
        </w:tc>
        <w:tc>
          <w:tcPr>
            <w:tcW w:w="531" w:type="pct"/>
          </w:tcPr>
          <w:p w14:paraId="7AB5A381" w14:textId="77777777" w:rsidR="00D46586" w:rsidRPr="0035488F" w:rsidRDefault="00000000">
            <w:pPr>
              <w:widowControl/>
              <w:spacing w:before="100" w:beforeAutospacing="1" w:line="273" w:lineRule="auto"/>
              <w:ind w:leftChars="0" w:left="0"/>
              <w:jc w:val="center"/>
              <w:rPr>
                <w:rFonts w:ascii="宋体" w:eastAsia="Times New Roman" w:hAnsi="宋体" w:cs="Times New Roman"/>
                <w:bCs/>
                <w:kern w:val="0"/>
              </w:rPr>
            </w:pPr>
            <w:proofErr w:type="spellStart"/>
            <w:r w:rsidRPr="0035488F">
              <w:rPr>
                <w:rFonts w:ascii="宋体" w:eastAsia="Times New Roman" w:hAnsi="宋体" w:cs="Times New Roman"/>
                <w:bCs/>
                <w:kern w:val="0"/>
                <w:sz w:val="18"/>
                <w:szCs w:val="18"/>
              </w:rPr>
              <w:t>最小值</w:t>
            </w:r>
            <w:proofErr w:type="spellEnd"/>
          </w:p>
        </w:tc>
        <w:tc>
          <w:tcPr>
            <w:tcW w:w="494" w:type="pct"/>
          </w:tcPr>
          <w:p w14:paraId="254E7BA9" w14:textId="77777777" w:rsidR="00D46586" w:rsidRPr="0035488F" w:rsidRDefault="00000000">
            <w:pPr>
              <w:widowControl/>
              <w:spacing w:before="100" w:beforeAutospacing="1" w:line="273" w:lineRule="auto"/>
              <w:ind w:leftChars="0" w:left="0"/>
              <w:jc w:val="center"/>
              <w:rPr>
                <w:rFonts w:ascii="宋体" w:eastAsia="Times New Roman" w:hAnsi="宋体" w:cs="Times New Roman"/>
                <w:bCs/>
                <w:kern w:val="0"/>
              </w:rPr>
            </w:pPr>
            <w:proofErr w:type="spellStart"/>
            <w:r w:rsidRPr="0035488F">
              <w:rPr>
                <w:rFonts w:ascii="宋体" w:eastAsia="Times New Roman" w:hAnsi="宋体" w:cs="Times New Roman"/>
                <w:bCs/>
                <w:kern w:val="0"/>
                <w:sz w:val="18"/>
                <w:szCs w:val="18"/>
              </w:rPr>
              <w:t>最大值</w:t>
            </w:r>
            <w:proofErr w:type="spellEnd"/>
          </w:p>
        </w:tc>
        <w:tc>
          <w:tcPr>
            <w:tcW w:w="491" w:type="pct"/>
          </w:tcPr>
          <w:p w14:paraId="4EEAB62B" w14:textId="77777777" w:rsidR="00D46586" w:rsidRPr="0035488F" w:rsidRDefault="00000000">
            <w:pPr>
              <w:widowControl/>
              <w:spacing w:before="100" w:beforeAutospacing="1" w:line="273" w:lineRule="auto"/>
              <w:ind w:leftChars="0" w:left="0"/>
              <w:jc w:val="center"/>
              <w:rPr>
                <w:rFonts w:ascii="宋体" w:eastAsia="Times New Roman" w:hAnsi="宋体" w:cs="Times New Roman"/>
                <w:bCs/>
                <w:kern w:val="0"/>
              </w:rPr>
            </w:pPr>
            <w:r w:rsidRPr="0035488F">
              <w:rPr>
                <w:rFonts w:ascii="宋体" w:eastAsia="Times New Roman" w:hAnsi="宋体" w:cs="Times New Roman"/>
                <w:bCs/>
                <w:kern w:val="0"/>
                <w:sz w:val="18"/>
                <w:szCs w:val="18"/>
              </w:rPr>
              <w:t>P1</w:t>
            </w:r>
          </w:p>
        </w:tc>
        <w:tc>
          <w:tcPr>
            <w:tcW w:w="491" w:type="pct"/>
          </w:tcPr>
          <w:p w14:paraId="1D5B7D2B" w14:textId="77777777" w:rsidR="00D46586" w:rsidRPr="0035488F" w:rsidRDefault="00000000">
            <w:pPr>
              <w:widowControl/>
              <w:spacing w:before="100" w:beforeAutospacing="1" w:line="273" w:lineRule="auto"/>
              <w:ind w:leftChars="0" w:left="0"/>
              <w:jc w:val="center"/>
              <w:rPr>
                <w:rFonts w:ascii="宋体" w:eastAsia="Times New Roman" w:hAnsi="宋体" w:cs="Times New Roman"/>
                <w:bCs/>
                <w:kern w:val="0"/>
              </w:rPr>
            </w:pPr>
            <w:r w:rsidRPr="0035488F">
              <w:rPr>
                <w:rFonts w:ascii="宋体" w:eastAsia="Times New Roman" w:hAnsi="宋体" w:cs="Times New Roman"/>
                <w:bCs/>
                <w:kern w:val="0"/>
                <w:sz w:val="18"/>
                <w:szCs w:val="18"/>
              </w:rPr>
              <w:t>P99</w:t>
            </w:r>
          </w:p>
        </w:tc>
      </w:tr>
      <w:tr w:rsidR="00D46586" w14:paraId="6A0CFED9" w14:textId="77777777" w:rsidTr="00D46586">
        <w:trPr>
          <w:jc w:val="center"/>
        </w:trPr>
        <w:tc>
          <w:tcPr>
            <w:tcW w:w="892" w:type="pct"/>
          </w:tcPr>
          <w:p w14:paraId="26D741C5"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1985—1989</w:t>
            </w:r>
          </w:p>
        </w:tc>
        <w:tc>
          <w:tcPr>
            <w:tcW w:w="1081" w:type="pct"/>
          </w:tcPr>
          <w:p w14:paraId="2B02E03C"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250.58</w:t>
            </w:r>
          </w:p>
        </w:tc>
        <w:tc>
          <w:tcPr>
            <w:tcW w:w="491" w:type="pct"/>
          </w:tcPr>
          <w:p w14:paraId="28612415"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0.551</w:t>
            </w:r>
          </w:p>
        </w:tc>
        <w:tc>
          <w:tcPr>
            <w:tcW w:w="531" w:type="pct"/>
          </w:tcPr>
          <w:p w14:paraId="31B1FBA4"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0.190</w:t>
            </w:r>
          </w:p>
        </w:tc>
        <w:tc>
          <w:tcPr>
            <w:tcW w:w="531" w:type="pct"/>
          </w:tcPr>
          <w:p w14:paraId="140F9D65"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0.000</w:t>
            </w:r>
          </w:p>
        </w:tc>
        <w:tc>
          <w:tcPr>
            <w:tcW w:w="494" w:type="pct"/>
          </w:tcPr>
          <w:p w14:paraId="3615E4DD"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1.000</w:t>
            </w:r>
          </w:p>
        </w:tc>
        <w:tc>
          <w:tcPr>
            <w:tcW w:w="491" w:type="pct"/>
          </w:tcPr>
          <w:p w14:paraId="00F9BC78"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0.174</w:t>
            </w:r>
          </w:p>
        </w:tc>
        <w:tc>
          <w:tcPr>
            <w:tcW w:w="491" w:type="pct"/>
          </w:tcPr>
          <w:p w14:paraId="07BFF454"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0.844</w:t>
            </w:r>
          </w:p>
        </w:tc>
      </w:tr>
      <w:tr w:rsidR="00D46586" w14:paraId="6F91B118" w14:textId="77777777" w:rsidTr="00D46586">
        <w:trPr>
          <w:jc w:val="center"/>
        </w:trPr>
        <w:tc>
          <w:tcPr>
            <w:tcW w:w="892" w:type="pct"/>
          </w:tcPr>
          <w:p w14:paraId="0F99C95A"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1990—1994</w:t>
            </w:r>
          </w:p>
        </w:tc>
        <w:tc>
          <w:tcPr>
            <w:tcW w:w="1081" w:type="pct"/>
          </w:tcPr>
          <w:p w14:paraId="19CE3CE4"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250.64</w:t>
            </w:r>
          </w:p>
        </w:tc>
        <w:tc>
          <w:tcPr>
            <w:tcW w:w="491" w:type="pct"/>
          </w:tcPr>
          <w:p w14:paraId="1802BD57"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0.640</w:t>
            </w:r>
          </w:p>
        </w:tc>
        <w:tc>
          <w:tcPr>
            <w:tcW w:w="531" w:type="pct"/>
          </w:tcPr>
          <w:p w14:paraId="3C266329"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0.199</w:t>
            </w:r>
          </w:p>
        </w:tc>
        <w:tc>
          <w:tcPr>
            <w:tcW w:w="531" w:type="pct"/>
          </w:tcPr>
          <w:p w14:paraId="27B6EA59"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0.000</w:t>
            </w:r>
          </w:p>
        </w:tc>
        <w:tc>
          <w:tcPr>
            <w:tcW w:w="494" w:type="pct"/>
          </w:tcPr>
          <w:p w14:paraId="2F4912A1"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1.000</w:t>
            </w:r>
          </w:p>
        </w:tc>
        <w:tc>
          <w:tcPr>
            <w:tcW w:w="491" w:type="pct"/>
          </w:tcPr>
          <w:p w14:paraId="215C6A1B"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0.265</w:t>
            </w:r>
          </w:p>
        </w:tc>
        <w:tc>
          <w:tcPr>
            <w:tcW w:w="491" w:type="pct"/>
          </w:tcPr>
          <w:p w14:paraId="715F4973"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0.939</w:t>
            </w:r>
          </w:p>
        </w:tc>
      </w:tr>
      <w:tr w:rsidR="00D46586" w14:paraId="4E4ED52B" w14:textId="77777777" w:rsidTr="00D46586">
        <w:trPr>
          <w:jc w:val="center"/>
        </w:trPr>
        <w:tc>
          <w:tcPr>
            <w:tcW w:w="892" w:type="pct"/>
          </w:tcPr>
          <w:p w14:paraId="4343CA59"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1995—1999</w:t>
            </w:r>
          </w:p>
        </w:tc>
        <w:tc>
          <w:tcPr>
            <w:tcW w:w="1081" w:type="pct"/>
          </w:tcPr>
          <w:p w14:paraId="1AB69013"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250.45</w:t>
            </w:r>
          </w:p>
        </w:tc>
        <w:tc>
          <w:tcPr>
            <w:tcW w:w="491" w:type="pct"/>
          </w:tcPr>
          <w:p w14:paraId="68C1F74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0.665</w:t>
            </w:r>
          </w:p>
        </w:tc>
        <w:tc>
          <w:tcPr>
            <w:tcW w:w="531" w:type="pct"/>
          </w:tcPr>
          <w:p w14:paraId="7438387B"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0.201</w:t>
            </w:r>
          </w:p>
        </w:tc>
        <w:tc>
          <w:tcPr>
            <w:tcW w:w="531" w:type="pct"/>
          </w:tcPr>
          <w:p w14:paraId="2BDBB0C9"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0.094</w:t>
            </w:r>
          </w:p>
        </w:tc>
        <w:tc>
          <w:tcPr>
            <w:tcW w:w="494" w:type="pct"/>
          </w:tcPr>
          <w:p w14:paraId="2619CA4A"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1.004</w:t>
            </w:r>
          </w:p>
        </w:tc>
        <w:tc>
          <w:tcPr>
            <w:tcW w:w="491" w:type="pct"/>
          </w:tcPr>
          <w:p w14:paraId="4672465C"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0.245</w:t>
            </w:r>
          </w:p>
        </w:tc>
        <w:tc>
          <w:tcPr>
            <w:tcW w:w="491" w:type="pct"/>
          </w:tcPr>
          <w:p w14:paraId="29020A38"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0.933</w:t>
            </w:r>
          </w:p>
        </w:tc>
      </w:tr>
      <w:tr w:rsidR="00D46586" w14:paraId="1574D4EC" w14:textId="77777777" w:rsidTr="00D46586">
        <w:trPr>
          <w:jc w:val="center"/>
        </w:trPr>
        <w:tc>
          <w:tcPr>
            <w:tcW w:w="892" w:type="pct"/>
          </w:tcPr>
          <w:p w14:paraId="4154AFC2"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2000—2004</w:t>
            </w:r>
          </w:p>
        </w:tc>
        <w:tc>
          <w:tcPr>
            <w:tcW w:w="1081" w:type="pct"/>
          </w:tcPr>
          <w:p w14:paraId="68E776D9"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250.52</w:t>
            </w:r>
          </w:p>
        </w:tc>
        <w:tc>
          <w:tcPr>
            <w:tcW w:w="491" w:type="pct"/>
          </w:tcPr>
          <w:p w14:paraId="12C746B7"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0.650</w:t>
            </w:r>
          </w:p>
        </w:tc>
        <w:tc>
          <w:tcPr>
            <w:tcW w:w="531" w:type="pct"/>
          </w:tcPr>
          <w:p w14:paraId="01F092D5"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0.197</w:t>
            </w:r>
          </w:p>
        </w:tc>
        <w:tc>
          <w:tcPr>
            <w:tcW w:w="531" w:type="pct"/>
          </w:tcPr>
          <w:p w14:paraId="053D994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0.124</w:t>
            </w:r>
          </w:p>
        </w:tc>
        <w:tc>
          <w:tcPr>
            <w:tcW w:w="494" w:type="pct"/>
          </w:tcPr>
          <w:p w14:paraId="272DC622"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0.977</w:t>
            </w:r>
          </w:p>
        </w:tc>
        <w:tc>
          <w:tcPr>
            <w:tcW w:w="491" w:type="pct"/>
          </w:tcPr>
          <w:p w14:paraId="2216DD90"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0.240</w:t>
            </w:r>
          </w:p>
        </w:tc>
        <w:tc>
          <w:tcPr>
            <w:tcW w:w="491" w:type="pct"/>
          </w:tcPr>
          <w:p w14:paraId="623E920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0.931</w:t>
            </w:r>
          </w:p>
        </w:tc>
      </w:tr>
      <w:tr w:rsidR="00D46586" w14:paraId="7CAA1B2F" w14:textId="77777777" w:rsidTr="00D46586">
        <w:trPr>
          <w:jc w:val="center"/>
        </w:trPr>
        <w:tc>
          <w:tcPr>
            <w:tcW w:w="892" w:type="pct"/>
          </w:tcPr>
          <w:p w14:paraId="3E1930B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2005—2009</w:t>
            </w:r>
          </w:p>
        </w:tc>
        <w:tc>
          <w:tcPr>
            <w:tcW w:w="1081" w:type="pct"/>
          </w:tcPr>
          <w:p w14:paraId="676E7AD3"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251.89</w:t>
            </w:r>
          </w:p>
        </w:tc>
        <w:tc>
          <w:tcPr>
            <w:tcW w:w="491" w:type="pct"/>
          </w:tcPr>
          <w:p w14:paraId="146AE02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0.676</w:t>
            </w:r>
          </w:p>
        </w:tc>
        <w:tc>
          <w:tcPr>
            <w:tcW w:w="531" w:type="pct"/>
          </w:tcPr>
          <w:p w14:paraId="6325D011"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0.161</w:t>
            </w:r>
          </w:p>
        </w:tc>
        <w:tc>
          <w:tcPr>
            <w:tcW w:w="531" w:type="pct"/>
          </w:tcPr>
          <w:p w14:paraId="3CAC1A35"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0.000</w:t>
            </w:r>
          </w:p>
        </w:tc>
        <w:tc>
          <w:tcPr>
            <w:tcW w:w="494" w:type="pct"/>
          </w:tcPr>
          <w:p w14:paraId="31762AA9"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1.000</w:t>
            </w:r>
          </w:p>
        </w:tc>
        <w:tc>
          <w:tcPr>
            <w:tcW w:w="491" w:type="pct"/>
          </w:tcPr>
          <w:p w14:paraId="1D4F7335"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0.333</w:t>
            </w:r>
          </w:p>
        </w:tc>
        <w:tc>
          <w:tcPr>
            <w:tcW w:w="491" w:type="pct"/>
          </w:tcPr>
          <w:p w14:paraId="0C037B9E"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0.910</w:t>
            </w:r>
          </w:p>
        </w:tc>
      </w:tr>
      <w:tr w:rsidR="00D46586" w14:paraId="6EEA5DD5" w14:textId="77777777" w:rsidTr="00D46586">
        <w:trPr>
          <w:jc w:val="center"/>
        </w:trPr>
        <w:tc>
          <w:tcPr>
            <w:tcW w:w="892" w:type="pct"/>
          </w:tcPr>
          <w:p w14:paraId="24E1E285"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2010—2014</w:t>
            </w:r>
          </w:p>
        </w:tc>
        <w:tc>
          <w:tcPr>
            <w:tcW w:w="1081" w:type="pct"/>
          </w:tcPr>
          <w:p w14:paraId="08BBD951"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249.95</w:t>
            </w:r>
          </w:p>
        </w:tc>
        <w:tc>
          <w:tcPr>
            <w:tcW w:w="491" w:type="pct"/>
          </w:tcPr>
          <w:p w14:paraId="298CB977"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0.731</w:t>
            </w:r>
          </w:p>
        </w:tc>
        <w:tc>
          <w:tcPr>
            <w:tcW w:w="531" w:type="pct"/>
          </w:tcPr>
          <w:p w14:paraId="16B3D72F"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0.169</w:t>
            </w:r>
          </w:p>
        </w:tc>
        <w:tc>
          <w:tcPr>
            <w:tcW w:w="531" w:type="pct"/>
          </w:tcPr>
          <w:p w14:paraId="0C52EE75"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0.034</w:t>
            </w:r>
          </w:p>
        </w:tc>
        <w:tc>
          <w:tcPr>
            <w:tcW w:w="494" w:type="pct"/>
          </w:tcPr>
          <w:p w14:paraId="6492C3D0"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1.001</w:t>
            </w:r>
          </w:p>
        </w:tc>
        <w:tc>
          <w:tcPr>
            <w:tcW w:w="491" w:type="pct"/>
          </w:tcPr>
          <w:p w14:paraId="6D6EDD13"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0.367</w:t>
            </w:r>
          </w:p>
        </w:tc>
        <w:tc>
          <w:tcPr>
            <w:tcW w:w="491" w:type="pct"/>
          </w:tcPr>
          <w:p w14:paraId="51240BED"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0.959</w:t>
            </w:r>
          </w:p>
        </w:tc>
      </w:tr>
      <w:tr w:rsidR="00D46586" w14:paraId="6479256A" w14:textId="77777777" w:rsidTr="00D46586">
        <w:trPr>
          <w:jc w:val="center"/>
        </w:trPr>
        <w:tc>
          <w:tcPr>
            <w:tcW w:w="892" w:type="pct"/>
          </w:tcPr>
          <w:p w14:paraId="301EB34F"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2015—2020</w:t>
            </w:r>
          </w:p>
        </w:tc>
        <w:tc>
          <w:tcPr>
            <w:tcW w:w="1081" w:type="pct"/>
          </w:tcPr>
          <w:p w14:paraId="24D1AC27"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248.94</w:t>
            </w:r>
          </w:p>
        </w:tc>
        <w:tc>
          <w:tcPr>
            <w:tcW w:w="491" w:type="pct"/>
          </w:tcPr>
          <w:p w14:paraId="1AC60E77"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0.727</w:t>
            </w:r>
          </w:p>
        </w:tc>
        <w:tc>
          <w:tcPr>
            <w:tcW w:w="531" w:type="pct"/>
          </w:tcPr>
          <w:p w14:paraId="3B25AAD8"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0.107</w:t>
            </w:r>
          </w:p>
        </w:tc>
        <w:tc>
          <w:tcPr>
            <w:tcW w:w="531" w:type="pct"/>
          </w:tcPr>
          <w:p w14:paraId="2F18027A"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0.052</w:t>
            </w:r>
          </w:p>
        </w:tc>
        <w:tc>
          <w:tcPr>
            <w:tcW w:w="494" w:type="pct"/>
          </w:tcPr>
          <w:p w14:paraId="4723CC4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0.957</w:t>
            </w:r>
          </w:p>
        </w:tc>
        <w:tc>
          <w:tcPr>
            <w:tcW w:w="491" w:type="pct"/>
          </w:tcPr>
          <w:p w14:paraId="43607DFC"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0.474</w:t>
            </w:r>
          </w:p>
        </w:tc>
        <w:tc>
          <w:tcPr>
            <w:tcW w:w="491" w:type="pct"/>
          </w:tcPr>
          <w:p w14:paraId="67CDFD3E"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0.859</w:t>
            </w:r>
          </w:p>
        </w:tc>
      </w:tr>
      <w:tr w:rsidR="00D46586" w14:paraId="618377B1" w14:textId="77777777" w:rsidTr="00D46586">
        <w:trPr>
          <w:jc w:val="center"/>
        </w:trPr>
        <w:tc>
          <w:tcPr>
            <w:tcW w:w="892" w:type="pct"/>
          </w:tcPr>
          <w:p w14:paraId="169D30F2"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 xml:space="preserve">35 </w:t>
            </w:r>
            <w:proofErr w:type="spellStart"/>
            <w:r>
              <w:rPr>
                <w:rFonts w:ascii="宋体" w:eastAsia="Times New Roman" w:hAnsi="宋体" w:cs="Times New Roman"/>
                <w:kern w:val="0"/>
                <w:sz w:val="18"/>
                <w:szCs w:val="18"/>
              </w:rPr>
              <w:t>年净变化</w:t>
            </w:r>
            <w:proofErr w:type="spellEnd"/>
          </w:p>
        </w:tc>
        <w:tc>
          <w:tcPr>
            <w:tcW w:w="1081" w:type="pct"/>
          </w:tcPr>
          <w:p w14:paraId="276B7ACC"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w:t>
            </w:r>
          </w:p>
        </w:tc>
        <w:tc>
          <w:tcPr>
            <w:tcW w:w="491" w:type="pct"/>
          </w:tcPr>
          <w:p w14:paraId="6152B781"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+0.176</w:t>
            </w:r>
          </w:p>
        </w:tc>
        <w:tc>
          <w:tcPr>
            <w:tcW w:w="531" w:type="pct"/>
          </w:tcPr>
          <w:p w14:paraId="3D56B012"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0.083</w:t>
            </w:r>
          </w:p>
        </w:tc>
        <w:tc>
          <w:tcPr>
            <w:tcW w:w="531" w:type="pct"/>
          </w:tcPr>
          <w:p w14:paraId="41AD8512"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w:t>
            </w:r>
          </w:p>
        </w:tc>
        <w:tc>
          <w:tcPr>
            <w:tcW w:w="494" w:type="pct"/>
          </w:tcPr>
          <w:p w14:paraId="38D6D7E9"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w:t>
            </w:r>
          </w:p>
        </w:tc>
        <w:tc>
          <w:tcPr>
            <w:tcW w:w="491" w:type="pct"/>
          </w:tcPr>
          <w:p w14:paraId="2525CD5A"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+0.300</w:t>
            </w:r>
          </w:p>
        </w:tc>
        <w:tc>
          <w:tcPr>
            <w:tcW w:w="491" w:type="pct"/>
          </w:tcPr>
          <w:p w14:paraId="3643C904"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+0.015</w:t>
            </w:r>
          </w:p>
        </w:tc>
      </w:tr>
    </w:tbl>
    <w:p w14:paraId="0B93A7F5" w14:textId="77777777" w:rsidR="00D46586" w:rsidRDefault="00D46586">
      <w:pPr>
        <w:pStyle w:val="a3"/>
        <w:ind w:leftChars="0" w:left="0" w:firstLineChars="0" w:firstLine="0"/>
        <w:jc w:val="center"/>
      </w:pPr>
    </w:p>
    <w:p w14:paraId="3A9F0FA3" w14:textId="77777777" w:rsidR="00D46586" w:rsidRDefault="00000000">
      <w:pPr>
        <w:pStyle w:val="a3"/>
        <w:ind w:left="480" w:firstLine="480"/>
      </w:pPr>
      <w:r>
        <w:t>从</w:t>
      </w:r>
      <w:r>
        <w:t>1985</w:t>
      </w:r>
      <w:r>
        <w:t>年到</w:t>
      </w:r>
      <w:r>
        <w:t>2020</w:t>
      </w:r>
      <w:r>
        <w:t>年，吉林省三北防护林区域的</w:t>
      </w:r>
      <w:r>
        <w:t>RSEI</w:t>
      </w:r>
      <w:r>
        <w:t>全域均值从</w:t>
      </w:r>
      <w:r>
        <w:t>0.551</w:t>
      </w:r>
      <w:r>
        <w:t>一路攀升到了</w:t>
      </w:r>
      <w:r>
        <w:t>0.727</w:t>
      </w:r>
      <w:r>
        <w:t>，净增了</w:t>
      </w:r>
      <w:r>
        <w:t>0.176</w:t>
      </w:r>
      <w:r>
        <w:t>，增幅达到</w:t>
      </w:r>
      <w:r>
        <w:t>32.0%</w:t>
      </w:r>
      <w:r>
        <w:t>，这说明区域生态环境质量发生了根本性的正向转变；这个增幅明显高过中国北方同类生态工程区的常见水平</w:t>
      </w:r>
      <w:r>
        <w:t>——</w:t>
      </w:r>
      <w:r>
        <w:t>像毛乌素沙地在</w:t>
      </w:r>
      <w:r>
        <w:t>2000—2018</w:t>
      </w:r>
      <w:r>
        <w:t>年间</w:t>
      </w:r>
      <w:r>
        <w:t>RSEI</w:t>
      </w:r>
      <w:r>
        <w:t>均值增幅大概是</w:t>
      </w:r>
      <w:r>
        <w:t>0.12</w:t>
      </w:r>
      <w:r>
        <w:t>，黄土高原退耕还林区</w:t>
      </w:r>
      <w:r>
        <w:t>1999—2019</w:t>
      </w:r>
      <w:r>
        <w:t>年的增幅大约是</w:t>
      </w:r>
      <w:r>
        <w:t>0.10——</w:t>
      </w:r>
      <w:r>
        <w:t>吉林省三北防护林区域的</w:t>
      </w:r>
      <w:r>
        <w:t>RSEI</w:t>
      </w:r>
      <w:r>
        <w:t>净增幅超出了这些区域</w:t>
      </w:r>
      <w:r>
        <w:t>47%</w:t>
      </w:r>
      <w:r>
        <w:t>到</w:t>
      </w:r>
      <w:r>
        <w:t>76%</w:t>
      </w:r>
      <w:r>
        <w:t>，充分体现了三北防护林体系在东北半干旱农牧交错生态脆弱区的建设成效，具有很突出的区域优势。</w:t>
      </w:r>
    </w:p>
    <w:p w14:paraId="0327AB72" w14:textId="77777777" w:rsidR="00D46586" w:rsidRDefault="00000000">
      <w:pPr>
        <w:pStyle w:val="a3"/>
        <w:ind w:left="480" w:firstLine="480"/>
      </w:pPr>
      <w:r>
        <w:t>P1</w:t>
      </w:r>
      <w:proofErr w:type="gramStart"/>
      <w:r>
        <w:t>百</w:t>
      </w:r>
      <w:proofErr w:type="gramEnd"/>
      <w:r>
        <w:t>分位值从</w:t>
      </w:r>
      <w:r>
        <w:t>0.174</w:t>
      </w:r>
      <w:r>
        <w:t>大幅跃升到了</w:t>
      </w:r>
      <w:r>
        <w:t>0.474</w:t>
      </w:r>
      <w:r>
        <w:t>，增加了</w:t>
      </w:r>
      <w:r>
        <w:t>0.300</w:t>
      </w:r>
      <w:r>
        <w:t>，这意味着生态质量最差的那部分尾部区域被抬升得最明显，原来处于</w:t>
      </w:r>
      <w:r>
        <w:t>“</w:t>
      </w:r>
      <w:r>
        <w:t>差</w:t>
      </w:r>
      <w:r>
        <w:t>”</w:t>
      </w:r>
      <w:r>
        <w:t>等级的劣质生态斑块几乎被整体消除了，这从统计上印证了防护林工程对生态脆弱区有着精准的修复效果；标准差则从</w:t>
      </w:r>
      <w:r>
        <w:t>0.190</w:t>
      </w:r>
      <w:r>
        <w:t>下降到了</w:t>
      </w:r>
      <w:r>
        <w:t>0.107</w:t>
      </w:r>
      <w:r>
        <w:t>，降幅为</w:t>
      </w:r>
      <w:r>
        <w:t>43.9%</w:t>
      </w:r>
      <w:r>
        <w:t>，特别是</w:t>
      </w:r>
      <w:r>
        <w:lastRenderedPageBreak/>
        <w:t>2015—2020</w:t>
      </w:r>
      <w:r>
        <w:t>这一期，标准差降到了七期里面的历史最低值，表明经过</w:t>
      </w:r>
      <w:r>
        <w:t>35</w:t>
      </w:r>
      <w:r>
        <w:t>年的系统性生态建设，区域内部</w:t>
      </w:r>
      <w:r>
        <w:t>RSEI</w:t>
      </w:r>
      <w:r>
        <w:t>的空间差异程度大大收窄了，生态质量的分布正朝着均质化和整体优化的方向发展。</w:t>
      </w:r>
    </w:p>
    <w:p w14:paraId="23E8F5FA" w14:textId="77777777" w:rsidR="00D46586" w:rsidRDefault="00000000">
      <w:pPr>
        <w:pStyle w:val="3"/>
        <w:spacing w:before="78" w:after="78"/>
        <w:ind w:left="480"/>
      </w:pPr>
      <w:bookmarkStart w:id="151" w:name="_Toc230815684"/>
      <w:r>
        <w:t xml:space="preserve">4.2.2 </w:t>
      </w:r>
      <w:r>
        <w:t>阶段性演变规律</w:t>
      </w:r>
      <w:bookmarkEnd w:id="151"/>
    </w:p>
    <w:p w14:paraId="3B314F31" w14:textId="77777777" w:rsidR="00D46586" w:rsidRDefault="00000000">
      <w:pPr>
        <w:pStyle w:val="a3"/>
        <w:ind w:left="480" w:firstLine="480"/>
      </w:pPr>
      <w:r>
        <w:t>结合图</w:t>
      </w:r>
      <w:r>
        <w:t>4-2</w:t>
      </w:r>
      <w:r>
        <w:t>的均值变化和表</w:t>
      </w:r>
      <w:r>
        <w:t>4-3</w:t>
      </w:r>
      <w:r>
        <w:t>的标准差波动，可以把这</w:t>
      </w:r>
      <w:r>
        <w:t>35</w:t>
      </w:r>
      <w:r>
        <w:t>年分成四个演变阶段：</w:t>
      </w:r>
    </w:p>
    <w:p w14:paraId="6DB7CD56" w14:textId="77777777" w:rsidR="00D46586" w:rsidRDefault="00000000">
      <w:pPr>
        <w:pStyle w:val="a3"/>
        <w:ind w:left="480" w:firstLine="480"/>
      </w:pPr>
      <w:r>
        <w:t>（</w:t>
      </w:r>
      <w:r>
        <w:t>1</w:t>
      </w:r>
      <w:r>
        <w:t>）快速跃升期（</w:t>
      </w:r>
      <w:r>
        <w:t>1985—1994</w:t>
      </w:r>
      <w:r>
        <w:t>，</w:t>
      </w:r>
      <w:r>
        <w:t>Phase I</w:t>
      </w:r>
      <w:r>
        <w:t>）：</w:t>
      </w:r>
      <w:r>
        <w:t>RSEI</w:t>
      </w:r>
      <w:r>
        <w:t>均值从</w:t>
      </w:r>
      <w:r>
        <w:t>0.551</w:t>
      </w:r>
      <w:r>
        <w:t>一下子升到了</w:t>
      </w:r>
      <w:r>
        <w:t>0.640</w:t>
      </w:r>
      <w:r>
        <w:t>，增加了</w:t>
      </w:r>
      <w:r>
        <w:t>0.089</w:t>
      </w:r>
      <w:r>
        <w:t>，增幅</w:t>
      </w:r>
      <w:r>
        <w:t>16.2%</w:t>
      </w:r>
      <w:r>
        <w:t>，占了</w:t>
      </w:r>
      <w:r>
        <w:t>35</w:t>
      </w:r>
      <w:r>
        <w:t>年总增幅的</w:t>
      </w:r>
      <w:r>
        <w:t>50.7%</w:t>
      </w:r>
      <w:r>
        <w:t>；这个阶段正好赶上三北防护林一期工程固沙林体系初步成型后生态效益集中释放的时候，再加上二期工程大规模往前推，造林面积快速扩大，直接推动</w:t>
      </w:r>
      <w:r>
        <w:t>NDVI</w:t>
      </w:r>
      <w:r>
        <w:t>在全区的系统抬升，</w:t>
      </w:r>
      <w:r>
        <w:t>RSEI</w:t>
      </w:r>
      <w:r>
        <w:t>也跟着出现了井喷式的跃升。值得留意的是，这一期的标准差是全时段最高的，有</w:t>
      </w:r>
      <w:r>
        <w:t>0.199</w:t>
      </w:r>
      <w:r>
        <w:t>，说明大面积造林刚开始的时候，生态修复在空间上高度集中在重点工程区，区域内部的生态质量差异反而因为修复力度不均衡而拉大了；这种均值往上走、标准差也跟着扩大的阶段性特征，跟三北防护林工程初期那种重点突破、以点带面的战略安排，在逻辑上是很一致的。</w:t>
      </w:r>
    </w:p>
    <w:p w14:paraId="3F4D4178" w14:textId="77777777" w:rsidR="00D46586" w:rsidRDefault="00000000">
      <w:pPr>
        <w:pStyle w:val="a3"/>
        <w:ind w:left="480" w:firstLine="480"/>
      </w:pPr>
      <w:r>
        <w:t>（</w:t>
      </w:r>
      <w:r>
        <w:t>2</w:t>
      </w:r>
      <w:r>
        <w:t>）平台波动期（</w:t>
      </w:r>
      <w:r>
        <w:t>1995—2004</w:t>
      </w:r>
      <w:r>
        <w:t>，</w:t>
      </w:r>
      <w:r>
        <w:t>Phase II</w:t>
      </w:r>
      <w:r>
        <w:t>）：</w:t>
      </w:r>
      <w:r>
        <w:t>RSEI</w:t>
      </w:r>
      <w:r>
        <w:t>均值在</w:t>
      </w:r>
      <w:r>
        <w:t>0.650</w:t>
      </w:r>
      <w:r>
        <w:t>到</w:t>
      </w:r>
      <w:r>
        <w:t>0.665</w:t>
      </w:r>
      <w:r>
        <w:t>这个</w:t>
      </w:r>
      <w:proofErr w:type="gramStart"/>
      <w:r>
        <w:t>窄</w:t>
      </w:r>
      <w:proofErr w:type="gramEnd"/>
      <w:r>
        <w:t>区间里来回摆动，整体处在一个高位盘整的状态，</w:t>
      </w:r>
      <w:r>
        <w:t>2000—2004</w:t>
      </w:r>
      <w:r>
        <w:t>这一期甚至还微微回调了</w:t>
      </w:r>
      <w:r>
        <w:t>0.015</w:t>
      </w:r>
      <w:r>
        <w:t>；这段时期对应的是三北三期工程的调整转型阶段，从单纯追求造林面积，转向更加注重林分质量和生态效益的集约化造林模式，期间</w:t>
      </w:r>
      <w:r>
        <w:t>RSEI</w:t>
      </w:r>
      <w:r>
        <w:t>的标准差还一直维持在</w:t>
      </w:r>
      <w:r>
        <w:t>0.20</w:t>
      </w:r>
      <w:r>
        <w:t>左右的比较高的位置，说明区域内部还是有比较明显的空间不均衡。</w:t>
      </w:r>
      <w:r>
        <w:t>2000—2004</w:t>
      </w:r>
      <w:r>
        <w:t>年那一期的均值回调，可能跟东北地区</w:t>
      </w:r>
      <w:r>
        <w:t>1999</w:t>
      </w:r>
      <w:r>
        <w:t>到</w:t>
      </w:r>
      <w:r>
        <w:t>2001</w:t>
      </w:r>
      <w:r>
        <w:t>年连续干旱，再加上城市化加速期建设用地扩张这两个因素叠加有关，这给我们的提示就是，在气候波动和人为压力的双重影响下，早期造林成果的生态稳定性还是需要时间来巩固的。</w:t>
      </w:r>
    </w:p>
    <w:p w14:paraId="11D581B9" w14:textId="77777777" w:rsidR="00D46586" w:rsidRDefault="00000000">
      <w:pPr>
        <w:pStyle w:val="a3"/>
        <w:ind w:left="480" w:firstLine="480"/>
      </w:pPr>
      <w:r>
        <w:t>（</w:t>
      </w:r>
      <w:r>
        <w:t>3</w:t>
      </w:r>
      <w:r>
        <w:t>）二次跃升期（</w:t>
      </w:r>
      <w:r>
        <w:t>2005—2014</w:t>
      </w:r>
      <w:r>
        <w:t>，</w:t>
      </w:r>
      <w:r>
        <w:t>Phase III</w:t>
      </w:r>
      <w:r>
        <w:t>）：</w:t>
      </w:r>
      <w:r>
        <w:t>RSEI</w:t>
      </w:r>
      <w:r>
        <w:t>均值从</w:t>
      </w:r>
      <w:r>
        <w:t>0.676</w:t>
      </w:r>
      <w:r>
        <w:t>又往前攀升到了</w:t>
      </w:r>
      <w:r>
        <w:t>0.731</w:t>
      </w:r>
      <w:r>
        <w:t>，增加了</w:t>
      </w:r>
      <w:r>
        <w:t>0.055</w:t>
      </w:r>
      <w:r>
        <w:t>，同期的标准差也从较高水平降到了</w:t>
      </w:r>
      <w:r>
        <w:t>0.169</w:t>
      </w:r>
      <w:r>
        <w:t>，这表明全域的生态质量在原来的基础上实现了第二次同步跃升，而且这个跃</w:t>
      </w:r>
      <w:r>
        <w:lastRenderedPageBreak/>
        <w:t>升过程还伴随着区域内部均质化程度的持续改善；这一阶段跟三北四期和五期工程前期高度重合，封山育林、退耕还林还草这些生态补偿政策叠加在一起，效果开始系统地显现出来，再加上</w:t>
      </w:r>
      <w:r>
        <w:t>2000</w:t>
      </w:r>
      <w:r>
        <w:t>年以后东北地区降水有所增加的气候背景，给植被恢复提供了很有利的水热条件；</w:t>
      </w:r>
      <w:r>
        <w:t>2005—2014</w:t>
      </w:r>
      <w:r>
        <w:t>年</w:t>
      </w:r>
      <w:r>
        <w:t>RSEI</w:t>
      </w:r>
      <w:r>
        <w:t>的二次跃升速率，算下来年均增加</w:t>
      </w:r>
      <w:r>
        <w:t>0.0061</w:t>
      </w:r>
      <w:r>
        <w:t>，虽然比第一阶段年均</w:t>
      </w:r>
      <w:r>
        <w:t>0.0100</w:t>
      </w:r>
      <w:r>
        <w:t>的快速跃升要慢，但这次是在</w:t>
      </w:r>
      <w:r>
        <w:t>RSEI</w:t>
      </w:r>
      <w:r>
        <w:t>已经有了一个比较高的基数上实现的增量式改善，生态意义的含金量其实更高，就好比从</w:t>
      </w:r>
      <w:r>
        <w:t>60</w:t>
      </w:r>
      <w:r>
        <w:t>分提到</w:t>
      </w:r>
      <w:r>
        <w:t>80</w:t>
      </w:r>
      <w:r>
        <w:t>分，比从</w:t>
      </w:r>
      <w:r>
        <w:t>30</w:t>
      </w:r>
      <w:r>
        <w:t>分提到</w:t>
      </w:r>
      <w:r>
        <w:t>60</w:t>
      </w:r>
      <w:r>
        <w:t>分要难得多。</w:t>
      </w:r>
    </w:p>
    <w:p w14:paraId="46DE439D" w14:textId="77777777" w:rsidR="00D46586" w:rsidRDefault="00000000">
      <w:pPr>
        <w:pStyle w:val="a3"/>
        <w:ind w:left="480" w:firstLine="480"/>
      </w:pPr>
      <w:r>
        <w:t>（</w:t>
      </w:r>
      <w:r>
        <w:t>4</w:t>
      </w:r>
      <w:r>
        <w:t>）均质优化期（</w:t>
      </w:r>
      <w:r>
        <w:t>2015—2020</w:t>
      </w:r>
      <w:r>
        <w:t>，</w:t>
      </w:r>
      <w:r>
        <w:t>Phase IV</w:t>
      </w:r>
      <w:r>
        <w:t>）：</w:t>
      </w:r>
      <w:r>
        <w:t>RSEI</w:t>
      </w:r>
      <w:r>
        <w:t>均值稳定在</w:t>
      </w:r>
      <w:r>
        <w:t>0.727</w:t>
      </w:r>
      <w:r>
        <w:t>这个历史最高水平附近，标准差也一下子降到了</w:t>
      </w:r>
      <w:r>
        <w:t>0.107</w:t>
      </w:r>
      <w:r>
        <w:t>，是全时段最低的，比初始值降低了</w:t>
      </w:r>
      <w:r>
        <w:t>43.9%</w:t>
      </w:r>
      <w:r>
        <w:t>；</w:t>
      </w:r>
      <w:r>
        <w:t>P1</w:t>
      </w:r>
      <w:r>
        <w:t>值已经达到了</w:t>
      </w:r>
      <w:r>
        <w:t>0.474</w:t>
      </w:r>
      <w:r>
        <w:t>，就是说哪怕全图最差的</w:t>
      </w:r>
      <w:r>
        <w:t>1%</w:t>
      </w:r>
      <w:r>
        <w:t>像元，它的</w:t>
      </w:r>
      <w:r>
        <w:t>RSEI</w:t>
      </w:r>
      <w:r>
        <w:t>也差不多接近</w:t>
      </w:r>
      <w:r>
        <w:t>0.5</w:t>
      </w:r>
      <w:r>
        <w:t>这个</w:t>
      </w:r>
      <w:r>
        <w:t>“</w:t>
      </w:r>
      <w:r>
        <w:t>一般</w:t>
      </w:r>
      <w:r>
        <w:t>”</w:t>
      </w:r>
      <w:r>
        <w:t>水平了，生态质量的短板基本被消除；这个阶段最明显的标志就是均值微调、标准差骤降，表明大片的荒山荒地已经基本完成了绿化，生态修复的重心从量的扩张转到了质的提升上，整个生态格局也开始趋向一种稳态的均衡，这个现象跟生态学里生态恢复的渐进饱和理论是很吻合的。</w:t>
      </w:r>
    </w:p>
    <w:p w14:paraId="57D4BAB8" w14:textId="77777777" w:rsidR="00D46586" w:rsidRDefault="00000000">
      <w:pPr>
        <w:pStyle w:val="2"/>
        <w:spacing w:before="156" w:after="156"/>
        <w:ind w:left="480"/>
      </w:pPr>
      <w:bookmarkStart w:id="152" w:name="_Toc230815685"/>
      <w:r>
        <w:t xml:space="preserve">4.3 </w:t>
      </w:r>
      <w:r>
        <w:t>生态质量等级结构演变</w:t>
      </w:r>
      <w:bookmarkEnd w:id="152"/>
    </w:p>
    <w:p w14:paraId="170C1923" w14:textId="77777777" w:rsidR="00D46586" w:rsidRDefault="00000000">
      <w:pPr>
        <w:pStyle w:val="3"/>
        <w:spacing w:before="78" w:after="78"/>
        <w:ind w:left="480"/>
      </w:pPr>
      <w:bookmarkStart w:id="153" w:name="_Toc230815686"/>
      <w:r>
        <w:t xml:space="preserve">4.3.1 </w:t>
      </w:r>
      <w:r>
        <w:t>等级面积占比变化</w:t>
      </w:r>
      <w:bookmarkEnd w:id="153"/>
    </w:p>
    <w:p w14:paraId="462D0398" w14:textId="70FCD275" w:rsidR="00D46586" w:rsidRDefault="00000000">
      <w:pPr>
        <w:pStyle w:val="a3"/>
        <w:ind w:left="480" w:firstLine="480"/>
      </w:pPr>
      <w:r>
        <w:t>本研究把生态质量按照</w:t>
      </w:r>
      <w:r>
        <w:t xml:space="preserve"> RSEI </w:t>
      </w:r>
      <w:r>
        <w:t>的数值、以</w:t>
      </w:r>
      <w:r>
        <w:t xml:space="preserve"> 0.2 </w:t>
      </w:r>
      <w:r>
        <w:t>作为间隔，分成了差（</w:t>
      </w:r>
      <w:r>
        <w:t>0.0—0.2</w:t>
      </w:r>
      <w:r>
        <w:t>）、较差（</w:t>
      </w:r>
      <w:r>
        <w:t>0.2—0.4</w:t>
      </w:r>
      <w:r>
        <w:t>）、一般（</w:t>
      </w:r>
      <w:r>
        <w:t>0.4—0.6</w:t>
      </w:r>
      <w:r>
        <w:t>）、良（</w:t>
      </w:r>
      <w:r>
        <w:t>0.6—0.8</w:t>
      </w:r>
      <w:r>
        <w:t>）和优（</w:t>
      </w:r>
      <w:r>
        <w:t>0.8—1.0</w:t>
      </w:r>
      <w:r>
        <w:t>）这样五个等级如图</w:t>
      </w:r>
      <w:r>
        <w:t xml:space="preserve"> 4-</w:t>
      </w:r>
      <w:r w:rsidR="0035488F">
        <w:rPr>
          <w:rFonts w:hint="eastAsia"/>
        </w:rPr>
        <w:t>4</w:t>
      </w:r>
      <w:r>
        <w:t xml:space="preserve"> </w:t>
      </w:r>
      <w:r>
        <w:t>和表</w:t>
      </w:r>
      <w:r>
        <w:t xml:space="preserve"> 4-4 </w:t>
      </w:r>
      <w:r>
        <w:t>所示。</w:t>
      </w:r>
    </w:p>
    <w:p w14:paraId="47EFBAAE" w14:textId="77777777" w:rsidR="00D46586" w:rsidRDefault="00000000">
      <w:pPr>
        <w:pStyle w:val="a3"/>
        <w:ind w:left="480" w:firstLine="480"/>
      </w:pPr>
      <w:r>
        <w:rPr>
          <w:noProof/>
        </w:rPr>
        <w:lastRenderedPageBreak/>
        <w:drawing>
          <wp:inline distT="0" distB="0" distL="0" distR="0" wp14:anchorId="04E49664" wp14:editId="506A3CF0">
            <wp:extent cx="4062095" cy="2049780"/>
            <wp:effectExtent l="0" t="0" r="0" b="7620"/>
            <wp:docPr id="211601848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18482" name="图片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066015" cy="2051490"/>
                    </a:xfrm>
                    <a:prstGeom prst="rect">
                      <a:avLst/>
                    </a:prstGeom>
                    <a:noFill/>
                    <a:ln>
                      <a:noFill/>
                    </a:ln>
                  </pic:spPr>
                </pic:pic>
              </a:graphicData>
            </a:graphic>
          </wp:inline>
        </w:drawing>
      </w:r>
      <w:r>
        <w:t xml:space="preserve"> </w:t>
      </w:r>
    </w:p>
    <w:p w14:paraId="52D98498" w14:textId="07C98937" w:rsidR="00D46586" w:rsidRPr="0035488F" w:rsidRDefault="00000000">
      <w:pPr>
        <w:pStyle w:val="a3"/>
        <w:ind w:left="480" w:firstLine="480"/>
        <w:rPr>
          <w:rFonts w:asciiTheme="minorEastAsia" w:eastAsiaTheme="minorEastAsia" w:hAnsiTheme="minorEastAsia"/>
          <w:bCs/>
        </w:rPr>
      </w:pPr>
      <w:r w:rsidRPr="0035488F">
        <w:rPr>
          <w:rFonts w:asciiTheme="minorEastAsia" w:eastAsiaTheme="minorEastAsia" w:hAnsiTheme="minorEastAsia"/>
          <w:bCs/>
        </w:rPr>
        <w:t>图 4-</w:t>
      </w:r>
      <w:r w:rsidR="0035488F">
        <w:rPr>
          <w:rFonts w:asciiTheme="minorEastAsia" w:eastAsiaTheme="minorEastAsia" w:hAnsiTheme="minorEastAsia" w:hint="eastAsia"/>
          <w:bCs/>
        </w:rPr>
        <w:t>4</w:t>
      </w:r>
      <w:r w:rsidRPr="0035488F">
        <w:rPr>
          <w:rFonts w:asciiTheme="minorEastAsia" w:eastAsiaTheme="minorEastAsia" w:hAnsiTheme="minorEastAsia"/>
          <w:bCs/>
        </w:rPr>
        <w:t xml:space="preserve">  1985—2020 年各期生态质量等级面积占比堆叠柱状图</w:t>
      </w:r>
    </w:p>
    <w:p w14:paraId="7DC09DD2" w14:textId="77777777" w:rsidR="00D46586" w:rsidRPr="0035488F" w:rsidRDefault="00000000">
      <w:pPr>
        <w:pStyle w:val="a3"/>
        <w:ind w:left="480" w:firstLine="480"/>
        <w:rPr>
          <w:bCs/>
        </w:rPr>
      </w:pPr>
      <w:r w:rsidRPr="0035488F">
        <w:rPr>
          <w:bCs/>
        </w:rPr>
        <w:t>表</w:t>
      </w:r>
      <w:r w:rsidRPr="0035488F">
        <w:rPr>
          <w:bCs/>
        </w:rPr>
        <w:t xml:space="preserve"> 4-4  </w:t>
      </w:r>
      <w:r w:rsidRPr="0035488F">
        <w:rPr>
          <w:bCs/>
        </w:rPr>
        <w:t>各生态等级全域面积占比及</w:t>
      </w:r>
      <w:r w:rsidRPr="0035488F">
        <w:rPr>
          <w:bCs/>
        </w:rPr>
        <w:t xml:space="preserve"> 35 </w:t>
      </w:r>
      <w:r w:rsidRPr="0035488F">
        <w:rPr>
          <w:bCs/>
        </w:rPr>
        <w:t>年演进</w:t>
      </w:r>
    </w:p>
    <w:tbl>
      <w:tblPr>
        <w:tblStyle w:val="afe"/>
        <w:tblW w:w="7202" w:type="dxa"/>
        <w:jc w:val="center"/>
        <w:tblCellMar>
          <w:left w:w="0" w:type="dxa"/>
          <w:right w:w="0" w:type="dxa"/>
        </w:tblCellMar>
        <w:tblLook w:val="04A0" w:firstRow="1" w:lastRow="0" w:firstColumn="1" w:lastColumn="0" w:noHBand="0" w:noVBand="1"/>
      </w:tblPr>
      <w:tblGrid>
        <w:gridCol w:w="991"/>
        <w:gridCol w:w="631"/>
        <w:gridCol w:w="810"/>
        <w:gridCol w:w="810"/>
        <w:gridCol w:w="630"/>
        <w:gridCol w:w="630"/>
        <w:gridCol w:w="1260"/>
        <w:gridCol w:w="1440"/>
      </w:tblGrid>
      <w:tr w:rsidR="00D46586" w:rsidRPr="0035488F" w14:paraId="14578F71" w14:textId="77777777" w:rsidTr="00D46586">
        <w:trPr>
          <w:cnfStyle w:val="100000000000" w:firstRow="1" w:lastRow="0" w:firstColumn="0" w:lastColumn="0" w:oddVBand="0" w:evenVBand="0" w:oddHBand="0" w:evenHBand="0" w:firstRowFirstColumn="0" w:firstRowLastColumn="0" w:lastRowFirstColumn="0" w:lastRowLastColumn="0"/>
          <w:trHeight w:val="353"/>
          <w:jc w:val="center"/>
        </w:trPr>
        <w:tc>
          <w:tcPr>
            <w:tcW w:w="0" w:type="auto"/>
          </w:tcPr>
          <w:p w14:paraId="617382FD" w14:textId="77777777" w:rsidR="00D46586" w:rsidRPr="0035488F" w:rsidRDefault="00000000">
            <w:pPr>
              <w:widowControl/>
              <w:spacing w:before="100" w:beforeAutospacing="1" w:line="273" w:lineRule="auto"/>
              <w:ind w:leftChars="0" w:left="480"/>
              <w:rPr>
                <w:rFonts w:ascii="宋体" w:eastAsia="Times New Roman" w:hAnsi="宋体" w:cs="Times New Roman"/>
                <w:bCs/>
                <w:kern w:val="0"/>
              </w:rPr>
            </w:pPr>
            <w:proofErr w:type="spellStart"/>
            <w:r w:rsidRPr="0035488F">
              <w:rPr>
                <w:rFonts w:ascii="宋体" w:eastAsia="Times New Roman" w:hAnsi="宋体" w:cs="Times New Roman"/>
                <w:bCs/>
                <w:kern w:val="0"/>
                <w:sz w:val="18"/>
                <w:szCs w:val="18"/>
              </w:rPr>
              <w:t>时期</w:t>
            </w:r>
            <w:proofErr w:type="spellEnd"/>
          </w:p>
        </w:tc>
        <w:tc>
          <w:tcPr>
            <w:tcW w:w="0" w:type="auto"/>
          </w:tcPr>
          <w:p w14:paraId="27750DEF" w14:textId="77777777" w:rsidR="00D46586" w:rsidRPr="0035488F" w:rsidRDefault="00000000">
            <w:pPr>
              <w:widowControl/>
              <w:spacing w:before="100" w:beforeAutospacing="1" w:line="273" w:lineRule="auto"/>
              <w:ind w:leftChars="0" w:left="0"/>
              <w:rPr>
                <w:rFonts w:ascii="宋体" w:eastAsia="Times New Roman" w:hAnsi="宋体" w:cs="Times New Roman"/>
                <w:bCs/>
                <w:kern w:val="0"/>
              </w:rPr>
            </w:pPr>
            <w:r w:rsidRPr="0035488F">
              <w:rPr>
                <w:rFonts w:ascii="宋体" w:eastAsia="Times New Roman" w:hAnsi="宋体" w:cs="Times New Roman"/>
                <w:bCs/>
                <w:kern w:val="0"/>
                <w:sz w:val="18"/>
                <w:szCs w:val="18"/>
              </w:rPr>
              <w:t>差（%）</w:t>
            </w:r>
          </w:p>
        </w:tc>
        <w:tc>
          <w:tcPr>
            <w:tcW w:w="0" w:type="auto"/>
          </w:tcPr>
          <w:p w14:paraId="50A4647D" w14:textId="77777777" w:rsidR="00D46586" w:rsidRPr="0035488F" w:rsidRDefault="00000000">
            <w:pPr>
              <w:widowControl/>
              <w:spacing w:before="100" w:beforeAutospacing="1" w:line="273" w:lineRule="auto"/>
              <w:ind w:leftChars="0" w:left="0"/>
              <w:rPr>
                <w:rFonts w:ascii="宋体" w:eastAsia="Times New Roman" w:hAnsi="宋体" w:cs="Times New Roman"/>
                <w:bCs/>
                <w:kern w:val="0"/>
              </w:rPr>
            </w:pPr>
            <w:proofErr w:type="spellStart"/>
            <w:r w:rsidRPr="0035488F">
              <w:rPr>
                <w:rFonts w:ascii="宋体" w:eastAsia="Times New Roman" w:hAnsi="宋体" w:cs="Times New Roman"/>
                <w:bCs/>
                <w:kern w:val="0"/>
                <w:sz w:val="18"/>
                <w:szCs w:val="18"/>
              </w:rPr>
              <w:t>较差</w:t>
            </w:r>
            <w:proofErr w:type="spellEnd"/>
            <w:r w:rsidRPr="0035488F">
              <w:rPr>
                <w:rFonts w:ascii="宋体" w:eastAsia="Times New Roman" w:hAnsi="宋体" w:cs="Times New Roman"/>
                <w:bCs/>
                <w:kern w:val="0"/>
                <w:sz w:val="18"/>
                <w:szCs w:val="18"/>
              </w:rPr>
              <w:t>（%）</w:t>
            </w:r>
          </w:p>
        </w:tc>
        <w:tc>
          <w:tcPr>
            <w:tcW w:w="0" w:type="auto"/>
          </w:tcPr>
          <w:p w14:paraId="4DAFE102" w14:textId="77777777" w:rsidR="00D46586" w:rsidRPr="0035488F" w:rsidRDefault="00000000">
            <w:pPr>
              <w:widowControl/>
              <w:spacing w:before="100" w:beforeAutospacing="1" w:line="273" w:lineRule="auto"/>
              <w:ind w:leftChars="0" w:left="0"/>
              <w:rPr>
                <w:rFonts w:ascii="宋体" w:eastAsia="Times New Roman" w:hAnsi="宋体" w:cs="Times New Roman"/>
                <w:bCs/>
                <w:kern w:val="0"/>
              </w:rPr>
            </w:pPr>
            <w:proofErr w:type="spellStart"/>
            <w:r w:rsidRPr="0035488F">
              <w:rPr>
                <w:rFonts w:ascii="宋体" w:eastAsia="Times New Roman" w:hAnsi="宋体" w:cs="Times New Roman"/>
                <w:bCs/>
                <w:kern w:val="0"/>
                <w:sz w:val="18"/>
                <w:szCs w:val="18"/>
              </w:rPr>
              <w:t>一般</w:t>
            </w:r>
            <w:proofErr w:type="spellEnd"/>
            <w:r w:rsidRPr="0035488F">
              <w:rPr>
                <w:rFonts w:ascii="宋体" w:eastAsia="Times New Roman" w:hAnsi="宋体" w:cs="Times New Roman"/>
                <w:bCs/>
                <w:kern w:val="0"/>
                <w:sz w:val="18"/>
                <w:szCs w:val="18"/>
              </w:rPr>
              <w:t>（%）</w:t>
            </w:r>
          </w:p>
        </w:tc>
        <w:tc>
          <w:tcPr>
            <w:tcW w:w="0" w:type="auto"/>
          </w:tcPr>
          <w:p w14:paraId="6F57DC25" w14:textId="77777777" w:rsidR="00D46586" w:rsidRPr="0035488F" w:rsidRDefault="00000000">
            <w:pPr>
              <w:widowControl/>
              <w:spacing w:before="100" w:beforeAutospacing="1" w:line="273" w:lineRule="auto"/>
              <w:ind w:leftChars="0" w:left="0"/>
              <w:rPr>
                <w:rFonts w:ascii="宋体" w:eastAsia="Times New Roman" w:hAnsi="宋体" w:cs="Times New Roman"/>
                <w:bCs/>
                <w:kern w:val="0"/>
              </w:rPr>
            </w:pPr>
            <w:r w:rsidRPr="0035488F">
              <w:rPr>
                <w:rFonts w:ascii="宋体" w:eastAsia="Times New Roman" w:hAnsi="宋体" w:cs="Times New Roman"/>
                <w:bCs/>
                <w:kern w:val="0"/>
                <w:sz w:val="18"/>
                <w:szCs w:val="18"/>
              </w:rPr>
              <w:t>良（%）</w:t>
            </w:r>
          </w:p>
        </w:tc>
        <w:tc>
          <w:tcPr>
            <w:tcW w:w="0" w:type="auto"/>
          </w:tcPr>
          <w:p w14:paraId="18A57027" w14:textId="77777777" w:rsidR="00D46586" w:rsidRPr="0035488F" w:rsidRDefault="00000000">
            <w:pPr>
              <w:widowControl/>
              <w:spacing w:before="100" w:beforeAutospacing="1" w:line="273" w:lineRule="auto"/>
              <w:ind w:leftChars="0" w:left="0"/>
              <w:rPr>
                <w:rFonts w:ascii="宋体" w:eastAsia="Times New Roman" w:hAnsi="宋体" w:cs="Times New Roman"/>
                <w:bCs/>
                <w:kern w:val="0"/>
              </w:rPr>
            </w:pPr>
            <w:r w:rsidRPr="0035488F">
              <w:rPr>
                <w:rFonts w:ascii="宋体" w:eastAsia="Times New Roman" w:hAnsi="宋体" w:cs="Times New Roman"/>
                <w:bCs/>
                <w:kern w:val="0"/>
                <w:sz w:val="18"/>
                <w:szCs w:val="18"/>
              </w:rPr>
              <w:t>优（%）</w:t>
            </w:r>
          </w:p>
        </w:tc>
        <w:tc>
          <w:tcPr>
            <w:tcW w:w="1134" w:type="dxa"/>
          </w:tcPr>
          <w:p w14:paraId="1DCC53A0" w14:textId="77777777" w:rsidR="00D46586" w:rsidRPr="0035488F" w:rsidRDefault="00000000">
            <w:pPr>
              <w:widowControl/>
              <w:spacing w:before="100" w:beforeAutospacing="1" w:line="273" w:lineRule="auto"/>
              <w:ind w:leftChars="0" w:left="0"/>
              <w:rPr>
                <w:rFonts w:ascii="宋体" w:eastAsia="Times New Roman" w:hAnsi="宋体" w:cs="Times New Roman"/>
                <w:bCs/>
                <w:kern w:val="0"/>
              </w:rPr>
            </w:pPr>
            <w:proofErr w:type="spellStart"/>
            <w:r w:rsidRPr="0035488F">
              <w:rPr>
                <w:rFonts w:ascii="宋体" w:eastAsia="Times New Roman" w:hAnsi="宋体" w:cs="Times New Roman"/>
                <w:bCs/>
                <w:kern w:val="0"/>
                <w:sz w:val="18"/>
                <w:szCs w:val="18"/>
              </w:rPr>
              <w:t>良+优合计</w:t>
            </w:r>
            <w:proofErr w:type="spellEnd"/>
            <w:r w:rsidRPr="0035488F">
              <w:rPr>
                <w:rFonts w:ascii="宋体" w:eastAsia="Times New Roman" w:hAnsi="宋体" w:cs="Times New Roman"/>
                <w:bCs/>
                <w:kern w:val="0"/>
                <w:sz w:val="18"/>
                <w:szCs w:val="18"/>
              </w:rPr>
              <w:t>（%）</w:t>
            </w:r>
          </w:p>
        </w:tc>
        <w:tc>
          <w:tcPr>
            <w:tcW w:w="1134" w:type="dxa"/>
          </w:tcPr>
          <w:p w14:paraId="42B0D13B" w14:textId="77777777" w:rsidR="00D46586" w:rsidRPr="0035488F" w:rsidRDefault="00000000">
            <w:pPr>
              <w:widowControl/>
              <w:spacing w:before="100" w:beforeAutospacing="1" w:line="273" w:lineRule="auto"/>
              <w:ind w:leftChars="0" w:left="0"/>
              <w:rPr>
                <w:rFonts w:ascii="宋体" w:eastAsia="Times New Roman" w:hAnsi="宋体" w:cs="Times New Roman"/>
                <w:bCs/>
                <w:kern w:val="0"/>
              </w:rPr>
            </w:pPr>
            <w:proofErr w:type="spellStart"/>
            <w:r w:rsidRPr="0035488F">
              <w:rPr>
                <w:rFonts w:ascii="宋体" w:eastAsia="Times New Roman" w:hAnsi="宋体" w:cs="Times New Roman"/>
                <w:bCs/>
                <w:kern w:val="0"/>
                <w:sz w:val="18"/>
                <w:szCs w:val="18"/>
              </w:rPr>
              <w:t>差+较差合计</w:t>
            </w:r>
            <w:proofErr w:type="spellEnd"/>
            <w:r w:rsidRPr="0035488F">
              <w:rPr>
                <w:rFonts w:ascii="宋体" w:eastAsia="Times New Roman" w:hAnsi="宋体" w:cs="Times New Roman"/>
                <w:bCs/>
                <w:kern w:val="0"/>
                <w:sz w:val="18"/>
                <w:szCs w:val="18"/>
              </w:rPr>
              <w:t>（%）</w:t>
            </w:r>
          </w:p>
        </w:tc>
      </w:tr>
      <w:tr w:rsidR="00D46586" w14:paraId="7976C6E0" w14:textId="77777777" w:rsidTr="00D46586">
        <w:trPr>
          <w:trHeight w:val="365"/>
          <w:jc w:val="center"/>
        </w:trPr>
        <w:tc>
          <w:tcPr>
            <w:tcW w:w="0" w:type="auto"/>
          </w:tcPr>
          <w:p w14:paraId="7E268EB4"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1985—1989</w:t>
            </w:r>
          </w:p>
        </w:tc>
        <w:tc>
          <w:tcPr>
            <w:tcW w:w="0" w:type="auto"/>
          </w:tcPr>
          <w:p w14:paraId="283D997C"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1.96</w:t>
            </w:r>
          </w:p>
        </w:tc>
        <w:tc>
          <w:tcPr>
            <w:tcW w:w="0" w:type="auto"/>
          </w:tcPr>
          <w:p w14:paraId="5E35FAE5"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23.04</w:t>
            </w:r>
          </w:p>
        </w:tc>
        <w:tc>
          <w:tcPr>
            <w:tcW w:w="0" w:type="auto"/>
          </w:tcPr>
          <w:p w14:paraId="57E6FCA8"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33.78</w:t>
            </w:r>
          </w:p>
        </w:tc>
        <w:tc>
          <w:tcPr>
            <w:tcW w:w="0" w:type="auto"/>
          </w:tcPr>
          <w:p w14:paraId="53778E39"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29.94</w:t>
            </w:r>
          </w:p>
        </w:tc>
        <w:tc>
          <w:tcPr>
            <w:tcW w:w="0" w:type="auto"/>
          </w:tcPr>
          <w:p w14:paraId="2C980EB4"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11.28</w:t>
            </w:r>
          </w:p>
        </w:tc>
        <w:tc>
          <w:tcPr>
            <w:tcW w:w="1134" w:type="dxa"/>
          </w:tcPr>
          <w:p w14:paraId="6078DBBE"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41.22</w:t>
            </w:r>
          </w:p>
        </w:tc>
        <w:tc>
          <w:tcPr>
            <w:tcW w:w="1134" w:type="dxa"/>
          </w:tcPr>
          <w:p w14:paraId="1792E563"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25.00</w:t>
            </w:r>
          </w:p>
        </w:tc>
      </w:tr>
      <w:tr w:rsidR="00D46586" w14:paraId="3CEC0CD8" w14:textId="77777777" w:rsidTr="00D46586">
        <w:trPr>
          <w:trHeight w:val="353"/>
          <w:jc w:val="center"/>
        </w:trPr>
        <w:tc>
          <w:tcPr>
            <w:tcW w:w="0" w:type="auto"/>
          </w:tcPr>
          <w:p w14:paraId="5CB87D41"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1990—1994</w:t>
            </w:r>
          </w:p>
        </w:tc>
        <w:tc>
          <w:tcPr>
            <w:tcW w:w="0" w:type="auto"/>
          </w:tcPr>
          <w:p w14:paraId="2CAA0673"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0.02</w:t>
            </w:r>
          </w:p>
        </w:tc>
        <w:tc>
          <w:tcPr>
            <w:tcW w:w="0" w:type="auto"/>
          </w:tcPr>
          <w:p w14:paraId="11C62978"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14.50</w:t>
            </w:r>
          </w:p>
        </w:tc>
        <w:tc>
          <w:tcPr>
            <w:tcW w:w="0" w:type="auto"/>
          </w:tcPr>
          <w:p w14:paraId="7A31A334"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29.06</w:t>
            </w:r>
          </w:p>
        </w:tc>
        <w:tc>
          <w:tcPr>
            <w:tcW w:w="0" w:type="auto"/>
          </w:tcPr>
          <w:p w14:paraId="5D4EEE16"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26.67</w:t>
            </w:r>
          </w:p>
        </w:tc>
        <w:tc>
          <w:tcPr>
            <w:tcW w:w="0" w:type="auto"/>
          </w:tcPr>
          <w:p w14:paraId="3810A6EC"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29.75</w:t>
            </w:r>
          </w:p>
        </w:tc>
        <w:tc>
          <w:tcPr>
            <w:tcW w:w="1134" w:type="dxa"/>
          </w:tcPr>
          <w:p w14:paraId="71E078E8"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56.41</w:t>
            </w:r>
          </w:p>
        </w:tc>
        <w:tc>
          <w:tcPr>
            <w:tcW w:w="1134" w:type="dxa"/>
          </w:tcPr>
          <w:p w14:paraId="4B8B5FEE"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14.52</w:t>
            </w:r>
          </w:p>
        </w:tc>
      </w:tr>
      <w:tr w:rsidR="00D46586" w14:paraId="373E2927" w14:textId="77777777" w:rsidTr="00D46586">
        <w:trPr>
          <w:trHeight w:val="365"/>
          <w:jc w:val="center"/>
        </w:trPr>
        <w:tc>
          <w:tcPr>
            <w:tcW w:w="0" w:type="auto"/>
          </w:tcPr>
          <w:p w14:paraId="46B59D13"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1995—1999</w:t>
            </w:r>
          </w:p>
        </w:tc>
        <w:tc>
          <w:tcPr>
            <w:tcW w:w="0" w:type="auto"/>
          </w:tcPr>
          <w:p w14:paraId="4057BD3E"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0.09</w:t>
            </w:r>
          </w:p>
        </w:tc>
        <w:tc>
          <w:tcPr>
            <w:tcW w:w="0" w:type="auto"/>
          </w:tcPr>
          <w:p w14:paraId="0103B71D"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13.12</w:t>
            </w:r>
          </w:p>
        </w:tc>
        <w:tc>
          <w:tcPr>
            <w:tcW w:w="0" w:type="auto"/>
          </w:tcPr>
          <w:p w14:paraId="069480DF"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24.15</w:t>
            </w:r>
          </w:p>
        </w:tc>
        <w:tc>
          <w:tcPr>
            <w:tcW w:w="0" w:type="auto"/>
          </w:tcPr>
          <w:p w14:paraId="0A209A5F"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28.70</w:t>
            </w:r>
          </w:p>
        </w:tc>
        <w:tc>
          <w:tcPr>
            <w:tcW w:w="0" w:type="auto"/>
          </w:tcPr>
          <w:p w14:paraId="1FCEE5B2"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33.95</w:t>
            </w:r>
          </w:p>
        </w:tc>
        <w:tc>
          <w:tcPr>
            <w:tcW w:w="1134" w:type="dxa"/>
          </w:tcPr>
          <w:p w14:paraId="5F4E9431"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62.64</w:t>
            </w:r>
          </w:p>
        </w:tc>
        <w:tc>
          <w:tcPr>
            <w:tcW w:w="1134" w:type="dxa"/>
          </w:tcPr>
          <w:p w14:paraId="6498067F"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13.21</w:t>
            </w:r>
          </w:p>
        </w:tc>
      </w:tr>
      <w:tr w:rsidR="00D46586" w14:paraId="54E95B60" w14:textId="77777777" w:rsidTr="00D46586">
        <w:trPr>
          <w:trHeight w:val="353"/>
          <w:jc w:val="center"/>
        </w:trPr>
        <w:tc>
          <w:tcPr>
            <w:tcW w:w="0" w:type="auto"/>
          </w:tcPr>
          <w:p w14:paraId="66BD9009"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2000—2004</w:t>
            </w:r>
          </w:p>
        </w:tc>
        <w:tc>
          <w:tcPr>
            <w:tcW w:w="0" w:type="auto"/>
          </w:tcPr>
          <w:p w14:paraId="114BA56E"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0.05</w:t>
            </w:r>
          </w:p>
        </w:tc>
        <w:tc>
          <w:tcPr>
            <w:tcW w:w="0" w:type="auto"/>
          </w:tcPr>
          <w:p w14:paraId="1E161F9D"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13.86</w:t>
            </w:r>
          </w:p>
        </w:tc>
        <w:tc>
          <w:tcPr>
            <w:tcW w:w="0" w:type="auto"/>
          </w:tcPr>
          <w:p w14:paraId="51C79BC8"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25.92</w:t>
            </w:r>
          </w:p>
        </w:tc>
        <w:tc>
          <w:tcPr>
            <w:tcW w:w="0" w:type="auto"/>
          </w:tcPr>
          <w:p w14:paraId="71B02803"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28.76</w:t>
            </w:r>
          </w:p>
        </w:tc>
        <w:tc>
          <w:tcPr>
            <w:tcW w:w="0" w:type="auto"/>
          </w:tcPr>
          <w:p w14:paraId="0DFBEB90"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31.41</w:t>
            </w:r>
          </w:p>
        </w:tc>
        <w:tc>
          <w:tcPr>
            <w:tcW w:w="1134" w:type="dxa"/>
          </w:tcPr>
          <w:p w14:paraId="14889927"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60.16</w:t>
            </w:r>
          </w:p>
        </w:tc>
        <w:tc>
          <w:tcPr>
            <w:tcW w:w="1134" w:type="dxa"/>
          </w:tcPr>
          <w:p w14:paraId="57683C97"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13.92</w:t>
            </w:r>
          </w:p>
        </w:tc>
      </w:tr>
      <w:tr w:rsidR="00D46586" w14:paraId="001DFCCF" w14:textId="77777777" w:rsidTr="00D46586">
        <w:trPr>
          <w:trHeight w:val="365"/>
          <w:jc w:val="center"/>
        </w:trPr>
        <w:tc>
          <w:tcPr>
            <w:tcW w:w="0" w:type="auto"/>
          </w:tcPr>
          <w:p w14:paraId="176348A5"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2005—2009</w:t>
            </w:r>
          </w:p>
        </w:tc>
        <w:tc>
          <w:tcPr>
            <w:tcW w:w="0" w:type="auto"/>
          </w:tcPr>
          <w:p w14:paraId="56E6A274"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0.00</w:t>
            </w:r>
          </w:p>
        </w:tc>
        <w:tc>
          <w:tcPr>
            <w:tcW w:w="0" w:type="auto"/>
          </w:tcPr>
          <w:p w14:paraId="68F3250A"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6.53</w:t>
            </w:r>
          </w:p>
        </w:tc>
        <w:tc>
          <w:tcPr>
            <w:tcW w:w="0" w:type="auto"/>
          </w:tcPr>
          <w:p w14:paraId="52E0D5DC"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24.35</w:t>
            </w:r>
          </w:p>
        </w:tc>
        <w:tc>
          <w:tcPr>
            <w:tcW w:w="0" w:type="auto"/>
          </w:tcPr>
          <w:p w14:paraId="167941F9"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39.56</w:t>
            </w:r>
          </w:p>
        </w:tc>
        <w:tc>
          <w:tcPr>
            <w:tcW w:w="0" w:type="auto"/>
          </w:tcPr>
          <w:p w14:paraId="44E4BA42"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29.56</w:t>
            </w:r>
          </w:p>
        </w:tc>
        <w:tc>
          <w:tcPr>
            <w:tcW w:w="1134" w:type="dxa"/>
          </w:tcPr>
          <w:p w14:paraId="15CA56C9"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69.12</w:t>
            </w:r>
          </w:p>
        </w:tc>
        <w:tc>
          <w:tcPr>
            <w:tcW w:w="1134" w:type="dxa"/>
          </w:tcPr>
          <w:p w14:paraId="0E702A93"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6.53</w:t>
            </w:r>
          </w:p>
        </w:tc>
      </w:tr>
      <w:tr w:rsidR="00D46586" w14:paraId="095C1869" w14:textId="77777777" w:rsidTr="00D46586">
        <w:trPr>
          <w:trHeight w:val="365"/>
          <w:jc w:val="center"/>
        </w:trPr>
        <w:tc>
          <w:tcPr>
            <w:tcW w:w="0" w:type="auto"/>
          </w:tcPr>
          <w:p w14:paraId="1978358B"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2010—2014</w:t>
            </w:r>
          </w:p>
        </w:tc>
        <w:tc>
          <w:tcPr>
            <w:tcW w:w="0" w:type="auto"/>
          </w:tcPr>
          <w:p w14:paraId="33AACCA5"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0.00</w:t>
            </w:r>
          </w:p>
        </w:tc>
        <w:tc>
          <w:tcPr>
            <w:tcW w:w="0" w:type="auto"/>
          </w:tcPr>
          <w:p w14:paraId="3A79B229"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2.28</w:t>
            </w:r>
          </w:p>
        </w:tc>
        <w:tc>
          <w:tcPr>
            <w:tcW w:w="0" w:type="auto"/>
          </w:tcPr>
          <w:p w14:paraId="69B4A13D"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22.92</w:t>
            </w:r>
          </w:p>
        </w:tc>
        <w:tc>
          <w:tcPr>
            <w:tcW w:w="0" w:type="auto"/>
          </w:tcPr>
          <w:p w14:paraId="519A92E7"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34.47</w:t>
            </w:r>
          </w:p>
        </w:tc>
        <w:tc>
          <w:tcPr>
            <w:tcW w:w="0" w:type="auto"/>
          </w:tcPr>
          <w:p w14:paraId="3202776B"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40.34</w:t>
            </w:r>
          </w:p>
        </w:tc>
        <w:tc>
          <w:tcPr>
            <w:tcW w:w="1134" w:type="dxa"/>
          </w:tcPr>
          <w:p w14:paraId="23AC12FF"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74.80</w:t>
            </w:r>
          </w:p>
        </w:tc>
        <w:tc>
          <w:tcPr>
            <w:tcW w:w="1134" w:type="dxa"/>
          </w:tcPr>
          <w:p w14:paraId="1B619349"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2.28</w:t>
            </w:r>
          </w:p>
        </w:tc>
      </w:tr>
      <w:tr w:rsidR="00D46586" w14:paraId="2F28C116" w14:textId="77777777" w:rsidTr="00D46586">
        <w:trPr>
          <w:trHeight w:val="353"/>
          <w:jc w:val="center"/>
        </w:trPr>
        <w:tc>
          <w:tcPr>
            <w:tcW w:w="0" w:type="auto"/>
          </w:tcPr>
          <w:p w14:paraId="2D213329"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2015—2020</w:t>
            </w:r>
          </w:p>
        </w:tc>
        <w:tc>
          <w:tcPr>
            <w:tcW w:w="0" w:type="auto"/>
          </w:tcPr>
          <w:p w14:paraId="6DB47C84"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0.00</w:t>
            </w:r>
          </w:p>
        </w:tc>
        <w:tc>
          <w:tcPr>
            <w:tcW w:w="0" w:type="auto"/>
          </w:tcPr>
          <w:p w14:paraId="4019BEE0"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0.01</w:t>
            </w:r>
          </w:p>
        </w:tc>
        <w:tc>
          <w:tcPr>
            <w:tcW w:w="0" w:type="auto"/>
          </w:tcPr>
          <w:p w14:paraId="36BC7902"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15.66</w:t>
            </w:r>
          </w:p>
        </w:tc>
        <w:tc>
          <w:tcPr>
            <w:tcW w:w="0" w:type="auto"/>
          </w:tcPr>
          <w:p w14:paraId="777B0F33"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51.08</w:t>
            </w:r>
          </w:p>
        </w:tc>
        <w:tc>
          <w:tcPr>
            <w:tcW w:w="0" w:type="auto"/>
          </w:tcPr>
          <w:p w14:paraId="470310B0"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33.25</w:t>
            </w:r>
          </w:p>
        </w:tc>
        <w:tc>
          <w:tcPr>
            <w:tcW w:w="1134" w:type="dxa"/>
          </w:tcPr>
          <w:p w14:paraId="5BA3FED6"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84.33</w:t>
            </w:r>
          </w:p>
        </w:tc>
        <w:tc>
          <w:tcPr>
            <w:tcW w:w="1134" w:type="dxa"/>
          </w:tcPr>
          <w:p w14:paraId="3D743BD9"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0.01</w:t>
            </w:r>
          </w:p>
        </w:tc>
      </w:tr>
      <w:tr w:rsidR="00D46586" w14:paraId="38951BAF" w14:textId="77777777" w:rsidTr="00D46586">
        <w:trPr>
          <w:trHeight w:val="353"/>
          <w:jc w:val="center"/>
        </w:trPr>
        <w:tc>
          <w:tcPr>
            <w:tcW w:w="0" w:type="auto"/>
          </w:tcPr>
          <w:p w14:paraId="498426E2"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 xml:space="preserve">35 </w:t>
            </w:r>
            <w:proofErr w:type="spellStart"/>
            <w:r>
              <w:rPr>
                <w:rFonts w:ascii="宋体" w:eastAsia="Times New Roman" w:hAnsi="宋体" w:cs="Times New Roman"/>
                <w:kern w:val="0"/>
                <w:sz w:val="18"/>
                <w:szCs w:val="18"/>
              </w:rPr>
              <w:t>年净变化</w:t>
            </w:r>
            <w:proofErr w:type="spellEnd"/>
          </w:p>
        </w:tc>
        <w:tc>
          <w:tcPr>
            <w:tcW w:w="0" w:type="auto"/>
          </w:tcPr>
          <w:p w14:paraId="6DD48749"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1.96</w:t>
            </w:r>
          </w:p>
        </w:tc>
        <w:tc>
          <w:tcPr>
            <w:tcW w:w="0" w:type="auto"/>
          </w:tcPr>
          <w:p w14:paraId="0D56FDE6"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23.03</w:t>
            </w:r>
          </w:p>
        </w:tc>
        <w:tc>
          <w:tcPr>
            <w:tcW w:w="0" w:type="auto"/>
          </w:tcPr>
          <w:p w14:paraId="5D571621"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18.11</w:t>
            </w:r>
          </w:p>
        </w:tc>
        <w:tc>
          <w:tcPr>
            <w:tcW w:w="0" w:type="auto"/>
          </w:tcPr>
          <w:p w14:paraId="70F8C4F4"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+21.14</w:t>
            </w:r>
          </w:p>
        </w:tc>
        <w:tc>
          <w:tcPr>
            <w:tcW w:w="0" w:type="auto"/>
          </w:tcPr>
          <w:p w14:paraId="12A8C419"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+21.97</w:t>
            </w:r>
          </w:p>
        </w:tc>
        <w:tc>
          <w:tcPr>
            <w:tcW w:w="1134" w:type="dxa"/>
          </w:tcPr>
          <w:p w14:paraId="6F77A582"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宋体" w:eastAsia="Times New Roman" w:hAnsi="宋体" w:cs="Times New Roman"/>
                <w:kern w:val="0"/>
                <w:sz w:val="18"/>
                <w:szCs w:val="18"/>
              </w:rPr>
              <w:t>+43.11</w:t>
            </w:r>
          </w:p>
        </w:tc>
        <w:tc>
          <w:tcPr>
            <w:tcW w:w="1134" w:type="dxa"/>
          </w:tcPr>
          <w:p w14:paraId="5C154F6E" w14:textId="77777777" w:rsidR="00D46586" w:rsidRDefault="00000000">
            <w:pPr>
              <w:widowControl/>
              <w:spacing w:before="100" w:beforeAutospacing="1" w:line="273" w:lineRule="auto"/>
              <w:ind w:leftChars="0" w:left="0"/>
              <w:rPr>
                <w:rFonts w:ascii="宋体" w:eastAsia="Times New Roman" w:hAnsi="宋体" w:cs="Times New Roman"/>
                <w:kern w:val="0"/>
              </w:rPr>
            </w:pPr>
            <w:r>
              <w:rPr>
                <w:rFonts w:ascii="Cambria Math" w:eastAsia="Times New Roman" w:hAnsi="Cambria Math" w:cs="Cambria Math"/>
                <w:kern w:val="0"/>
                <w:sz w:val="18"/>
                <w:szCs w:val="18"/>
              </w:rPr>
              <w:t>−</w:t>
            </w:r>
            <w:r>
              <w:rPr>
                <w:rFonts w:ascii="宋体" w:eastAsia="Times New Roman" w:hAnsi="宋体" w:cs="Times New Roman"/>
                <w:kern w:val="0"/>
                <w:sz w:val="18"/>
                <w:szCs w:val="18"/>
              </w:rPr>
              <w:t>24.99</w:t>
            </w:r>
          </w:p>
        </w:tc>
      </w:tr>
    </w:tbl>
    <w:p w14:paraId="4B53D18E" w14:textId="77777777" w:rsidR="00D46586" w:rsidRDefault="00D46586">
      <w:pPr>
        <w:pStyle w:val="a3"/>
        <w:ind w:leftChars="0" w:left="0" w:firstLineChars="0" w:firstLine="0"/>
      </w:pPr>
    </w:p>
    <w:p w14:paraId="699B0B47" w14:textId="77777777" w:rsidR="00D46586" w:rsidRDefault="00000000">
      <w:pPr>
        <w:pStyle w:val="a3"/>
        <w:ind w:left="480" w:firstLine="480"/>
      </w:pPr>
      <w:r>
        <w:t>从表</w:t>
      </w:r>
      <w:r>
        <w:t xml:space="preserve"> 4-4 </w:t>
      </w:r>
      <w:r>
        <w:t>和图</w:t>
      </w:r>
      <w:r>
        <w:t xml:space="preserve"> 4-3 </w:t>
      </w:r>
      <w:r>
        <w:t>能够看出，吉林省三北防护林区域的生态质量等级结构，在</w:t>
      </w:r>
      <w:r>
        <w:t xml:space="preserve"> 35 </w:t>
      </w:r>
      <w:r>
        <w:t>年间经历了一次根本性的调整：</w:t>
      </w:r>
    </w:p>
    <w:p w14:paraId="7C0C82B3" w14:textId="77777777" w:rsidR="00D46586" w:rsidRDefault="00000000">
      <w:pPr>
        <w:pStyle w:val="a3"/>
        <w:ind w:left="480" w:firstLine="480"/>
      </w:pPr>
      <w:r>
        <w:t>（</w:t>
      </w:r>
      <w:r>
        <w:t>1</w:t>
      </w:r>
      <w:r>
        <w:t>）差和较差这两个等级，它们的面积占比分别从</w:t>
      </w:r>
      <w:r>
        <w:t xml:space="preserve"> 1985—1989 </w:t>
      </w:r>
      <w:r>
        <w:t>期的</w:t>
      </w:r>
      <w:r>
        <w:t xml:space="preserve"> 1.96% </w:t>
      </w:r>
      <w:r>
        <w:t>和</w:t>
      </w:r>
      <w:r>
        <w:t xml:space="preserve"> 23.04%</w:t>
      </w:r>
      <w:r>
        <w:t>，到</w:t>
      </w:r>
      <w:r>
        <w:t xml:space="preserve"> 2015—2020 </w:t>
      </w:r>
      <w:r>
        <w:t>期的时候，一下子降到了几乎为零的水平，</w:t>
      </w:r>
      <w:proofErr w:type="gramStart"/>
      <w:r>
        <w:t>差等只</w:t>
      </w:r>
      <w:proofErr w:type="gramEnd"/>
      <w:r>
        <w:t>剩下了</w:t>
      </w:r>
      <w:r>
        <w:t xml:space="preserve"> 16 </w:t>
      </w:r>
      <w:proofErr w:type="gramStart"/>
      <w:r>
        <w:t>个</w:t>
      </w:r>
      <w:proofErr w:type="gramEnd"/>
      <w:r>
        <w:t>像素，比例连</w:t>
      </w:r>
      <w:r>
        <w:t xml:space="preserve"> 0.001% </w:t>
      </w:r>
      <w:r>
        <w:t>都不到，较差等也仅仅保留了</w:t>
      </w:r>
      <w:r>
        <w:t xml:space="preserve"> 0.01%</w:t>
      </w:r>
      <w:r>
        <w:t>；两项加在一起，从</w:t>
      </w:r>
      <w:r>
        <w:t xml:space="preserve"> 25.00% </w:t>
      </w:r>
      <w:r>
        <w:t>降到了</w:t>
      </w:r>
      <w:r>
        <w:t xml:space="preserve"> 0.01%</w:t>
      </w:r>
      <w:r>
        <w:t>，降下去的总量有</w:t>
      </w:r>
      <w:r>
        <w:t xml:space="preserve"> 24.99 </w:t>
      </w:r>
      <w:proofErr w:type="gramStart"/>
      <w:r>
        <w:t>个</w:t>
      </w:r>
      <w:proofErr w:type="gramEnd"/>
      <w:r>
        <w:t>百分点。这也就意味着，</w:t>
      </w:r>
      <w:r>
        <w:t xml:space="preserve">1985 </w:t>
      </w:r>
      <w:r>
        <w:t>年还占着全区四分之一面积的低质量生态斑块，在</w:t>
      </w:r>
      <w:r>
        <w:t xml:space="preserve"> 2020 </w:t>
      </w:r>
      <w:r>
        <w:t>年之前已经被基本清除掉了；这种低等级被大面积消除的过程，主要发生在了快速跃升期（</w:t>
      </w:r>
      <w:r>
        <w:t>1985—1994</w:t>
      </w:r>
      <w:r>
        <w:t>），那个时期较差等级的降幅就达到了</w:t>
      </w:r>
      <w:r>
        <w:t xml:space="preserve"> 8.54 </w:t>
      </w:r>
      <w:proofErr w:type="gramStart"/>
      <w:r>
        <w:t>个</w:t>
      </w:r>
      <w:proofErr w:type="gramEnd"/>
      <w:r>
        <w:t>百分点，在时间上和三北防护林一至二期工程推动的固沙造林与荒山绿化工作，是高度吻合的。</w:t>
      </w:r>
    </w:p>
    <w:p w14:paraId="06FEFA0D" w14:textId="77777777" w:rsidR="00D46586" w:rsidRDefault="00000000">
      <w:pPr>
        <w:pStyle w:val="a3"/>
        <w:ind w:left="480" w:firstLine="480"/>
      </w:pPr>
      <w:r>
        <w:lastRenderedPageBreak/>
        <w:t>（</w:t>
      </w:r>
      <w:r>
        <w:t>2</w:t>
      </w:r>
      <w:r>
        <w:t>）良</w:t>
      </w:r>
      <w:proofErr w:type="gramStart"/>
      <w:r>
        <w:t>和优这两个</w:t>
      </w:r>
      <w:proofErr w:type="gramEnd"/>
      <w:r>
        <w:t>高等级，它们的面积合在一起，从</w:t>
      </w:r>
      <w:r>
        <w:t xml:space="preserve"> 41.22% </w:t>
      </w:r>
      <w:r>
        <w:t>一路跳升到了</w:t>
      </w:r>
      <w:r>
        <w:t xml:space="preserve"> 84.33%</w:t>
      </w:r>
      <w:r>
        <w:t>，净增加了</w:t>
      </w:r>
      <w:r>
        <w:t xml:space="preserve"> 43.11 </w:t>
      </w:r>
      <w:proofErr w:type="gramStart"/>
      <w:r>
        <w:t>个</w:t>
      </w:r>
      <w:proofErr w:type="gramEnd"/>
      <w:r>
        <w:t>百分点，这就让优质生态面积在</w:t>
      </w:r>
      <w:proofErr w:type="gramStart"/>
      <w:r>
        <w:t>全区占</w:t>
      </w:r>
      <w:proofErr w:type="gramEnd"/>
      <w:r>
        <w:t>到了八成以上，成了一个历史性的突破。在这当中，良等的面积占比从</w:t>
      </w:r>
      <w:r>
        <w:t xml:space="preserve"> 29.94% </w:t>
      </w:r>
      <w:r>
        <w:t>提高到了</w:t>
      </w:r>
      <w:r>
        <w:t xml:space="preserve"> 51.08%</w:t>
      </w:r>
      <w:r>
        <w:t>，增加了</w:t>
      </w:r>
      <w:r>
        <w:t xml:space="preserve"> 21.14 </w:t>
      </w:r>
      <w:proofErr w:type="gramStart"/>
      <w:r>
        <w:t>个</w:t>
      </w:r>
      <w:proofErr w:type="gramEnd"/>
      <w:r>
        <w:t>百分点，到了</w:t>
      </w:r>
      <w:r>
        <w:t xml:space="preserve"> 2020 </w:t>
      </w:r>
      <w:r>
        <w:t>年它已经是占比最大的一个等级了；优等的面积，则从</w:t>
      </w:r>
      <w:r>
        <w:t xml:space="preserve"> 11.28% </w:t>
      </w:r>
      <w:r>
        <w:t>涨到了</w:t>
      </w:r>
      <w:r>
        <w:t xml:space="preserve"> 33.25%</w:t>
      </w:r>
      <w:r>
        <w:t>，增加了</w:t>
      </w:r>
      <w:r>
        <w:t xml:space="preserve"> 21.97 </w:t>
      </w:r>
      <w:proofErr w:type="gramStart"/>
      <w:r>
        <w:t>个</w:t>
      </w:r>
      <w:proofErr w:type="gramEnd"/>
      <w:r>
        <w:t>百分点，面积差不多增长了三倍。良和优加在一起的总占比，在这</w:t>
      </w:r>
      <w:r>
        <w:t xml:space="preserve"> 35 </w:t>
      </w:r>
      <w:r>
        <w:t>年里从原来还不到一半变成了占据绝对优势，整个区域的生态格局，也从过去那种以一般等级占多数的</w:t>
      </w:r>
      <w:r>
        <w:t>“</w:t>
      </w:r>
      <w:r>
        <w:t>橄榄形</w:t>
      </w:r>
      <w:r>
        <w:t>”</w:t>
      </w:r>
      <w:r>
        <w:t>结构，被彻底转换成了以良等级为主体的</w:t>
      </w:r>
      <w:r>
        <w:t>“</w:t>
      </w:r>
      <w:r>
        <w:t>金字塔形</w:t>
      </w:r>
      <w:r>
        <w:t>”</w:t>
      </w:r>
      <w:r>
        <w:t>优质结构。</w:t>
      </w:r>
    </w:p>
    <w:p w14:paraId="7ECB8349" w14:textId="77777777" w:rsidR="00D46586" w:rsidRDefault="00000000">
      <w:pPr>
        <w:pStyle w:val="a3"/>
        <w:ind w:left="480" w:firstLine="480"/>
      </w:pPr>
      <w:r>
        <w:t>（</w:t>
      </w:r>
      <w:r>
        <w:t>3</w:t>
      </w:r>
      <w:r>
        <w:t>）一般等级，它的面积占比是从</w:t>
      </w:r>
      <w:r>
        <w:t xml:space="preserve"> 33.78% </w:t>
      </w:r>
      <w:r>
        <w:t>慢慢降到了</w:t>
      </w:r>
      <w:r>
        <w:t xml:space="preserve"> 15.66%</w:t>
      </w:r>
      <w:r>
        <w:t>，一共减少了</w:t>
      </w:r>
      <w:r>
        <w:t xml:space="preserve"> 18.11 </w:t>
      </w:r>
      <w:proofErr w:type="gramStart"/>
      <w:r>
        <w:t>个</w:t>
      </w:r>
      <w:proofErr w:type="gramEnd"/>
      <w:r>
        <w:t>百分点；这种下降并不是说生态退化了，而是它里面那些生态质量较好的部分，被不断地向上输送到了良和优的等级里去，在整个生态修复的过程中，它就像是质量由中等到优良的一道梯子，它的面积变小这件事，刚好就是全域质量在提升的空间证据。从</w:t>
      </w:r>
      <w:r>
        <w:t xml:space="preserve"> 1985 </w:t>
      </w:r>
      <w:r>
        <w:t>年的</w:t>
      </w:r>
      <w:r>
        <w:t>“</w:t>
      </w:r>
      <w:r>
        <w:t>橄榄形</w:t>
      </w:r>
      <w:r>
        <w:t>”</w:t>
      </w:r>
      <w:r>
        <w:t>（那时候是中等等级占的比重最高），变成</w:t>
      </w:r>
      <w:r>
        <w:t xml:space="preserve"> 2020 </w:t>
      </w:r>
      <w:r>
        <w:t>年的</w:t>
      </w:r>
      <w:r>
        <w:t>“</w:t>
      </w:r>
      <w:r>
        <w:t>金字塔形</w:t>
      </w:r>
      <w:r>
        <w:t>”</w:t>
      </w:r>
      <w:r>
        <w:t>（良等成了唯一的高峰），这种等级分布形态的转变，正是区域生态恢复成熟度提升的一个</w:t>
      </w:r>
      <w:proofErr w:type="gramStart"/>
      <w:r>
        <w:t>很</w:t>
      </w:r>
      <w:proofErr w:type="gramEnd"/>
      <w:r>
        <w:t>关键的统计标志。</w:t>
      </w:r>
    </w:p>
    <w:p w14:paraId="60787B0F" w14:textId="77777777" w:rsidR="00D46586" w:rsidRDefault="00000000">
      <w:pPr>
        <w:pStyle w:val="3"/>
        <w:spacing w:before="78" w:after="78"/>
        <w:ind w:left="480"/>
      </w:pPr>
      <w:bookmarkStart w:id="154" w:name="_Toc230815687"/>
      <w:r>
        <w:t xml:space="preserve">4.3.2 </w:t>
      </w:r>
      <w:r>
        <w:t>等级转换特征</w:t>
      </w:r>
      <w:bookmarkEnd w:id="154"/>
    </w:p>
    <w:p w14:paraId="0915CBE3" w14:textId="77777777" w:rsidR="00D46586" w:rsidRDefault="00000000">
      <w:pPr>
        <w:pStyle w:val="a3"/>
        <w:ind w:left="480" w:firstLine="480"/>
      </w:pPr>
      <w:r>
        <w:t>将等级结构的演变节奏与三北防护林工程推进阶段相对照，能识别出清晰的</w:t>
      </w:r>
      <w:r>
        <w:t>"</w:t>
      </w:r>
      <w:r>
        <w:t>脉冲</w:t>
      </w:r>
      <w:r>
        <w:t>—</w:t>
      </w:r>
      <w:r>
        <w:t>稳态</w:t>
      </w:r>
      <w:r>
        <w:t>"</w:t>
      </w:r>
      <w:r>
        <w:t>交替模式：</w:t>
      </w:r>
    </w:p>
    <w:p w14:paraId="243B8A59" w14:textId="77777777" w:rsidR="00D46586" w:rsidRDefault="00000000">
      <w:pPr>
        <w:pStyle w:val="a3"/>
        <w:ind w:left="480" w:firstLine="480"/>
      </w:pPr>
      <w:r>
        <w:t>（</w:t>
      </w:r>
      <w:r>
        <w:t>1</w:t>
      </w:r>
      <w:r>
        <w:t>）</w:t>
      </w:r>
      <w:r>
        <w:t>1985—1995</w:t>
      </w:r>
      <w:r>
        <w:t>年（工程一至二期衔接期）：差等面积骤降</w:t>
      </w:r>
      <w:r>
        <w:t>1.94</w:t>
      </w:r>
      <w:r>
        <w:t>个百分点，较差等下降</w:t>
      </w:r>
      <w:r>
        <w:t>8.54</w:t>
      </w:r>
      <w:r>
        <w:t>个百分点，优等暴增</w:t>
      </w:r>
      <w:r>
        <w:t>18.47</w:t>
      </w:r>
      <w:r>
        <w:t>个百分点，这是</w:t>
      </w:r>
      <w:r>
        <w:t>35</w:t>
      </w:r>
      <w:r>
        <w:t>年中等级结构变动最剧烈的十年，体现了大规模造林初期对劣质生态斑块的</w:t>
      </w:r>
      <w:r>
        <w:t>"</w:t>
      </w:r>
      <w:r>
        <w:t>急救式</w:t>
      </w:r>
      <w:r>
        <w:t>"</w:t>
      </w:r>
      <w:r>
        <w:t>修复；但良等占比同期反而微降，说明第一阶段的等级跃迁以</w:t>
      </w:r>
      <w:r>
        <w:t>"</w:t>
      </w:r>
      <w:r>
        <w:t>一般</w:t>
      </w:r>
      <w:r>
        <w:t>→</w:t>
      </w:r>
      <w:r>
        <w:t>优</w:t>
      </w:r>
      <w:r>
        <w:t>"</w:t>
      </w:r>
      <w:r>
        <w:t>的跨级跳跃为主</w:t>
      </w:r>
      <w:r>
        <w:t>——</w:t>
      </w:r>
      <w:r>
        <w:t>在沙地、退化草原等低植被覆盖区，人工林体系的快速建立直接实现了</w:t>
      </w:r>
      <w:r>
        <w:t>RSEI</w:t>
      </w:r>
      <w:r>
        <w:t>从低分段向高分段</w:t>
      </w:r>
      <w:proofErr w:type="gramStart"/>
      <w:r>
        <w:t>的阶跃式</w:t>
      </w:r>
      <w:proofErr w:type="gramEnd"/>
      <w:r>
        <w:t>跃升。</w:t>
      </w:r>
    </w:p>
    <w:p w14:paraId="1B374BBB" w14:textId="77777777" w:rsidR="00D46586" w:rsidRDefault="00000000">
      <w:pPr>
        <w:pStyle w:val="a3"/>
        <w:ind w:left="480" w:firstLine="480"/>
      </w:pPr>
      <w:r>
        <w:t>（</w:t>
      </w:r>
      <w:r>
        <w:t>2</w:t>
      </w:r>
      <w:r>
        <w:t>）</w:t>
      </w:r>
      <w:r>
        <w:t>1995—2005</w:t>
      </w:r>
      <w:r>
        <w:t>年（三、四期转型期）：等级结构变化趋于缓和，良</w:t>
      </w:r>
      <w:r>
        <w:t>+</w:t>
      </w:r>
      <w:r>
        <w:t>优合计在</w:t>
      </w:r>
      <w:r>
        <w:t>60%—63%</w:t>
      </w:r>
      <w:r>
        <w:t>之间窄幅波动，差等微幅回升，大规模造林的边际生</w:t>
      </w:r>
      <w:r>
        <w:lastRenderedPageBreak/>
        <w:t>态收益开始递减，生态修复进入</w:t>
      </w:r>
      <w:r>
        <w:t>"</w:t>
      </w:r>
      <w:r>
        <w:t>攻坚期</w:t>
      </w:r>
      <w:r>
        <w:t>"——</w:t>
      </w:r>
      <w:r>
        <w:t>低质量区域的彻底改造需要更长的时间，人工林初期的</w:t>
      </w:r>
      <w:r>
        <w:t>"</w:t>
      </w:r>
      <w:r>
        <w:t>数量红利</w:t>
      </w:r>
      <w:r>
        <w:t>"</w:t>
      </w:r>
      <w:r>
        <w:t>已基本释放完毕，后续需依赖森林生态系统的自我完善与维持。</w:t>
      </w:r>
    </w:p>
    <w:p w14:paraId="3360FEC8" w14:textId="77777777" w:rsidR="00D46586" w:rsidRDefault="00000000">
      <w:pPr>
        <w:pStyle w:val="a3"/>
        <w:ind w:left="480" w:firstLine="480"/>
      </w:pPr>
      <w:r>
        <w:t>（</w:t>
      </w:r>
      <w:r>
        <w:t>3</w:t>
      </w:r>
      <w:r>
        <w:t>）</w:t>
      </w:r>
      <w:r>
        <w:t>2005—2015</w:t>
      </w:r>
      <w:r>
        <w:t>年（五至六期）：较差等从</w:t>
      </w:r>
      <w:r>
        <w:t>6.53%</w:t>
      </w:r>
      <w:r>
        <w:t>骤降至</w:t>
      </w:r>
      <w:r>
        <w:t>2.28%</w:t>
      </w:r>
      <w:r>
        <w:t>，</w:t>
      </w:r>
      <w:proofErr w:type="gramStart"/>
      <w:r>
        <w:t>优等从</w:t>
      </w:r>
      <w:proofErr w:type="gramEnd"/>
      <w:r>
        <w:t>29.56%</w:t>
      </w:r>
      <w:r>
        <w:t>升至</w:t>
      </w:r>
      <w:r>
        <w:t>40.34%</w:t>
      </w:r>
      <w:r>
        <w:t>，封山育林与天然林保护政策的累积效应集中释放，生态修复转向</w:t>
      </w:r>
      <w:r>
        <w:t>"</w:t>
      </w:r>
      <w:r>
        <w:t>自然恢复为主、人工促进为辅</w:t>
      </w:r>
      <w:r>
        <w:t>"</w:t>
      </w:r>
      <w:r>
        <w:t>的内涵式提升路径；这一阶段的等级转型呈现逐级递进特征，表明生态系统已从初期的</w:t>
      </w:r>
      <w:r>
        <w:t>"</w:t>
      </w:r>
      <w:r>
        <w:t>外伤急救</w:t>
      </w:r>
      <w:r>
        <w:t>"</w:t>
      </w:r>
      <w:r>
        <w:t>切换为</w:t>
      </w:r>
      <w:r>
        <w:t>"</w:t>
      </w:r>
      <w:r>
        <w:t>慢性自愈</w:t>
      </w:r>
      <w:r>
        <w:t>"</w:t>
      </w:r>
      <w:r>
        <w:t>模式。</w:t>
      </w:r>
    </w:p>
    <w:p w14:paraId="2B1AFAD3" w14:textId="77777777" w:rsidR="00D46586" w:rsidRDefault="00000000">
      <w:pPr>
        <w:pStyle w:val="a3"/>
        <w:ind w:left="480" w:firstLine="480"/>
      </w:pPr>
      <w:r>
        <w:t>（</w:t>
      </w:r>
      <w:r>
        <w:t>4</w:t>
      </w:r>
      <w:r>
        <w:t>）</w:t>
      </w:r>
      <w:r>
        <w:t>2015—2020</w:t>
      </w:r>
      <w:r>
        <w:t>年（七期）：一般等级</w:t>
      </w:r>
      <w:proofErr w:type="gramStart"/>
      <w:r>
        <w:t>加速向良等</w:t>
      </w:r>
      <w:proofErr w:type="gramEnd"/>
      <w:r>
        <w:t>跃迁，良等升至</w:t>
      </w:r>
      <w:r>
        <w:t>51.08%</w:t>
      </w:r>
      <w:r>
        <w:t>，优等微降至</w:t>
      </w:r>
      <w:r>
        <w:t>33.25%</w:t>
      </w:r>
      <w:r>
        <w:t>，良等成为全域最大单一等级，等级分布逐步收敛为</w:t>
      </w:r>
      <w:r>
        <w:t>"</w:t>
      </w:r>
      <w:r>
        <w:t>良等单峰主导</w:t>
      </w:r>
      <w:r>
        <w:t>"</w:t>
      </w:r>
      <w:r>
        <w:t>的稳定态，全域生态质量进入稳态优化通道，优质区域的</w:t>
      </w:r>
      <w:r>
        <w:t>"</w:t>
      </w:r>
      <w:r>
        <w:t>天花板效应</w:t>
      </w:r>
      <w:r>
        <w:t>"</w:t>
      </w:r>
      <w:r>
        <w:t>开始显现，生态系统的自我维持能力显著增强。</w:t>
      </w:r>
    </w:p>
    <w:p w14:paraId="45154506" w14:textId="77777777" w:rsidR="00D46586" w:rsidRDefault="00000000">
      <w:pPr>
        <w:pStyle w:val="2"/>
        <w:spacing w:before="156" w:after="156"/>
        <w:ind w:left="480"/>
      </w:pPr>
      <w:bookmarkStart w:id="155" w:name="_Toc230815688"/>
      <w:r>
        <w:t xml:space="preserve">4.4 </w:t>
      </w:r>
      <w:r>
        <w:t>生态环境质量变化幅度分析</w:t>
      </w:r>
      <w:bookmarkEnd w:id="155"/>
    </w:p>
    <w:p w14:paraId="5C05BEE2" w14:textId="77777777" w:rsidR="00D46586" w:rsidRDefault="00000000">
      <w:pPr>
        <w:pStyle w:val="3"/>
        <w:spacing w:before="78" w:after="78"/>
        <w:ind w:left="480"/>
      </w:pPr>
      <w:bookmarkStart w:id="156" w:name="_Toc230815689"/>
      <w:r>
        <w:t xml:space="preserve">4.4.1 </w:t>
      </w:r>
      <w:r>
        <w:t>全时段变化幅度统计</w:t>
      </w:r>
      <w:bookmarkEnd w:id="156"/>
    </w:p>
    <w:p w14:paraId="6378DDC9" w14:textId="77777777" w:rsidR="00D46586" w:rsidRDefault="00000000">
      <w:pPr>
        <w:pStyle w:val="a3"/>
        <w:ind w:left="480" w:firstLine="480"/>
      </w:pPr>
      <w:r>
        <w:t>将</w:t>
      </w:r>
      <w:r>
        <w:t>35</w:t>
      </w:r>
      <w:r>
        <w:t>年全时段变化幅度划分为四类：退化（</w:t>
      </w:r>
      <w:r>
        <w:t>Δ ≤ 0</w:t>
      </w:r>
      <w:r>
        <w:t>）、稳定（</w:t>
      </w:r>
      <w:r>
        <w:t>0 &lt; Δ ≤ 0.15</w:t>
      </w:r>
      <w:r>
        <w:t>）、中度改善（</w:t>
      </w:r>
      <w:r>
        <w:t>0.15 &lt; Δ ≤ 0.35</w:t>
      </w:r>
      <w:r>
        <w:t>）、显著改善（</w:t>
      </w:r>
      <w:r>
        <w:t>Δ &gt; 0.35</w:t>
      </w:r>
      <w:r>
        <w:t>）；阈值设定参照了生态恢复领域的通用惯例，</w:t>
      </w:r>
      <w:r>
        <w:t>Δ = 0.15</w:t>
      </w:r>
      <w:r>
        <w:t>约对应一期</w:t>
      </w:r>
      <w:r>
        <w:t>RSEI</w:t>
      </w:r>
      <w:r>
        <w:t>均值标准差的</w:t>
      </w:r>
      <w:r>
        <w:t>0.8</w:t>
      </w:r>
      <w:r>
        <w:t>倍，能有效</w:t>
      </w:r>
      <w:proofErr w:type="gramStart"/>
      <w:r>
        <w:t>滤</w:t>
      </w:r>
      <w:proofErr w:type="gramEnd"/>
      <w:r>
        <w:t>除数据噪声与年际正常波动，</w:t>
      </w:r>
      <w:r>
        <w:t>Δ = 0.35</w:t>
      </w:r>
      <w:r>
        <w:t>约对应标准差的</w:t>
      </w:r>
      <w:r>
        <w:t>1.8</w:t>
      </w:r>
      <w:r>
        <w:t>倍，可有效识别生态质量发生质变的空间单元，全域变化幅度分类统计如表</w:t>
      </w:r>
      <w:r>
        <w:t>4-5</w:t>
      </w:r>
      <w:r>
        <w:t>所示。</w:t>
      </w:r>
    </w:p>
    <w:p w14:paraId="2EE14143" w14:textId="77777777" w:rsidR="00D46586" w:rsidRPr="0035488F" w:rsidRDefault="00000000">
      <w:pPr>
        <w:pStyle w:val="a3"/>
        <w:ind w:left="480" w:firstLine="480"/>
        <w:rPr>
          <w:bCs/>
        </w:rPr>
      </w:pPr>
      <w:r w:rsidRPr="0035488F">
        <w:rPr>
          <w:bCs/>
        </w:rPr>
        <w:t>表</w:t>
      </w:r>
      <w:r w:rsidRPr="0035488F">
        <w:rPr>
          <w:bCs/>
        </w:rPr>
        <w:t xml:space="preserve"> 4-5  1985—2020 </w:t>
      </w:r>
      <w:r w:rsidRPr="0035488F">
        <w:rPr>
          <w:bCs/>
        </w:rPr>
        <w:t>年</w:t>
      </w:r>
      <w:r w:rsidRPr="0035488F">
        <w:rPr>
          <w:bCs/>
        </w:rPr>
        <w:t xml:space="preserve"> 35 </w:t>
      </w:r>
      <w:r w:rsidRPr="0035488F">
        <w:rPr>
          <w:bCs/>
        </w:rPr>
        <w:t>年全时段</w:t>
      </w:r>
      <w:r w:rsidRPr="0035488F">
        <w:rPr>
          <w:bCs/>
        </w:rPr>
        <w:t xml:space="preserve"> RSEI </w:t>
      </w:r>
      <w:r w:rsidRPr="0035488F">
        <w:rPr>
          <w:bCs/>
        </w:rPr>
        <w:t>变化幅度分类统计</w:t>
      </w:r>
    </w:p>
    <w:tbl>
      <w:tblPr>
        <w:tblStyle w:val="afe"/>
        <w:tblW w:w="0" w:type="auto"/>
        <w:jc w:val="center"/>
        <w:tblCellMar>
          <w:left w:w="0" w:type="dxa"/>
          <w:right w:w="0" w:type="dxa"/>
        </w:tblCellMar>
        <w:tblLook w:val="04A0" w:firstRow="1" w:lastRow="0" w:firstColumn="1" w:lastColumn="0" w:noHBand="0" w:noVBand="1"/>
      </w:tblPr>
      <w:tblGrid>
        <w:gridCol w:w="1620"/>
        <w:gridCol w:w="1080"/>
        <w:gridCol w:w="1334"/>
        <w:gridCol w:w="1170"/>
        <w:gridCol w:w="1170"/>
      </w:tblGrid>
      <w:tr w:rsidR="00D46586" w:rsidRPr="0035488F" w14:paraId="73FB357E" w14:textId="77777777" w:rsidTr="00D46586">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129167A2" w14:textId="77777777" w:rsidR="00D46586" w:rsidRPr="0035488F" w:rsidRDefault="00000000">
            <w:pPr>
              <w:widowControl/>
              <w:spacing w:before="100" w:beforeAutospacing="1" w:line="273" w:lineRule="auto"/>
              <w:ind w:leftChars="0" w:left="480"/>
              <w:jc w:val="center"/>
              <w:rPr>
                <w:rFonts w:ascii="宋体" w:eastAsia="Times New Roman" w:hAnsi="宋体" w:cs="Times New Roman"/>
                <w:bCs/>
                <w:kern w:val="0"/>
              </w:rPr>
            </w:pPr>
            <w:proofErr w:type="spellStart"/>
            <w:r w:rsidRPr="0035488F">
              <w:rPr>
                <w:rFonts w:ascii="宋体" w:eastAsia="Times New Roman" w:hAnsi="宋体" w:cs="Times New Roman"/>
                <w:bCs/>
                <w:kern w:val="0"/>
                <w:sz w:val="18"/>
                <w:szCs w:val="18"/>
              </w:rPr>
              <w:t>变化类别</w:t>
            </w:r>
            <w:proofErr w:type="spellEnd"/>
          </w:p>
        </w:tc>
        <w:tc>
          <w:tcPr>
            <w:tcW w:w="0" w:type="auto"/>
          </w:tcPr>
          <w:p w14:paraId="6F415F7B" w14:textId="77777777" w:rsidR="00D46586" w:rsidRPr="0035488F" w:rsidRDefault="00000000">
            <w:pPr>
              <w:widowControl/>
              <w:spacing w:before="100" w:beforeAutospacing="1" w:line="273" w:lineRule="auto"/>
              <w:ind w:leftChars="0" w:left="0"/>
              <w:jc w:val="center"/>
              <w:rPr>
                <w:rFonts w:ascii="宋体" w:eastAsia="Times New Roman" w:hAnsi="宋体" w:cs="Times New Roman"/>
                <w:bCs/>
                <w:kern w:val="0"/>
              </w:rPr>
            </w:pPr>
            <w:r w:rsidRPr="0035488F">
              <w:rPr>
                <w:rFonts w:ascii="宋体" w:eastAsia="Times New Roman" w:hAnsi="宋体" w:cs="Times New Roman"/>
                <w:bCs/>
                <w:kern w:val="0"/>
                <w:sz w:val="18"/>
                <w:szCs w:val="18"/>
              </w:rPr>
              <w:t xml:space="preserve">Δ </w:t>
            </w:r>
            <w:proofErr w:type="spellStart"/>
            <w:r w:rsidRPr="0035488F">
              <w:rPr>
                <w:rFonts w:ascii="宋体" w:eastAsia="Times New Roman" w:hAnsi="宋体" w:cs="Times New Roman"/>
                <w:bCs/>
                <w:kern w:val="0"/>
                <w:sz w:val="18"/>
                <w:szCs w:val="18"/>
              </w:rPr>
              <w:t>阈值</w:t>
            </w:r>
            <w:proofErr w:type="spellEnd"/>
          </w:p>
        </w:tc>
        <w:tc>
          <w:tcPr>
            <w:tcW w:w="0" w:type="auto"/>
          </w:tcPr>
          <w:p w14:paraId="39F8E347" w14:textId="77777777" w:rsidR="00D46586" w:rsidRPr="0035488F" w:rsidRDefault="00000000">
            <w:pPr>
              <w:widowControl/>
              <w:spacing w:before="100" w:beforeAutospacing="1" w:line="273" w:lineRule="auto"/>
              <w:ind w:leftChars="0" w:left="0"/>
              <w:jc w:val="center"/>
              <w:rPr>
                <w:rFonts w:ascii="宋体" w:eastAsia="Times New Roman" w:hAnsi="宋体" w:cs="Times New Roman"/>
                <w:bCs/>
                <w:kern w:val="0"/>
              </w:rPr>
            </w:pPr>
            <w:proofErr w:type="spellStart"/>
            <w:r w:rsidRPr="0035488F">
              <w:rPr>
                <w:rFonts w:ascii="宋体" w:eastAsia="Times New Roman" w:hAnsi="宋体" w:cs="Times New Roman"/>
                <w:bCs/>
                <w:kern w:val="0"/>
                <w:sz w:val="18"/>
                <w:szCs w:val="18"/>
              </w:rPr>
              <w:t>像元数</w:t>
            </w:r>
            <w:proofErr w:type="spellEnd"/>
            <w:r w:rsidRPr="0035488F">
              <w:rPr>
                <w:rFonts w:ascii="宋体" w:eastAsia="Times New Roman" w:hAnsi="宋体" w:cs="Times New Roman"/>
                <w:bCs/>
                <w:kern w:val="0"/>
                <w:sz w:val="18"/>
                <w:szCs w:val="18"/>
              </w:rPr>
              <w:t>（×10</w:t>
            </w:r>
            <w:r w:rsidRPr="0035488F">
              <w:rPr>
                <w:rFonts w:ascii="Cambria Math" w:eastAsia="Times New Roman" w:hAnsi="Cambria Math" w:cs="Cambria Math"/>
                <w:bCs/>
                <w:kern w:val="0"/>
                <w:sz w:val="18"/>
                <w:szCs w:val="18"/>
              </w:rPr>
              <w:t>⁶</w:t>
            </w:r>
            <w:r w:rsidRPr="0035488F">
              <w:rPr>
                <w:rFonts w:ascii="宋体" w:eastAsia="Times New Roman" w:hAnsi="宋体" w:cs="Times New Roman"/>
                <w:bCs/>
                <w:kern w:val="0"/>
                <w:sz w:val="18"/>
                <w:szCs w:val="18"/>
              </w:rPr>
              <w:t>）</w:t>
            </w:r>
          </w:p>
        </w:tc>
        <w:tc>
          <w:tcPr>
            <w:tcW w:w="0" w:type="auto"/>
          </w:tcPr>
          <w:p w14:paraId="1C33DC5C" w14:textId="77777777" w:rsidR="00D46586" w:rsidRPr="0035488F" w:rsidRDefault="00000000">
            <w:pPr>
              <w:widowControl/>
              <w:spacing w:before="100" w:beforeAutospacing="1" w:line="273" w:lineRule="auto"/>
              <w:ind w:leftChars="0" w:left="0"/>
              <w:jc w:val="center"/>
              <w:rPr>
                <w:rFonts w:ascii="宋体" w:eastAsia="Times New Roman" w:hAnsi="宋体" w:cs="Times New Roman"/>
                <w:bCs/>
                <w:kern w:val="0"/>
              </w:rPr>
            </w:pPr>
            <w:proofErr w:type="spellStart"/>
            <w:r w:rsidRPr="0035488F">
              <w:rPr>
                <w:rFonts w:ascii="宋体" w:eastAsia="Times New Roman" w:hAnsi="宋体" w:cs="Times New Roman"/>
                <w:bCs/>
                <w:kern w:val="0"/>
                <w:sz w:val="18"/>
                <w:szCs w:val="18"/>
              </w:rPr>
              <w:t>面积占比</w:t>
            </w:r>
            <w:proofErr w:type="spellEnd"/>
            <w:r w:rsidRPr="0035488F">
              <w:rPr>
                <w:rFonts w:ascii="宋体" w:eastAsia="Times New Roman" w:hAnsi="宋体" w:cs="Times New Roman"/>
                <w:bCs/>
                <w:kern w:val="0"/>
                <w:sz w:val="18"/>
                <w:szCs w:val="18"/>
              </w:rPr>
              <w:t>（%）</w:t>
            </w:r>
          </w:p>
        </w:tc>
        <w:tc>
          <w:tcPr>
            <w:tcW w:w="0" w:type="auto"/>
          </w:tcPr>
          <w:p w14:paraId="0C99666E" w14:textId="77777777" w:rsidR="00D46586" w:rsidRPr="0035488F" w:rsidRDefault="00000000">
            <w:pPr>
              <w:widowControl/>
              <w:spacing w:before="100" w:beforeAutospacing="1" w:line="273" w:lineRule="auto"/>
              <w:ind w:leftChars="0" w:left="0"/>
              <w:jc w:val="center"/>
              <w:rPr>
                <w:rFonts w:ascii="宋体" w:eastAsia="Times New Roman" w:hAnsi="宋体" w:cs="Times New Roman"/>
                <w:bCs/>
                <w:kern w:val="0"/>
              </w:rPr>
            </w:pPr>
            <w:proofErr w:type="spellStart"/>
            <w:r w:rsidRPr="0035488F">
              <w:rPr>
                <w:rFonts w:ascii="宋体" w:eastAsia="Times New Roman" w:hAnsi="宋体" w:cs="Times New Roman"/>
                <w:bCs/>
                <w:kern w:val="0"/>
                <w:sz w:val="18"/>
                <w:szCs w:val="18"/>
              </w:rPr>
              <w:t>累计占比</w:t>
            </w:r>
            <w:proofErr w:type="spellEnd"/>
            <w:r w:rsidRPr="0035488F">
              <w:rPr>
                <w:rFonts w:ascii="宋体" w:eastAsia="Times New Roman" w:hAnsi="宋体" w:cs="Times New Roman"/>
                <w:bCs/>
                <w:kern w:val="0"/>
                <w:sz w:val="18"/>
                <w:szCs w:val="18"/>
              </w:rPr>
              <w:t>（%）</w:t>
            </w:r>
          </w:p>
        </w:tc>
      </w:tr>
      <w:tr w:rsidR="00D46586" w14:paraId="55DF77CF" w14:textId="77777777" w:rsidTr="00D46586">
        <w:trPr>
          <w:jc w:val="center"/>
        </w:trPr>
        <w:tc>
          <w:tcPr>
            <w:tcW w:w="0" w:type="auto"/>
          </w:tcPr>
          <w:p w14:paraId="07401112"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退化</w:t>
            </w:r>
            <w:proofErr w:type="spellEnd"/>
          </w:p>
        </w:tc>
        <w:tc>
          <w:tcPr>
            <w:tcW w:w="0" w:type="auto"/>
          </w:tcPr>
          <w:p w14:paraId="3FDBA167"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Δ ≤ 0</w:t>
            </w:r>
          </w:p>
        </w:tc>
        <w:tc>
          <w:tcPr>
            <w:tcW w:w="0" w:type="auto"/>
          </w:tcPr>
          <w:p w14:paraId="67CBB94B"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14.53</w:t>
            </w:r>
          </w:p>
        </w:tc>
        <w:tc>
          <w:tcPr>
            <w:tcW w:w="0" w:type="auto"/>
          </w:tcPr>
          <w:p w14:paraId="0D905A0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5.84</w:t>
            </w:r>
          </w:p>
        </w:tc>
        <w:tc>
          <w:tcPr>
            <w:tcW w:w="0" w:type="auto"/>
          </w:tcPr>
          <w:p w14:paraId="75DA619B"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5.84</w:t>
            </w:r>
          </w:p>
        </w:tc>
      </w:tr>
      <w:tr w:rsidR="00D46586" w14:paraId="562107F8" w14:textId="77777777" w:rsidTr="00D46586">
        <w:trPr>
          <w:jc w:val="center"/>
        </w:trPr>
        <w:tc>
          <w:tcPr>
            <w:tcW w:w="0" w:type="auto"/>
          </w:tcPr>
          <w:p w14:paraId="79042DD1"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稳定</w:t>
            </w:r>
            <w:proofErr w:type="spellEnd"/>
          </w:p>
        </w:tc>
        <w:tc>
          <w:tcPr>
            <w:tcW w:w="0" w:type="auto"/>
          </w:tcPr>
          <w:p w14:paraId="305EA12A"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 0.15]</w:t>
            </w:r>
          </w:p>
        </w:tc>
        <w:tc>
          <w:tcPr>
            <w:tcW w:w="0" w:type="auto"/>
          </w:tcPr>
          <w:p w14:paraId="39599403"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39.83</w:t>
            </w:r>
          </w:p>
        </w:tc>
        <w:tc>
          <w:tcPr>
            <w:tcW w:w="0" w:type="auto"/>
          </w:tcPr>
          <w:p w14:paraId="3C900311"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16.00</w:t>
            </w:r>
          </w:p>
        </w:tc>
        <w:tc>
          <w:tcPr>
            <w:tcW w:w="0" w:type="auto"/>
          </w:tcPr>
          <w:p w14:paraId="7BD2840E"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21.84</w:t>
            </w:r>
          </w:p>
        </w:tc>
      </w:tr>
      <w:tr w:rsidR="00D46586" w14:paraId="2C8A2982" w14:textId="77777777" w:rsidTr="00D46586">
        <w:trPr>
          <w:jc w:val="center"/>
        </w:trPr>
        <w:tc>
          <w:tcPr>
            <w:tcW w:w="0" w:type="auto"/>
          </w:tcPr>
          <w:p w14:paraId="4C3B8ABD"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中度改善</w:t>
            </w:r>
            <w:proofErr w:type="spellEnd"/>
          </w:p>
        </w:tc>
        <w:tc>
          <w:tcPr>
            <w:tcW w:w="0" w:type="auto"/>
          </w:tcPr>
          <w:p w14:paraId="23463FBE"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(0.15, 0.35]</w:t>
            </w:r>
          </w:p>
        </w:tc>
        <w:tc>
          <w:tcPr>
            <w:tcW w:w="0" w:type="auto"/>
          </w:tcPr>
          <w:p w14:paraId="59080FA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117.66</w:t>
            </w:r>
          </w:p>
        </w:tc>
        <w:tc>
          <w:tcPr>
            <w:tcW w:w="0" w:type="auto"/>
          </w:tcPr>
          <w:p w14:paraId="254D32EA"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47.28</w:t>
            </w:r>
          </w:p>
        </w:tc>
        <w:tc>
          <w:tcPr>
            <w:tcW w:w="0" w:type="auto"/>
          </w:tcPr>
          <w:p w14:paraId="1DA70C28"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69.12</w:t>
            </w:r>
          </w:p>
        </w:tc>
      </w:tr>
      <w:tr w:rsidR="00D46586" w14:paraId="027F3EF2" w14:textId="77777777" w:rsidTr="00D46586">
        <w:trPr>
          <w:jc w:val="center"/>
        </w:trPr>
        <w:tc>
          <w:tcPr>
            <w:tcW w:w="0" w:type="auto"/>
          </w:tcPr>
          <w:p w14:paraId="4B6724EF"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显著改善</w:t>
            </w:r>
            <w:proofErr w:type="spellEnd"/>
          </w:p>
        </w:tc>
        <w:tc>
          <w:tcPr>
            <w:tcW w:w="0" w:type="auto"/>
          </w:tcPr>
          <w:p w14:paraId="4F00D451"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Δ &gt; 0.35</w:t>
            </w:r>
          </w:p>
        </w:tc>
        <w:tc>
          <w:tcPr>
            <w:tcW w:w="0" w:type="auto"/>
          </w:tcPr>
          <w:p w14:paraId="6DDE0C0D"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76.87</w:t>
            </w:r>
          </w:p>
        </w:tc>
        <w:tc>
          <w:tcPr>
            <w:tcW w:w="0" w:type="auto"/>
          </w:tcPr>
          <w:p w14:paraId="7A814CC0"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30.88</w:t>
            </w:r>
          </w:p>
        </w:tc>
        <w:tc>
          <w:tcPr>
            <w:tcW w:w="0" w:type="auto"/>
          </w:tcPr>
          <w:p w14:paraId="4D6A4FAB"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100.00</w:t>
            </w:r>
          </w:p>
        </w:tc>
      </w:tr>
      <w:tr w:rsidR="00D46586" w14:paraId="68D5E959" w14:textId="77777777" w:rsidTr="00D46586">
        <w:trPr>
          <w:jc w:val="center"/>
        </w:trPr>
        <w:tc>
          <w:tcPr>
            <w:tcW w:w="0" w:type="auto"/>
          </w:tcPr>
          <w:p w14:paraId="669E8C00"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合计</w:t>
            </w:r>
            <w:proofErr w:type="spellEnd"/>
          </w:p>
        </w:tc>
        <w:tc>
          <w:tcPr>
            <w:tcW w:w="0" w:type="auto"/>
          </w:tcPr>
          <w:p w14:paraId="6B6DBDC8"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w:t>
            </w:r>
          </w:p>
        </w:tc>
        <w:tc>
          <w:tcPr>
            <w:tcW w:w="0" w:type="auto"/>
          </w:tcPr>
          <w:p w14:paraId="6C169412"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248.89</w:t>
            </w:r>
          </w:p>
        </w:tc>
        <w:tc>
          <w:tcPr>
            <w:tcW w:w="0" w:type="auto"/>
          </w:tcPr>
          <w:p w14:paraId="393B5E77"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100.00</w:t>
            </w:r>
          </w:p>
        </w:tc>
        <w:tc>
          <w:tcPr>
            <w:tcW w:w="0" w:type="auto"/>
          </w:tcPr>
          <w:p w14:paraId="35A3D2AC"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w:t>
            </w:r>
          </w:p>
        </w:tc>
      </w:tr>
      <w:tr w:rsidR="00D46586" w14:paraId="4672023C" w14:textId="77777777" w:rsidTr="00D46586">
        <w:trPr>
          <w:jc w:val="center"/>
        </w:trPr>
        <w:tc>
          <w:tcPr>
            <w:tcW w:w="0" w:type="auto"/>
          </w:tcPr>
          <w:p w14:paraId="7165E581"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改善合计（Δ</w:t>
            </w:r>
            <w:proofErr w:type="spellEnd"/>
            <w:r>
              <w:rPr>
                <w:rFonts w:ascii="宋体" w:eastAsia="Times New Roman" w:hAnsi="宋体" w:cs="Times New Roman"/>
                <w:kern w:val="0"/>
                <w:sz w:val="18"/>
                <w:szCs w:val="18"/>
              </w:rPr>
              <w:t xml:space="preserve"> &gt; 0）</w:t>
            </w:r>
          </w:p>
        </w:tc>
        <w:tc>
          <w:tcPr>
            <w:tcW w:w="0" w:type="auto"/>
          </w:tcPr>
          <w:p w14:paraId="6D226E7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w:t>
            </w:r>
          </w:p>
        </w:tc>
        <w:tc>
          <w:tcPr>
            <w:tcW w:w="0" w:type="auto"/>
          </w:tcPr>
          <w:p w14:paraId="5CF49495"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194.53</w:t>
            </w:r>
          </w:p>
        </w:tc>
        <w:tc>
          <w:tcPr>
            <w:tcW w:w="0" w:type="auto"/>
          </w:tcPr>
          <w:p w14:paraId="2DF511BD"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78.16</w:t>
            </w:r>
          </w:p>
        </w:tc>
        <w:tc>
          <w:tcPr>
            <w:tcW w:w="0" w:type="auto"/>
          </w:tcPr>
          <w:p w14:paraId="2DB651EF"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w:t>
            </w:r>
          </w:p>
        </w:tc>
      </w:tr>
      <w:tr w:rsidR="00D46586" w14:paraId="0254CBAD" w14:textId="77777777" w:rsidTr="00D46586">
        <w:trPr>
          <w:jc w:val="center"/>
        </w:trPr>
        <w:tc>
          <w:tcPr>
            <w:tcW w:w="0" w:type="auto"/>
          </w:tcPr>
          <w:p w14:paraId="1ECC8B6B"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改善</w:t>
            </w:r>
            <w:proofErr w:type="spellEnd"/>
            <w:r>
              <w:rPr>
                <w:rFonts w:ascii="宋体" w:eastAsia="Times New Roman" w:hAnsi="宋体" w:cs="Times New Roman"/>
                <w:kern w:val="0"/>
                <w:sz w:val="18"/>
                <w:szCs w:val="18"/>
              </w:rPr>
              <w:t>/</w:t>
            </w:r>
            <w:proofErr w:type="spellStart"/>
            <w:r>
              <w:rPr>
                <w:rFonts w:ascii="宋体" w:eastAsia="Times New Roman" w:hAnsi="宋体" w:cs="Times New Roman"/>
                <w:kern w:val="0"/>
                <w:sz w:val="18"/>
                <w:szCs w:val="18"/>
              </w:rPr>
              <w:t>退化比</w:t>
            </w:r>
            <w:proofErr w:type="spellEnd"/>
          </w:p>
        </w:tc>
        <w:tc>
          <w:tcPr>
            <w:tcW w:w="0" w:type="auto"/>
          </w:tcPr>
          <w:p w14:paraId="280D569F"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w:t>
            </w:r>
          </w:p>
        </w:tc>
        <w:tc>
          <w:tcPr>
            <w:tcW w:w="0" w:type="auto"/>
          </w:tcPr>
          <w:p w14:paraId="22C0E7EE"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w:t>
            </w:r>
          </w:p>
        </w:tc>
        <w:tc>
          <w:tcPr>
            <w:tcW w:w="0" w:type="auto"/>
          </w:tcPr>
          <w:p w14:paraId="5D8E6AF4"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gramStart"/>
            <w:r>
              <w:rPr>
                <w:rFonts w:ascii="宋体" w:eastAsia="Times New Roman" w:hAnsi="宋体" w:cs="Times New Roman"/>
                <w:kern w:val="0"/>
                <w:sz w:val="18"/>
                <w:szCs w:val="18"/>
              </w:rPr>
              <w:t>16.0 :</w:t>
            </w:r>
            <w:proofErr w:type="gramEnd"/>
            <w:r>
              <w:rPr>
                <w:rFonts w:ascii="宋体" w:eastAsia="Times New Roman" w:hAnsi="宋体" w:cs="Times New Roman"/>
                <w:kern w:val="0"/>
                <w:sz w:val="18"/>
                <w:szCs w:val="18"/>
              </w:rPr>
              <w:t xml:space="preserve"> 1</w:t>
            </w:r>
          </w:p>
        </w:tc>
        <w:tc>
          <w:tcPr>
            <w:tcW w:w="0" w:type="auto"/>
          </w:tcPr>
          <w:p w14:paraId="3BA9F625"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w:t>
            </w:r>
          </w:p>
        </w:tc>
      </w:tr>
    </w:tbl>
    <w:p w14:paraId="0A166459" w14:textId="77777777" w:rsidR="00D46586" w:rsidRDefault="00D46586">
      <w:pPr>
        <w:pStyle w:val="a3"/>
        <w:ind w:leftChars="0" w:left="0" w:firstLineChars="0" w:firstLine="0"/>
        <w:jc w:val="center"/>
      </w:pPr>
    </w:p>
    <w:p w14:paraId="18145C2A" w14:textId="77777777" w:rsidR="00D46586" w:rsidRDefault="00000000">
      <w:pPr>
        <w:pStyle w:val="a3"/>
        <w:ind w:left="480" w:firstLine="480"/>
      </w:pPr>
      <w:r>
        <w:lastRenderedPageBreak/>
        <w:t>表</w:t>
      </w:r>
      <w:r>
        <w:t xml:space="preserve"> 4-5 </w:t>
      </w:r>
      <w:r>
        <w:t>揭示了一幅压倒性的生态改善格局：</w:t>
      </w:r>
    </w:p>
    <w:p w14:paraId="602079B5" w14:textId="77777777" w:rsidR="00D46586" w:rsidRDefault="00000000">
      <w:pPr>
        <w:pStyle w:val="a3"/>
        <w:ind w:left="480" w:firstLine="480"/>
      </w:pPr>
      <w:r>
        <w:t>（</w:t>
      </w:r>
      <w:r>
        <w:t>1</w:t>
      </w:r>
      <w:r>
        <w:t>）改善区占据绝对主导：全图</w:t>
      </w:r>
      <w:r>
        <w:t>78.16%</w:t>
      </w:r>
      <w:r>
        <w:t>的像元呈现正向改善，改善区与退化区的面积比高达</w:t>
      </w:r>
      <w:r>
        <w:t>16.0</w:t>
      </w:r>
      <w:r>
        <w:rPr>
          <w:rFonts w:ascii="Cambria Math" w:hAnsi="Cambria Math" w:cs="Cambria Math"/>
        </w:rPr>
        <w:t>∶</w:t>
      </w:r>
      <w:r>
        <w:t>1</w:t>
      </w:r>
      <w:r>
        <w:t>，意味着每出现</w:t>
      </w:r>
      <w:r>
        <w:t>1</w:t>
      </w:r>
      <w:r>
        <w:t>个退化像元，就有</w:t>
      </w:r>
      <w:r>
        <w:t>16</w:t>
      </w:r>
      <w:r>
        <w:t>个像元实现了生态质量的实质性提升。这一比值远超同类区域的常见水平</w:t>
      </w:r>
      <w:r>
        <w:t>——</w:t>
      </w:r>
      <w:r>
        <w:t>黄土高原退耕还林区约为</w:t>
      </w:r>
      <w:r>
        <w:t>8</w:t>
      </w:r>
      <w:r>
        <w:rPr>
          <w:rFonts w:ascii="Cambria Math" w:hAnsi="Cambria Math" w:cs="Cambria Math"/>
        </w:rPr>
        <w:t>∶</w:t>
      </w:r>
      <w:r>
        <w:t>1</w:t>
      </w:r>
      <w:r>
        <w:t>，毛乌素沙地约为</w:t>
      </w:r>
      <w:r>
        <w:t>5</w:t>
      </w:r>
      <w:r>
        <w:rPr>
          <w:rFonts w:ascii="Cambria Math" w:hAnsi="Cambria Math" w:cs="Cambria Math"/>
        </w:rPr>
        <w:t>∶</w:t>
      </w:r>
      <w:r>
        <w:t>1</w:t>
      </w:r>
      <w:r>
        <w:t>，科尔沁沙地约为</w:t>
      </w:r>
      <w:r>
        <w:t>4</w:t>
      </w:r>
      <w:r>
        <w:rPr>
          <w:rFonts w:ascii="Cambria Math" w:hAnsi="Cambria Math" w:cs="Cambria Math"/>
        </w:rPr>
        <w:t>∶</w:t>
      </w:r>
      <w:r>
        <w:t>1</w:t>
      </w:r>
      <w:r>
        <w:t>。吉林省三北区域达到</w:t>
      </w:r>
      <w:r>
        <w:t>16</w:t>
      </w:r>
      <w:r>
        <w:rPr>
          <w:rFonts w:ascii="Cambria Math" w:hAnsi="Cambria Math" w:cs="Cambria Math"/>
        </w:rPr>
        <w:t>∶</w:t>
      </w:r>
      <w:r>
        <w:t>1</w:t>
      </w:r>
      <w:r>
        <w:t>的压倒性水平，充分证明了三北防护林</w:t>
      </w:r>
      <w:r>
        <w:t>35</w:t>
      </w:r>
      <w:r>
        <w:t>年持续建设所产生的</w:t>
      </w:r>
      <w:r>
        <w:t>"</w:t>
      </w:r>
      <w:r>
        <w:t>累积</w:t>
      </w:r>
      <w:r>
        <w:t>—</w:t>
      </w:r>
      <w:r>
        <w:t>放大</w:t>
      </w:r>
      <w:r>
        <w:t>"</w:t>
      </w:r>
      <w:r>
        <w:t>效应，而非短期、局部的生态修复。</w:t>
      </w:r>
    </w:p>
    <w:p w14:paraId="58EA0A21" w14:textId="77777777" w:rsidR="00D46586" w:rsidRDefault="00000000">
      <w:pPr>
        <w:pStyle w:val="a3"/>
        <w:ind w:left="480" w:firstLine="480"/>
      </w:pPr>
      <w:r>
        <w:t>（</w:t>
      </w:r>
      <w:r>
        <w:t>2</w:t>
      </w:r>
      <w:r>
        <w:t>）</w:t>
      </w:r>
      <w:r>
        <w:t>"</w:t>
      </w:r>
      <w:r>
        <w:t>中度改善</w:t>
      </w:r>
      <w:r>
        <w:t>"</w:t>
      </w:r>
      <w:r>
        <w:t>是绝对主力：全图</w:t>
      </w:r>
      <w:r>
        <w:t>47.28%</w:t>
      </w:r>
      <w:r>
        <w:t>的像元集中在中度改善等级，构成了生态变化的主体模式，这一量级的提升对应的是轻度退化草地向中覆盖草地的转变、或稀疏灌木林向郁闭度提高的恢复过程，属于渐进式、大面积、常态化的生态修复类型，反映了区域生态系统整体向优演进的趋势；这种</w:t>
      </w:r>
      <w:r>
        <w:t>"</w:t>
      </w:r>
      <w:r>
        <w:t>大面积温和改善</w:t>
      </w:r>
      <w:r>
        <w:t>"</w:t>
      </w:r>
      <w:r>
        <w:t>正是长时间尺度防护林工程对区域生态基质进行系统性改良的核心特征，与森林生态学中</w:t>
      </w:r>
      <w:r>
        <w:t>"</w:t>
      </w:r>
      <w:r>
        <w:t>生态恢复的渐变假说</w:t>
      </w:r>
      <w:r>
        <w:t>"</w:t>
      </w:r>
      <w:r>
        <w:t>高度一致。</w:t>
      </w:r>
    </w:p>
    <w:p w14:paraId="25936F67" w14:textId="77777777" w:rsidR="00D46586" w:rsidRDefault="00000000">
      <w:pPr>
        <w:pStyle w:val="a3"/>
        <w:ind w:left="480" w:firstLine="480"/>
      </w:pPr>
      <w:r>
        <w:t>（</w:t>
      </w:r>
      <w:r>
        <w:t>3</w:t>
      </w:r>
      <w:r>
        <w:t>）</w:t>
      </w:r>
      <w:r>
        <w:t>"</w:t>
      </w:r>
      <w:r>
        <w:t>显著改善</w:t>
      </w:r>
      <w:r>
        <w:t>"</w:t>
      </w:r>
      <w:r>
        <w:t>是重点攻坚的成果：</w:t>
      </w:r>
      <w:r>
        <w:t>30.88%</w:t>
      </w:r>
      <w:r>
        <w:t>的像元实现了超过</w:t>
      </w:r>
      <w:r>
        <w:t>0.35</w:t>
      </w:r>
      <w:r>
        <w:t>的</w:t>
      </w:r>
      <w:r>
        <w:t>RSEI</w:t>
      </w:r>
      <w:r>
        <w:t>跃升，属于生态质量</w:t>
      </w:r>
      <w:r>
        <w:t>"</w:t>
      </w:r>
      <w:r>
        <w:t>质变</w:t>
      </w:r>
      <w:r>
        <w:t>"</w:t>
      </w:r>
      <w:r>
        <w:t>等级的剧烈正向变化，主要对应昔日流动沙丘被固定为林地、重度盐碱地恢复为高覆盖草甸等高强度修复事件，这类区域是防护林体系对极端退化斑块实施</w:t>
      </w:r>
      <w:r>
        <w:t>"</w:t>
      </w:r>
      <w:r>
        <w:t>急救式</w:t>
      </w:r>
      <w:r>
        <w:t>"</w:t>
      </w:r>
      <w:r>
        <w:t>干预后留下的空间印记，也是三北防护林工程区别于一般生态修复项目的标志性成果。</w:t>
      </w:r>
    </w:p>
    <w:p w14:paraId="24258CF9" w14:textId="77777777" w:rsidR="00D46586" w:rsidRDefault="00000000">
      <w:pPr>
        <w:pStyle w:val="a3"/>
        <w:ind w:left="480" w:firstLine="480"/>
      </w:pPr>
      <w:r>
        <w:t>（</w:t>
      </w:r>
      <w:r>
        <w:t>4</w:t>
      </w:r>
      <w:r>
        <w:t>）退化区的空间属性与驱动力：仅</w:t>
      </w:r>
      <w:r>
        <w:t>5.84%</w:t>
      </w:r>
      <w:r>
        <w:t>的像元呈负向变化，主要集中在城镇建成区扩张前沿及部分未纳入防护林工程覆盖的零星边缘区域，此类退化的驱动力以建设用地扩张为主，而非气候或植被的自然衰退，这与全球城市化进程中建设用地扩张导致局部生态退化的普遍规律是一致的。</w:t>
      </w:r>
    </w:p>
    <w:p w14:paraId="4F9DFC08" w14:textId="77777777" w:rsidR="00D46586" w:rsidRDefault="00000000">
      <w:pPr>
        <w:pStyle w:val="3"/>
        <w:spacing w:before="78" w:after="78"/>
        <w:ind w:left="480"/>
      </w:pPr>
      <w:bookmarkStart w:id="157" w:name="_Toc230815690"/>
      <w:r>
        <w:t xml:space="preserve">4.4.2 </w:t>
      </w:r>
      <w:r>
        <w:t>空间分异特征</w:t>
      </w:r>
      <w:bookmarkEnd w:id="157"/>
    </w:p>
    <w:p w14:paraId="7ADA94FF" w14:textId="77777777" w:rsidR="00D46586" w:rsidRDefault="00000000">
      <w:pPr>
        <w:pStyle w:val="a3"/>
        <w:ind w:left="480" w:firstLine="480"/>
      </w:pPr>
      <w:r>
        <w:t>变化幅度空间图谱呈现出清晰的</w:t>
      </w:r>
      <w:r>
        <w:rPr>
          <w:b/>
        </w:rPr>
        <w:t>"</w:t>
      </w:r>
      <w:r>
        <w:rPr>
          <w:b/>
        </w:rPr>
        <w:t>西部剧烈改善、中部温和提升、东部高位稳定</w:t>
      </w:r>
      <w:r>
        <w:rPr>
          <w:b/>
        </w:rPr>
        <w:t>"</w:t>
      </w:r>
      <w:r>
        <w:t>的三段式空间分异格局：</w:t>
      </w:r>
    </w:p>
    <w:p w14:paraId="2E92EF87" w14:textId="77777777" w:rsidR="00D46586" w:rsidRDefault="00000000">
      <w:pPr>
        <w:pStyle w:val="a3"/>
        <w:ind w:left="480" w:firstLine="480"/>
      </w:pPr>
      <w:r>
        <w:t xml:space="preserve"> </w:t>
      </w:r>
    </w:p>
    <w:p w14:paraId="55FBCF4E" w14:textId="77777777" w:rsidR="00D46586" w:rsidRDefault="00000000">
      <w:pPr>
        <w:pStyle w:val="a3"/>
        <w:ind w:left="480" w:firstLine="480"/>
      </w:pPr>
      <w:r>
        <w:rPr>
          <w:noProof/>
        </w:rPr>
        <w:lastRenderedPageBreak/>
        <w:drawing>
          <wp:inline distT="0" distB="0" distL="0" distR="0" wp14:anchorId="16B0AF63" wp14:editId="13452788">
            <wp:extent cx="3695700" cy="3581400"/>
            <wp:effectExtent l="0" t="0" r="0" b="0"/>
            <wp:docPr id="11448835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83527"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695700" cy="3581400"/>
                    </a:xfrm>
                    <a:prstGeom prst="rect">
                      <a:avLst/>
                    </a:prstGeom>
                    <a:noFill/>
                    <a:ln>
                      <a:noFill/>
                    </a:ln>
                  </pic:spPr>
                </pic:pic>
              </a:graphicData>
            </a:graphic>
          </wp:inline>
        </w:drawing>
      </w:r>
      <w:r>
        <w:t xml:space="preserve"> </w:t>
      </w:r>
    </w:p>
    <w:p w14:paraId="384CC531" w14:textId="2954F589" w:rsidR="00D46586" w:rsidRPr="0035488F" w:rsidRDefault="00000000">
      <w:pPr>
        <w:pStyle w:val="a3"/>
        <w:ind w:left="480" w:firstLine="480"/>
        <w:jc w:val="center"/>
        <w:rPr>
          <w:rFonts w:asciiTheme="minorEastAsia" w:eastAsiaTheme="minorEastAsia" w:hAnsiTheme="minorEastAsia"/>
          <w:bCs/>
        </w:rPr>
      </w:pPr>
      <w:r w:rsidRPr="0035488F">
        <w:rPr>
          <w:rFonts w:asciiTheme="minorEastAsia" w:eastAsiaTheme="minorEastAsia" w:hAnsiTheme="minorEastAsia"/>
          <w:bCs/>
        </w:rPr>
        <w:t>图 4-</w:t>
      </w:r>
      <w:r w:rsidR="0035488F">
        <w:rPr>
          <w:rFonts w:asciiTheme="minorEastAsia" w:eastAsiaTheme="minorEastAsia" w:hAnsiTheme="minorEastAsia" w:hint="eastAsia"/>
          <w:bCs/>
        </w:rPr>
        <w:t>5</w:t>
      </w:r>
      <w:r w:rsidRPr="0035488F">
        <w:rPr>
          <w:rFonts w:asciiTheme="minorEastAsia" w:eastAsiaTheme="minorEastAsia" w:hAnsiTheme="minorEastAsia"/>
          <w:bCs/>
        </w:rPr>
        <w:t xml:space="preserve">  变化幅度空间图谱</w:t>
      </w:r>
    </w:p>
    <w:p w14:paraId="7435CB2E" w14:textId="77777777" w:rsidR="00D46586" w:rsidRDefault="00000000">
      <w:pPr>
        <w:pStyle w:val="a3"/>
        <w:ind w:left="480" w:firstLine="480"/>
      </w:pPr>
      <w:r>
        <w:t>（</w:t>
      </w:r>
      <w:r>
        <w:t>1</w:t>
      </w:r>
      <w:r>
        <w:t>）西部沙地边缘</w:t>
      </w:r>
      <w:proofErr w:type="gramStart"/>
      <w:r>
        <w:t>剧烈改善带</w:t>
      </w:r>
      <w:proofErr w:type="gramEnd"/>
      <w:r>
        <w:t>（白城</w:t>
      </w:r>
      <w:r>
        <w:t>—</w:t>
      </w:r>
      <w:r>
        <w:t>松原一线）：位于科尔沁沙地东缘与松嫩平原过渡带，是吉林省生态最脆弱的区域，也是三北防护林固沙造林的主战场，集中了全图超过</w:t>
      </w:r>
      <w:r>
        <w:t>60%</w:t>
      </w:r>
      <w:r>
        <w:t>的显著改善像元，</w:t>
      </w:r>
      <w:r>
        <w:t>RSEI</w:t>
      </w:r>
      <w:r>
        <w:t>提升幅度普遍超过</w:t>
      </w:r>
      <w:r>
        <w:t>0.4</w:t>
      </w:r>
      <w:r>
        <w:t>，昔日</w:t>
      </w:r>
      <w:r>
        <w:t>"</w:t>
      </w:r>
      <w:r>
        <w:t>沙进人退</w:t>
      </w:r>
      <w:r>
        <w:t>"</w:t>
      </w:r>
      <w:r>
        <w:t>已逆转为</w:t>
      </w:r>
      <w:r>
        <w:t>"</w:t>
      </w:r>
      <w:r>
        <w:t>人进沙退、</w:t>
      </w:r>
      <w:proofErr w:type="gramStart"/>
      <w:r>
        <w:t>绿进黄退</w:t>
      </w:r>
      <w:proofErr w:type="gramEnd"/>
      <w:r>
        <w:t>"</w:t>
      </w:r>
      <w:r>
        <w:t>，流动沙丘固定、沙化草原恢复、农田防护林网构建共同推动了西部地区从生态</w:t>
      </w:r>
      <w:r>
        <w:t>"</w:t>
      </w:r>
      <w:r>
        <w:t>塌陷区</w:t>
      </w:r>
      <w:r>
        <w:t>"</w:t>
      </w:r>
      <w:r>
        <w:t>到</w:t>
      </w:r>
      <w:r>
        <w:t>"</w:t>
      </w:r>
      <w:r>
        <w:t>隆起带</w:t>
      </w:r>
      <w:r>
        <w:t>"</w:t>
      </w:r>
      <w:r>
        <w:t>的历史性转变。</w:t>
      </w:r>
    </w:p>
    <w:p w14:paraId="4EC09082" w14:textId="77777777" w:rsidR="00D46586" w:rsidRDefault="00000000">
      <w:pPr>
        <w:pStyle w:val="a3"/>
        <w:ind w:left="480" w:firstLine="480"/>
      </w:pPr>
      <w:r>
        <w:t>（</w:t>
      </w:r>
      <w:r>
        <w:t>2</w:t>
      </w:r>
      <w:r>
        <w:t>）中部粮食主产区温和提升带（长春</w:t>
      </w:r>
      <w:r>
        <w:t>—</w:t>
      </w:r>
      <w:r>
        <w:t>四平</w:t>
      </w:r>
      <w:r>
        <w:t>—</w:t>
      </w:r>
      <w:r>
        <w:t>辽源</w:t>
      </w:r>
      <w:r>
        <w:t>—</w:t>
      </w:r>
      <w:r>
        <w:t>吉林市）：以中度改善为绝对主导，占比约</w:t>
      </w:r>
      <w:r>
        <w:t>65%—75%</w:t>
      </w:r>
      <w:r>
        <w:t>，生态质量在农田防护林网庇护下渐进提升；该区域是东北黑土区商品粮基地核心地带，农田防护林在防风蚀、保墒情、改善小气候等方面发挥着关键屏障功能，</w:t>
      </w:r>
      <w:r>
        <w:t>RSEI</w:t>
      </w:r>
      <w:r>
        <w:t>提升幅度以</w:t>
      </w:r>
      <w:r>
        <w:t>0.10—0.25</w:t>
      </w:r>
      <w:r>
        <w:t>为主，反映了农田生态系统缓慢但持续的质量改善，覆盖面积广、持续时间长，对粮食安全与生态安全具有双重保障意义。</w:t>
      </w:r>
    </w:p>
    <w:p w14:paraId="4C749B2D" w14:textId="77777777" w:rsidR="00D46586" w:rsidRDefault="00000000">
      <w:pPr>
        <w:pStyle w:val="a3"/>
        <w:ind w:left="480" w:firstLine="480"/>
      </w:pPr>
      <w:r>
        <w:t>（</w:t>
      </w:r>
      <w:r>
        <w:t>3</w:t>
      </w:r>
      <w:r>
        <w:t>）东部山地区高位稳定带（长白山余脉</w:t>
      </w:r>
      <w:r>
        <w:t>—</w:t>
      </w:r>
      <w:r>
        <w:t>延边州）：</w:t>
      </w:r>
      <w:r>
        <w:t>RSEI</w:t>
      </w:r>
      <w:r>
        <w:t>本底值较高，以优等为主，变化幅度趋近于零（</w:t>
      </w:r>
      <w:r>
        <w:t xml:space="preserve">Δ </w:t>
      </w:r>
      <w:r>
        <w:rPr>
          <w:rFonts w:ascii="Cambria Math" w:hAnsi="Cambria Math" w:cs="Cambria Math"/>
        </w:rPr>
        <w:t>∈</w:t>
      </w:r>
      <w:r>
        <w:t xml:space="preserve"> [</w:t>
      </w:r>
      <w:r>
        <w:rPr>
          <w:rFonts w:cs="Times New Roman"/>
        </w:rPr>
        <w:t>−</w:t>
      </w:r>
      <w:r>
        <w:t>0.05, +0.10]</w:t>
      </w:r>
      <w:r>
        <w:t>），属生态稳定态；东部森林生态系统已处于演替高级阶段，接近理论最大值，提升空间有限，</w:t>
      </w:r>
      <w:r>
        <w:lastRenderedPageBreak/>
        <w:t>核心任务是维持生态系统长期稳定，防范森林退化与生物多样性丧失。</w:t>
      </w:r>
    </w:p>
    <w:p w14:paraId="3071DFEB" w14:textId="77777777" w:rsidR="00D46586" w:rsidRDefault="00000000">
      <w:pPr>
        <w:pStyle w:val="a3"/>
        <w:ind w:left="480" w:firstLine="480"/>
      </w:pPr>
      <w:r>
        <w:t>上述三段式格局揭示了变化幅度与初始生态质量的显著负相关</w:t>
      </w:r>
      <w:r>
        <w:t>——</w:t>
      </w:r>
      <w:r>
        <w:t>初始</w:t>
      </w:r>
      <w:r>
        <w:t>RSEI</w:t>
      </w:r>
      <w:r>
        <w:t>越低的区域改善幅度越大，符合</w:t>
      </w:r>
      <w:r>
        <w:t>"</w:t>
      </w:r>
      <w:r>
        <w:t>退化越重、反弹越强</w:t>
      </w:r>
      <w:r>
        <w:t>"</w:t>
      </w:r>
      <w:r>
        <w:t>的生态恢复规律；同时，东西梯度远大于南北梯度，表明区域生态质量演变主要由降水量经向递减和防护林工程西部布局两项经向主导因素共同控制，纬向温度梯度的影响相对次要。</w:t>
      </w:r>
    </w:p>
    <w:p w14:paraId="1BA81AA8" w14:textId="77777777" w:rsidR="00D46586" w:rsidRDefault="00000000">
      <w:pPr>
        <w:pStyle w:val="2"/>
        <w:spacing w:before="156" w:after="156"/>
        <w:ind w:left="480"/>
      </w:pPr>
      <w:bookmarkStart w:id="158" w:name="_Toc230815691"/>
      <w:r>
        <w:t xml:space="preserve">4.5 </w:t>
      </w:r>
      <w:r>
        <w:t>驱动因子地理探测器分析</w:t>
      </w:r>
      <w:bookmarkEnd w:id="158"/>
    </w:p>
    <w:p w14:paraId="1B13622B" w14:textId="77777777" w:rsidR="00D46586" w:rsidRDefault="00000000">
      <w:pPr>
        <w:pStyle w:val="3"/>
        <w:spacing w:before="78" w:after="78"/>
        <w:ind w:left="480"/>
      </w:pPr>
      <w:bookmarkStart w:id="159" w:name="_Toc230815692"/>
      <w:r>
        <w:t xml:space="preserve">4.5.1 </w:t>
      </w:r>
      <w:r>
        <w:t>单因子探测结果</w:t>
      </w:r>
      <w:bookmarkEnd w:id="159"/>
    </w:p>
    <w:p w14:paraId="51A9DBDE" w14:textId="77777777" w:rsidR="00D46586" w:rsidRDefault="00000000">
      <w:pPr>
        <w:pStyle w:val="a3"/>
        <w:ind w:left="480" w:firstLine="480"/>
      </w:pPr>
      <w:r>
        <w:t>为定量揭示吉林省三北防护林区域</w:t>
      </w:r>
      <w:r>
        <w:t>RSEI</w:t>
      </w:r>
      <w:r>
        <w:t>时空演变的核心生态驱动力，引入地理探测器模型，以</w:t>
      </w:r>
      <w:r>
        <w:t>LST</w:t>
      </w:r>
      <w:r>
        <w:t>、</w:t>
      </w:r>
      <w:r>
        <w:t>NDBSI</w:t>
      </w:r>
      <w:r>
        <w:t>、</w:t>
      </w:r>
      <w:r>
        <w:t>NDVI</w:t>
      </w:r>
      <w:r>
        <w:t>、</w:t>
      </w:r>
      <w:r>
        <w:t>WET</w:t>
      </w:r>
      <w:r>
        <w:t>和</w:t>
      </w:r>
      <w:r>
        <w:t>RSEI</w:t>
      </w:r>
      <w:r>
        <w:t>五项指标为自变量，</w:t>
      </w:r>
      <w:r>
        <w:t>RSEI</w:t>
      </w:r>
      <w:r>
        <w:t>空间分异为因变量，进行因子探测与交互探测分析；基于等间距网格采样方案（每隔</w:t>
      </w:r>
      <w:r>
        <w:t>20</w:t>
      </w:r>
      <w:r>
        <w:t>像素采</w:t>
      </w:r>
      <w:r>
        <w:t>1</w:t>
      </w:r>
      <w:r>
        <w:t>点），共获得</w:t>
      </w:r>
      <w:r>
        <w:t>625,986</w:t>
      </w:r>
      <w:r>
        <w:t>组有效样本，五项因子经自然断点法各分为</w:t>
      </w:r>
      <w:r>
        <w:t>5</w:t>
      </w:r>
      <w:r>
        <w:t>个层级后纳入模型，单因子探测结果如图</w:t>
      </w:r>
      <w:r>
        <w:t>4-5</w:t>
      </w:r>
      <w:r>
        <w:t>和表</w:t>
      </w:r>
      <w:r>
        <w:t>4-6</w:t>
      </w:r>
      <w:r>
        <w:t>所示。</w:t>
      </w:r>
    </w:p>
    <w:p w14:paraId="7C64C217" w14:textId="77777777" w:rsidR="00D46586" w:rsidRDefault="00000000">
      <w:pPr>
        <w:pStyle w:val="a3"/>
        <w:ind w:left="480" w:firstLine="480"/>
      </w:pPr>
      <w:r>
        <w:rPr>
          <w:noProof/>
        </w:rPr>
        <w:drawing>
          <wp:inline distT="0" distB="0" distL="0" distR="0" wp14:anchorId="5F0A5995" wp14:editId="2B1B866B">
            <wp:extent cx="4517390" cy="2491740"/>
            <wp:effectExtent l="0" t="0" r="0" b="3810"/>
            <wp:docPr id="11379642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64212" name="图片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521492" cy="2493672"/>
                    </a:xfrm>
                    <a:prstGeom prst="rect">
                      <a:avLst/>
                    </a:prstGeom>
                    <a:noFill/>
                    <a:ln>
                      <a:noFill/>
                    </a:ln>
                  </pic:spPr>
                </pic:pic>
              </a:graphicData>
            </a:graphic>
          </wp:inline>
        </w:drawing>
      </w:r>
    </w:p>
    <w:p w14:paraId="4076E285" w14:textId="5EA515DB" w:rsidR="00D46586" w:rsidRPr="0035488F" w:rsidRDefault="00000000">
      <w:pPr>
        <w:pStyle w:val="a3"/>
        <w:ind w:left="480" w:firstLine="480"/>
        <w:jc w:val="center"/>
        <w:rPr>
          <w:rFonts w:asciiTheme="minorEastAsia" w:eastAsiaTheme="minorEastAsia" w:hAnsiTheme="minorEastAsia"/>
          <w:bCs/>
        </w:rPr>
      </w:pPr>
      <w:r w:rsidRPr="0035488F">
        <w:rPr>
          <w:rFonts w:asciiTheme="minorEastAsia" w:eastAsiaTheme="minorEastAsia" w:hAnsiTheme="minorEastAsia"/>
          <w:bCs/>
        </w:rPr>
        <w:t>图 4-</w:t>
      </w:r>
      <w:r w:rsidR="0035488F">
        <w:rPr>
          <w:rFonts w:asciiTheme="minorEastAsia" w:eastAsiaTheme="minorEastAsia" w:hAnsiTheme="minorEastAsia" w:hint="eastAsia"/>
          <w:bCs/>
        </w:rPr>
        <w:t>6</w:t>
      </w:r>
      <w:r w:rsidRPr="0035488F">
        <w:rPr>
          <w:rFonts w:asciiTheme="minorEastAsia" w:eastAsiaTheme="minorEastAsia" w:hAnsiTheme="minorEastAsia"/>
          <w:bCs/>
        </w:rPr>
        <w:t xml:space="preserve">  地理探测器单因子 q 值对比</w:t>
      </w:r>
    </w:p>
    <w:p w14:paraId="2BDCCD07" w14:textId="77777777" w:rsidR="00D46586" w:rsidRPr="0035488F" w:rsidRDefault="00000000">
      <w:pPr>
        <w:pStyle w:val="a3"/>
        <w:ind w:left="480" w:firstLine="480"/>
        <w:jc w:val="center"/>
        <w:rPr>
          <w:bCs/>
        </w:rPr>
      </w:pPr>
      <w:r w:rsidRPr="0035488F">
        <w:rPr>
          <w:bCs/>
        </w:rPr>
        <w:t>表</w:t>
      </w:r>
      <w:r w:rsidRPr="0035488F">
        <w:rPr>
          <w:bCs/>
        </w:rPr>
        <w:t xml:space="preserve"> 4-6  </w:t>
      </w:r>
      <w:r w:rsidRPr="0035488F">
        <w:rPr>
          <w:bCs/>
        </w:rPr>
        <w:t>因子探测器单因子</w:t>
      </w:r>
      <w:r w:rsidRPr="0035488F">
        <w:rPr>
          <w:bCs/>
        </w:rPr>
        <w:t xml:space="preserve"> q </w:t>
      </w:r>
      <w:r w:rsidRPr="0035488F">
        <w:rPr>
          <w:bCs/>
        </w:rPr>
        <w:t>值与显著性</w:t>
      </w:r>
    </w:p>
    <w:tbl>
      <w:tblPr>
        <w:tblStyle w:val="afe"/>
        <w:tblW w:w="4708" w:type="pct"/>
        <w:jc w:val="center"/>
        <w:tblCellMar>
          <w:left w:w="0" w:type="dxa"/>
          <w:right w:w="0" w:type="dxa"/>
        </w:tblCellMar>
        <w:tblLook w:val="04A0" w:firstRow="1" w:lastRow="0" w:firstColumn="1" w:lastColumn="0" w:noHBand="0" w:noVBand="1"/>
      </w:tblPr>
      <w:tblGrid>
        <w:gridCol w:w="1134"/>
        <w:gridCol w:w="2202"/>
        <w:gridCol w:w="688"/>
        <w:gridCol w:w="964"/>
        <w:gridCol w:w="2833"/>
      </w:tblGrid>
      <w:tr w:rsidR="00D46586" w14:paraId="3611F299" w14:textId="77777777" w:rsidTr="00D46586">
        <w:trPr>
          <w:cnfStyle w:val="100000000000" w:firstRow="1" w:lastRow="0" w:firstColumn="0" w:lastColumn="0" w:oddVBand="0" w:evenVBand="0" w:oddHBand="0" w:evenHBand="0" w:firstRowFirstColumn="0" w:firstRowLastColumn="0" w:lastRowFirstColumn="0" w:lastRowLastColumn="0"/>
          <w:jc w:val="center"/>
        </w:trPr>
        <w:tc>
          <w:tcPr>
            <w:tcW w:w="725" w:type="pct"/>
          </w:tcPr>
          <w:p w14:paraId="50B24EAC" w14:textId="77777777" w:rsidR="00D46586" w:rsidRPr="0035488F" w:rsidRDefault="00000000">
            <w:pPr>
              <w:widowControl/>
              <w:spacing w:before="100" w:beforeAutospacing="1" w:line="273" w:lineRule="auto"/>
              <w:ind w:leftChars="0" w:left="480"/>
              <w:jc w:val="center"/>
              <w:rPr>
                <w:rFonts w:ascii="宋体" w:eastAsia="Times New Roman" w:hAnsi="宋体" w:cs="Times New Roman"/>
                <w:bCs/>
                <w:kern w:val="0"/>
              </w:rPr>
            </w:pPr>
            <w:proofErr w:type="spellStart"/>
            <w:r w:rsidRPr="0035488F">
              <w:rPr>
                <w:rFonts w:ascii="宋体" w:eastAsia="Times New Roman" w:hAnsi="宋体" w:cs="Times New Roman"/>
                <w:bCs/>
                <w:kern w:val="0"/>
                <w:sz w:val="18"/>
                <w:szCs w:val="18"/>
              </w:rPr>
              <w:t>排序</w:t>
            </w:r>
            <w:proofErr w:type="spellEnd"/>
          </w:p>
        </w:tc>
        <w:tc>
          <w:tcPr>
            <w:tcW w:w="1408" w:type="pct"/>
          </w:tcPr>
          <w:p w14:paraId="6381011C" w14:textId="77777777" w:rsidR="00D46586" w:rsidRPr="0035488F" w:rsidRDefault="00000000">
            <w:pPr>
              <w:widowControl/>
              <w:spacing w:before="100" w:beforeAutospacing="1" w:line="273" w:lineRule="auto"/>
              <w:ind w:leftChars="0" w:left="0"/>
              <w:jc w:val="center"/>
              <w:rPr>
                <w:rFonts w:ascii="宋体" w:eastAsia="Times New Roman" w:hAnsi="宋体" w:cs="Times New Roman"/>
                <w:bCs/>
                <w:kern w:val="0"/>
              </w:rPr>
            </w:pPr>
            <w:proofErr w:type="spellStart"/>
            <w:r w:rsidRPr="0035488F">
              <w:rPr>
                <w:rFonts w:ascii="宋体" w:eastAsia="Times New Roman" w:hAnsi="宋体" w:cs="Times New Roman"/>
                <w:bCs/>
                <w:kern w:val="0"/>
                <w:sz w:val="18"/>
                <w:szCs w:val="18"/>
              </w:rPr>
              <w:t>生态因子</w:t>
            </w:r>
            <w:proofErr w:type="spellEnd"/>
          </w:p>
        </w:tc>
        <w:tc>
          <w:tcPr>
            <w:tcW w:w="440" w:type="pct"/>
          </w:tcPr>
          <w:p w14:paraId="67148D33" w14:textId="77777777" w:rsidR="00D46586" w:rsidRPr="0035488F" w:rsidRDefault="00000000">
            <w:pPr>
              <w:widowControl/>
              <w:spacing w:before="100" w:beforeAutospacing="1" w:line="273" w:lineRule="auto"/>
              <w:ind w:leftChars="0" w:left="0"/>
              <w:jc w:val="center"/>
              <w:rPr>
                <w:rFonts w:ascii="宋体" w:eastAsia="Times New Roman" w:hAnsi="宋体" w:cs="Times New Roman"/>
                <w:bCs/>
                <w:kern w:val="0"/>
              </w:rPr>
            </w:pPr>
            <w:r w:rsidRPr="0035488F">
              <w:rPr>
                <w:rFonts w:ascii="宋体" w:eastAsia="Times New Roman" w:hAnsi="宋体" w:cs="Times New Roman"/>
                <w:bCs/>
                <w:kern w:val="0"/>
                <w:sz w:val="18"/>
                <w:szCs w:val="18"/>
              </w:rPr>
              <w:t>q 值</w:t>
            </w:r>
          </w:p>
        </w:tc>
        <w:tc>
          <w:tcPr>
            <w:tcW w:w="616" w:type="pct"/>
          </w:tcPr>
          <w:p w14:paraId="1A79CB4D" w14:textId="77777777" w:rsidR="00D46586" w:rsidRPr="0035488F" w:rsidRDefault="00000000">
            <w:pPr>
              <w:widowControl/>
              <w:spacing w:before="100" w:beforeAutospacing="1" w:line="273" w:lineRule="auto"/>
              <w:ind w:leftChars="0" w:left="0"/>
              <w:jc w:val="center"/>
              <w:rPr>
                <w:rFonts w:ascii="宋体" w:eastAsia="Times New Roman" w:hAnsi="宋体" w:cs="Times New Roman"/>
                <w:bCs/>
                <w:kern w:val="0"/>
              </w:rPr>
            </w:pPr>
            <w:r w:rsidRPr="0035488F">
              <w:rPr>
                <w:rFonts w:ascii="宋体" w:eastAsia="Times New Roman" w:hAnsi="宋体" w:cs="Times New Roman"/>
                <w:bCs/>
                <w:kern w:val="0"/>
                <w:sz w:val="18"/>
                <w:szCs w:val="18"/>
              </w:rPr>
              <w:t>p 值</w:t>
            </w:r>
          </w:p>
        </w:tc>
        <w:tc>
          <w:tcPr>
            <w:tcW w:w="1812" w:type="pct"/>
          </w:tcPr>
          <w:p w14:paraId="4D79006B" w14:textId="77777777" w:rsidR="00D46586" w:rsidRPr="0035488F" w:rsidRDefault="00000000">
            <w:pPr>
              <w:widowControl/>
              <w:spacing w:before="100" w:beforeAutospacing="1" w:line="273" w:lineRule="auto"/>
              <w:ind w:leftChars="0" w:left="0"/>
              <w:jc w:val="center"/>
              <w:rPr>
                <w:rFonts w:ascii="宋体" w:eastAsia="Times New Roman" w:hAnsi="宋体" w:cs="Times New Roman"/>
                <w:bCs/>
                <w:kern w:val="0"/>
              </w:rPr>
            </w:pPr>
            <w:proofErr w:type="spellStart"/>
            <w:r w:rsidRPr="0035488F">
              <w:rPr>
                <w:rFonts w:ascii="宋体" w:eastAsia="Times New Roman" w:hAnsi="宋体" w:cs="Times New Roman"/>
                <w:bCs/>
                <w:kern w:val="0"/>
                <w:sz w:val="18"/>
                <w:szCs w:val="18"/>
              </w:rPr>
              <w:t>解释力等级</w:t>
            </w:r>
            <w:proofErr w:type="spellEnd"/>
          </w:p>
        </w:tc>
      </w:tr>
      <w:tr w:rsidR="00D46586" w14:paraId="39860CA3" w14:textId="77777777" w:rsidTr="00D46586">
        <w:trPr>
          <w:jc w:val="center"/>
        </w:trPr>
        <w:tc>
          <w:tcPr>
            <w:tcW w:w="725" w:type="pct"/>
          </w:tcPr>
          <w:p w14:paraId="6994965F"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1</w:t>
            </w:r>
          </w:p>
        </w:tc>
        <w:tc>
          <w:tcPr>
            <w:tcW w:w="1408" w:type="pct"/>
          </w:tcPr>
          <w:p w14:paraId="04599C99"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NDBSI（干度</w:t>
            </w:r>
            <w:proofErr w:type="spellEnd"/>
            <w:r>
              <w:rPr>
                <w:rFonts w:ascii="宋体" w:eastAsia="Times New Roman" w:hAnsi="宋体" w:cs="Times New Roman"/>
                <w:kern w:val="0"/>
                <w:sz w:val="18"/>
                <w:szCs w:val="18"/>
              </w:rPr>
              <w:t>）</w:t>
            </w:r>
          </w:p>
        </w:tc>
        <w:tc>
          <w:tcPr>
            <w:tcW w:w="440" w:type="pct"/>
          </w:tcPr>
          <w:p w14:paraId="7CD94423"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0.939</w:t>
            </w:r>
          </w:p>
        </w:tc>
        <w:tc>
          <w:tcPr>
            <w:tcW w:w="616" w:type="pct"/>
          </w:tcPr>
          <w:p w14:paraId="3617F983"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&lt; 0.001</w:t>
            </w:r>
          </w:p>
        </w:tc>
        <w:tc>
          <w:tcPr>
            <w:tcW w:w="1812" w:type="pct"/>
          </w:tcPr>
          <w:p w14:paraId="50CBE7BD"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强（q</w:t>
            </w:r>
            <w:proofErr w:type="spellEnd"/>
            <w:r>
              <w:rPr>
                <w:rFonts w:ascii="宋体" w:eastAsia="Times New Roman" w:hAnsi="宋体" w:cs="Times New Roman"/>
                <w:kern w:val="0"/>
                <w:sz w:val="18"/>
                <w:szCs w:val="18"/>
              </w:rPr>
              <w:t xml:space="preserve"> &gt; 0.50）</w:t>
            </w:r>
          </w:p>
        </w:tc>
      </w:tr>
      <w:tr w:rsidR="00D46586" w14:paraId="3BC27D6D" w14:textId="77777777" w:rsidTr="00D46586">
        <w:trPr>
          <w:jc w:val="center"/>
        </w:trPr>
        <w:tc>
          <w:tcPr>
            <w:tcW w:w="725" w:type="pct"/>
          </w:tcPr>
          <w:p w14:paraId="669F8DEC"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2</w:t>
            </w:r>
          </w:p>
        </w:tc>
        <w:tc>
          <w:tcPr>
            <w:tcW w:w="1408" w:type="pct"/>
          </w:tcPr>
          <w:p w14:paraId="1214863B"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LST（热度</w:t>
            </w:r>
            <w:proofErr w:type="spellEnd"/>
            <w:r>
              <w:rPr>
                <w:rFonts w:ascii="宋体" w:eastAsia="Times New Roman" w:hAnsi="宋体" w:cs="Times New Roman"/>
                <w:kern w:val="0"/>
                <w:sz w:val="18"/>
                <w:szCs w:val="18"/>
              </w:rPr>
              <w:t>）</w:t>
            </w:r>
          </w:p>
        </w:tc>
        <w:tc>
          <w:tcPr>
            <w:tcW w:w="440" w:type="pct"/>
          </w:tcPr>
          <w:p w14:paraId="386E43B3"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0.715</w:t>
            </w:r>
          </w:p>
        </w:tc>
        <w:tc>
          <w:tcPr>
            <w:tcW w:w="616" w:type="pct"/>
          </w:tcPr>
          <w:p w14:paraId="792801B1"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&lt; 0.001</w:t>
            </w:r>
          </w:p>
        </w:tc>
        <w:tc>
          <w:tcPr>
            <w:tcW w:w="1812" w:type="pct"/>
          </w:tcPr>
          <w:p w14:paraId="0ED5D113"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强（q</w:t>
            </w:r>
            <w:proofErr w:type="spellEnd"/>
            <w:r>
              <w:rPr>
                <w:rFonts w:ascii="宋体" w:eastAsia="Times New Roman" w:hAnsi="宋体" w:cs="Times New Roman"/>
                <w:kern w:val="0"/>
                <w:sz w:val="18"/>
                <w:szCs w:val="18"/>
              </w:rPr>
              <w:t xml:space="preserve"> &gt; 0.50）</w:t>
            </w:r>
          </w:p>
        </w:tc>
      </w:tr>
      <w:tr w:rsidR="00D46586" w14:paraId="56353B0F" w14:textId="77777777" w:rsidTr="00D46586">
        <w:trPr>
          <w:jc w:val="center"/>
        </w:trPr>
        <w:tc>
          <w:tcPr>
            <w:tcW w:w="725" w:type="pct"/>
          </w:tcPr>
          <w:p w14:paraId="2F5288EE"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lastRenderedPageBreak/>
              <w:t>3</w:t>
            </w:r>
          </w:p>
        </w:tc>
        <w:tc>
          <w:tcPr>
            <w:tcW w:w="1408" w:type="pct"/>
          </w:tcPr>
          <w:p w14:paraId="0C5BCD22"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RSEI（综合指数</w:t>
            </w:r>
            <w:proofErr w:type="spellEnd"/>
            <w:r>
              <w:rPr>
                <w:rFonts w:ascii="宋体" w:eastAsia="Times New Roman" w:hAnsi="宋体" w:cs="Times New Roman"/>
                <w:kern w:val="0"/>
                <w:sz w:val="18"/>
                <w:szCs w:val="18"/>
              </w:rPr>
              <w:t>）</w:t>
            </w:r>
          </w:p>
        </w:tc>
        <w:tc>
          <w:tcPr>
            <w:tcW w:w="440" w:type="pct"/>
          </w:tcPr>
          <w:p w14:paraId="38D94D72"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0.332</w:t>
            </w:r>
          </w:p>
        </w:tc>
        <w:tc>
          <w:tcPr>
            <w:tcW w:w="616" w:type="pct"/>
          </w:tcPr>
          <w:p w14:paraId="037CDBD2"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&lt; 0.001</w:t>
            </w:r>
          </w:p>
        </w:tc>
        <w:tc>
          <w:tcPr>
            <w:tcW w:w="1812" w:type="pct"/>
          </w:tcPr>
          <w:p w14:paraId="6809ACC0"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中等（0.25 &lt; q &lt; 0.50）</w:t>
            </w:r>
          </w:p>
        </w:tc>
      </w:tr>
      <w:tr w:rsidR="00D46586" w14:paraId="54EBAADD" w14:textId="77777777" w:rsidTr="00D46586">
        <w:trPr>
          <w:jc w:val="center"/>
        </w:trPr>
        <w:tc>
          <w:tcPr>
            <w:tcW w:w="725" w:type="pct"/>
          </w:tcPr>
          <w:p w14:paraId="53278B3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4</w:t>
            </w:r>
          </w:p>
        </w:tc>
        <w:tc>
          <w:tcPr>
            <w:tcW w:w="1408" w:type="pct"/>
          </w:tcPr>
          <w:p w14:paraId="2F146B83"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WET（湿度</w:t>
            </w:r>
            <w:proofErr w:type="spellEnd"/>
            <w:r>
              <w:rPr>
                <w:rFonts w:ascii="宋体" w:eastAsia="Times New Roman" w:hAnsi="宋体" w:cs="Times New Roman"/>
                <w:kern w:val="0"/>
                <w:sz w:val="18"/>
                <w:szCs w:val="18"/>
              </w:rPr>
              <w:t>）</w:t>
            </w:r>
          </w:p>
        </w:tc>
        <w:tc>
          <w:tcPr>
            <w:tcW w:w="440" w:type="pct"/>
          </w:tcPr>
          <w:p w14:paraId="3D6D52B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0.318</w:t>
            </w:r>
          </w:p>
        </w:tc>
        <w:tc>
          <w:tcPr>
            <w:tcW w:w="616" w:type="pct"/>
          </w:tcPr>
          <w:p w14:paraId="260AECF5"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&lt; 0.001</w:t>
            </w:r>
          </w:p>
        </w:tc>
        <w:tc>
          <w:tcPr>
            <w:tcW w:w="1812" w:type="pct"/>
          </w:tcPr>
          <w:p w14:paraId="0C312882"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中等（0.25 &lt; q &lt; 0.50）</w:t>
            </w:r>
          </w:p>
        </w:tc>
      </w:tr>
      <w:tr w:rsidR="00D46586" w14:paraId="634BD79F" w14:textId="77777777" w:rsidTr="00D46586">
        <w:trPr>
          <w:jc w:val="center"/>
        </w:trPr>
        <w:tc>
          <w:tcPr>
            <w:tcW w:w="725" w:type="pct"/>
          </w:tcPr>
          <w:p w14:paraId="7006BD7E"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5</w:t>
            </w:r>
          </w:p>
        </w:tc>
        <w:tc>
          <w:tcPr>
            <w:tcW w:w="1408" w:type="pct"/>
          </w:tcPr>
          <w:p w14:paraId="4DA0897A"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proofErr w:type="spellStart"/>
            <w:r>
              <w:rPr>
                <w:rFonts w:ascii="宋体" w:eastAsia="Times New Roman" w:hAnsi="宋体" w:cs="Times New Roman"/>
                <w:kern w:val="0"/>
                <w:sz w:val="18"/>
                <w:szCs w:val="18"/>
              </w:rPr>
              <w:t>NDVI（绿度</w:t>
            </w:r>
            <w:proofErr w:type="spellEnd"/>
            <w:r>
              <w:rPr>
                <w:rFonts w:ascii="宋体" w:eastAsia="Times New Roman" w:hAnsi="宋体" w:cs="Times New Roman"/>
                <w:kern w:val="0"/>
                <w:sz w:val="18"/>
                <w:szCs w:val="18"/>
              </w:rPr>
              <w:t>）</w:t>
            </w:r>
          </w:p>
        </w:tc>
        <w:tc>
          <w:tcPr>
            <w:tcW w:w="440" w:type="pct"/>
          </w:tcPr>
          <w:p w14:paraId="22C6ED28"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0.268</w:t>
            </w:r>
          </w:p>
        </w:tc>
        <w:tc>
          <w:tcPr>
            <w:tcW w:w="616" w:type="pct"/>
          </w:tcPr>
          <w:p w14:paraId="4484D738"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&lt; 0.001</w:t>
            </w:r>
          </w:p>
        </w:tc>
        <w:tc>
          <w:tcPr>
            <w:tcW w:w="1812" w:type="pct"/>
          </w:tcPr>
          <w:p w14:paraId="37416852"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中等（0.25 &lt; q &lt; 0.50）</w:t>
            </w:r>
          </w:p>
        </w:tc>
      </w:tr>
    </w:tbl>
    <w:p w14:paraId="6F9BD3B0" w14:textId="77777777" w:rsidR="00D46586" w:rsidRDefault="00D46586">
      <w:pPr>
        <w:pStyle w:val="a3"/>
        <w:ind w:left="480" w:firstLine="480"/>
      </w:pPr>
    </w:p>
    <w:p w14:paraId="4814FA7A" w14:textId="77777777" w:rsidR="00D46586" w:rsidRDefault="00000000">
      <w:pPr>
        <w:pStyle w:val="a3"/>
        <w:ind w:left="480" w:firstLine="480"/>
      </w:pPr>
      <w:r>
        <w:t>由表</w:t>
      </w:r>
      <w:r>
        <w:t xml:space="preserve"> 4-6 </w:t>
      </w:r>
      <w:r>
        <w:t>和图</w:t>
      </w:r>
      <w:r>
        <w:t xml:space="preserve"> 4-4 </w:t>
      </w:r>
      <w:r>
        <w:t>可知，五项生态组分的单因子解释力呈现显著的分异格局：</w:t>
      </w:r>
    </w:p>
    <w:p w14:paraId="67D9F7C1" w14:textId="77777777" w:rsidR="00D46586" w:rsidRDefault="00000000">
      <w:pPr>
        <w:pStyle w:val="a3"/>
        <w:ind w:left="480" w:firstLine="480"/>
      </w:pPr>
      <w:r>
        <w:t>（</w:t>
      </w:r>
      <w:r>
        <w:t>1</w:t>
      </w:r>
      <w:r>
        <w:t>）</w:t>
      </w:r>
      <w:r>
        <w:t>NDBSI</w:t>
      </w:r>
      <w:r>
        <w:t>以</w:t>
      </w:r>
      <w:r>
        <w:t>q=0.939</w:t>
      </w:r>
      <w:r>
        <w:t>高居榜首，表明由裸土裸露与</w:t>
      </w:r>
      <w:proofErr w:type="gramStart"/>
      <w:r>
        <w:t>不</w:t>
      </w:r>
      <w:proofErr w:type="gramEnd"/>
      <w:r>
        <w:t>透水面扩张构成的地表干度，是控制该区域</w:t>
      </w:r>
      <w:r>
        <w:t>RSEI</w:t>
      </w:r>
      <w:r>
        <w:t>空间</w:t>
      </w:r>
      <w:proofErr w:type="gramStart"/>
      <w:r>
        <w:t>分异及</w:t>
      </w:r>
      <w:r>
        <w:t>35</w:t>
      </w:r>
      <w:r>
        <w:t>年</w:t>
      </w:r>
      <w:proofErr w:type="gramEnd"/>
      <w:r>
        <w:t>演变的首要驱动力；这一结果与</w:t>
      </w:r>
      <w:r>
        <w:t>PCA</w:t>
      </w:r>
      <w:r>
        <w:t>分析中</w:t>
      </w:r>
      <w:r>
        <w:t>NDBSI</w:t>
      </w:r>
      <w:r>
        <w:t>载荷绝对值最大的结论形成了双层证据链互证：干度既是</w:t>
      </w:r>
      <w:r>
        <w:t>RSEI</w:t>
      </w:r>
      <w:r>
        <w:t>合成中权重最高的负向分量，也是独立解释其空间分异最强的地理因子。从物理机制看，裸土与建成区扩张导致地表反照率升高、蒸散发锐减，形成</w:t>
      </w:r>
      <w:r>
        <w:t>"</w:t>
      </w:r>
      <w:r>
        <w:t>干化</w:t>
      </w:r>
      <w:r>
        <w:t>—</w:t>
      </w:r>
      <w:r>
        <w:t>增温</w:t>
      </w:r>
      <w:r>
        <w:t>"</w:t>
      </w:r>
      <w:r>
        <w:t>正反馈循环，对生态质量产生系统性压制；与黄土高原（</w:t>
      </w:r>
      <w:r>
        <w:t>NDBSI q≈0.58</w:t>
      </w:r>
      <w:r>
        <w:t>）和内蒙古草原区（</w:t>
      </w:r>
      <w:r>
        <w:t>NDBSI q≈0.62</w:t>
      </w:r>
      <w:r>
        <w:t>）相比，吉林省三北区域</w:t>
      </w:r>
      <w:r>
        <w:t>NDBSI</w:t>
      </w:r>
      <w:r>
        <w:t>的</w:t>
      </w:r>
      <w:r>
        <w:t>q</w:t>
      </w:r>
      <w:proofErr w:type="gramStart"/>
      <w:r>
        <w:t>值显著</w:t>
      </w:r>
      <w:proofErr w:type="gramEnd"/>
      <w:r>
        <w:t>偏高，这主要归因于西部科尔沁沙地边缘土地沙化问题极为突出，干度因子的空间变异度和生态约束力均远超上述对比区。</w:t>
      </w:r>
    </w:p>
    <w:p w14:paraId="3002945C" w14:textId="77777777" w:rsidR="00D46586" w:rsidRDefault="00000000">
      <w:pPr>
        <w:pStyle w:val="a3"/>
        <w:ind w:left="480" w:firstLine="480"/>
      </w:pPr>
      <w:r>
        <w:t>（</w:t>
      </w:r>
      <w:r>
        <w:t>2</w:t>
      </w:r>
      <w:r>
        <w:t>）</w:t>
      </w:r>
      <w:r>
        <w:t>LST</w:t>
      </w:r>
      <w:r>
        <w:t>以</w:t>
      </w:r>
      <w:r>
        <w:t>q=0.715</w:t>
      </w:r>
      <w:r>
        <w:t>位列第二，印证了地表热环境对生态格局的强大控制力；西部沙地边缘夏季地表温度可达</w:t>
      </w:r>
      <w:r>
        <w:t>50°C</w:t>
      </w:r>
      <w:r>
        <w:t>以上，高温胁迫直接加剧植被蒸腾耗水、抑制光合效率，并加速土壤有机质矿化，热量通过多重生物物理通道对生态系统施加非线性约束；</w:t>
      </w:r>
      <w:r>
        <w:t>LST</w:t>
      </w:r>
      <w:r>
        <w:t>与</w:t>
      </w:r>
      <w:r>
        <w:t>NDBSI</w:t>
      </w:r>
      <w:r>
        <w:t>的高</w:t>
      </w:r>
      <w:r>
        <w:t>q</w:t>
      </w:r>
      <w:r>
        <w:t>值</w:t>
      </w:r>
      <w:r>
        <w:t>"</w:t>
      </w:r>
      <w:r>
        <w:t>双峰鼎立</w:t>
      </w:r>
      <w:r>
        <w:t>"</w:t>
      </w:r>
      <w:r>
        <w:t>格局（合计</w:t>
      </w:r>
      <w:r>
        <w:t>q&gt;1.65</w:t>
      </w:r>
      <w:r>
        <w:t>），从地理探测器角度确证了</w:t>
      </w:r>
      <w:r>
        <w:t>"</w:t>
      </w:r>
      <w:r>
        <w:t>干热复合胁迫</w:t>
      </w:r>
      <w:r>
        <w:t>"</w:t>
      </w:r>
      <w:r>
        <w:t>是吉林省西部生态脆弱性的根本自然地理学成因。</w:t>
      </w:r>
    </w:p>
    <w:p w14:paraId="6E0260D1" w14:textId="77777777" w:rsidR="00D46586" w:rsidRDefault="00000000">
      <w:pPr>
        <w:pStyle w:val="a3"/>
        <w:ind w:left="480" w:firstLine="480"/>
      </w:pPr>
      <w:r>
        <w:t>（</w:t>
      </w:r>
      <w:r>
        <w:t>3</w:t>
      </w:r>
      <w:r>
        <w:t>）</w:t>
      </w:r>
      <w:r>
        <w:t>RSEI</w:t>
      </w:r>
      <w:r>
        <w:t>（</w:t>
      </w:r>
      <w:r>
        <w:t>q=0.332</w:t>
      </w:r>
      <w:r>
        <w:t>）与</w:t>
      </w:r>
      <w:r>
        <w:t>WET</w:t>
      </w:r>
      <w:r>
        <w:t>（</w:t>
      </w:r>
      <w:r>
        <w:t>q=0.318</w:t>
      </w:r>
      <w:r>
        <w:t>）分列第三、四位，</w:t>
      </w:r>
      <w:r>
        <w:t>RSEI</w:t>
      </w:r>
      <w:r>
        <w:t>的自相关解释</w:t>
      </w:r>
      <w:proofErr w:type="gramStart"/>
      <w:r>
        <w:t>力反映</w:t>
      </w:r>
      <w:proofErr w:type="gramEnd"/>
      <w:r>
        <w:t>了生态系统状态的时间惯性，而</w:t>
      </w:r>
      <w:r>
        <w:t>WET</w:t>
      </w:r>
      <w:r>
        <w:t>水分梯度则表明，在吉林省自东南向西北</w:t>
      </w:r>
      <w:r>
        <w:t>"</w:t>
      </w:r>
      <w:r>
        <w:t>湿润森林</w:t>
      </w:r>
      <w:r>
        <w:t>—</w:t>
      </w:r>
      <w:r>
        <w:t>半湿润农业区</w:t>
      </w:r>
      <w:r>
        <w:t>—</w:t>
      </w:r>
      <w:r>
        <w:t>半干旱草原</w:t>
      </w:r>
      <w:r>
        <w:t>/</w:t>
      </w:r>
      <w:r>
        <w:t>沙地</w:t>
      </w:r>
      <w:r>
        <w:t>"</w:t>
      </w:r>
      <w:r>
        <w:t>的经向梯度序列中，水分始终是植被类型与生产力空间分异的基础性约束条件。</w:t>
      </w:r>
    </w:p>
    <w:p w14:paraId="6C491222" w14:textId="77777777" w:rsidR="00D46586" w:rsidRDefault="00000000">
      <w:pPr>
        <w:pStyle w:val="a3"/>
        <w:ind w:left="480" w:firstLine="480"/>
      </w:pPr>
      <w:r>
        <w:t>（</w:t>
      </w:r>
      <w:r>
        <w:t>4</w:t>
      </w:r>
      <w:r>
        <w:t>）</w:t>
      </w:r>
      <w:r>
        <w:t>NDVI</w:t>
      </w:r>
      <w:r>
        <w:t>以</w:t>
      </w:r>
      <w:r>
        <w:t>q=0.268</w:t>
      </w:r>
      <w:r>
        <w:t>排名末位，这一结果具有重要的方法论启示：生态质量的优劣并非单纯由</w:t>
      </w:r>
      <w:r>
        <w:t>"</w:t>
      </w:r>
      <w:r>
        <w:t>绿不绿</w:t>
      </w:r>
      <w:r>
        <w:t>"</w:t>
      </w:r>
      <w:r>
        <w:t>决定，而是由</w:t>
      </w:r>
      <w:r>
        <w:t>"</w:t>
      </w:r>
      <w:r>
        <w:t>干不干、热不热、绿不绿、湿不湿</w:t>
      </w:r>
      <w:r>
        <w:t>"</w:t>
      </w:r>
      <w:r>
        <w:t>四维协同制约；单独增加植被覆盖而忽视水热条件匹配和地表基质</w:t>
      </w:r>
      <w:r>
        <w:lastRenderedPageBreak/>
        <w:t>稳定性，对综合生态质量的改善效果可能非常有限，这为三北防护林后续工程从</w:t>
      </w:r>
      <w:r>
        <w:t>"</w:t>
      </w:r>
      <w:r>
        <w:t>以面积论英雄</w:t>
      </w:r>
      <w:r>
        <w:t>"</w:t>
      </w:r>
      <w:r>
        <w:t>转向</w:t>
      </w:r>
      <w:r>
        <w:t>"</w:t>
      </w:r>
      <w:r>
        <w:t>以质量定成败</w:t>
      </w:r>
      <w:r>
        <w:t>"</w:t>
      </w:r>
      <w:r>
        <w:t>的精准修复提供了关键决策依据。。</w:t>
      </w:r>
    </w:p>
    <w:p w14:paraId="4A4984E2" w14:textId="77777777" w:rsidR="00D46586" w:rsidRDefault="00000000">
      <w:pPr>
        <w:pStyle w:val="3"/>
        <w:spacing w:before="78" w:after="78"/>
        <w:ind w:left="480"/>
      </w:pPr>
      <w:bookmarkStart w:id="160" w:name="_Toc230815693"/>
      <w:r>
        <w:t xml:space="preserve">4.5.2 </w:t>
      </w:r>
      <w:r>
        <w:t>交互作用探测结果</w:t>
      </w:r>
      <w:bookmarkEnd w:id="160"/>
    </w:p>
    <w:p w14:paraId="017BA68D" w14:textId="77777777" w:rsidR="00D46586" w:rsidRDefault="00000000">
      <w:pPr>
        <w:pStyle w:val="a3"/>
        <w:ind w:left="480" w:firstLine="480"/>
        <w:rPr>
          <w:b/>
        </w:rPr>
      </w:pPr>
      <w:r>
        <w:t>双因子交互探测结果以对称矩阵形式呈现（表</w:t>
      </w:r>
      <w:r>
        <w:t xml:space="preserve"> 4-7</w:t>
      </w:r>
      <w:r>
        <w:t>），对角线为单因子</w:t>
      </w:r>
      <w:r>
        <w:t xml:space="preserve"> q </w:t>
      </w:r>
      <w:r>
        <w:t>值，非对角线为双因子交互</w:t>
      </w:r>
      <w:r>
        <w:t xml:space="preserve"> q </w:t>
      </w:r>
      <w:r>
        <w:t>值</w:t>
      </w:r>
      <w:r>
        <w:t xml:space="preserve"> q(A ∩ B)</w:t>
      </w:r>
      <w:r>
        <w:t>。</w:t>
      </w:r>
    </w:p>
    <w:p w14:paraId="47E0B1F8" w14:textId="1FE87790" w:rsidR="00D46586" w:rsidRPr="0035488F" w:rsidRDefault="00000000" w:rsidP="0035488F">
      <w:pPr>
        <w:pStyle w:val="a3"/>
        <w:ind w:left="480" w:firstLine="480"/>
        <w:rPr>
          <w:rFonts w:hint="eastAsia"/>
          <w:bCs/>
        </w:rPr>
      </w:pPr>
      <w:r w:rsidRPr="0035488F">
        <w:rPr>
          <w:bCs/>
        </w:rPr>
        <w:t>表</w:t>
      </w:r>
      <w:r w:rsidRPr="0035488F">
        <w:rPr>
          <w:bCs/>
        </w:rPr>
        <w:t xml:space="preserve"> 4-7  </w:t>
      </w:r>
      <w:r w:rsidRPr="0035488F">
        <w:rPr>
          <w:bCs/>
        </w:rPr>
        <w:t>交互探测器</w:t>
      </w:r>
      <w:r w:rsidRPr="0035488F">
        <w:rPr>
          <w:bCs/>
        </w:rPr>
        <w:t xml:space="preserve"> q </w:t>
      </w:r>
      <w:proofErr w:type="gramStart"/>
      <w:r w:rsidRPr="0035488F">
        <w:rPr>
          <w:bCs/>
        </w:rPr>
        <w:t>值空间</w:t>
      </w:r>
      <w:proofErr w:type="gramEnd"/>
      <w:r w:rsidRPr="0035488F">
        <w:rPr>
          <w:bCs/>
        </w:rPr>
        <w:t>对称矩阵</w:t>
      </w:r>
    </w:p>
    <w:tbl>
      <w:tblPr>
        <w:tblStyle w:val="10"/>
        <w:tblW w:w="4954" w:type="pct"/>
        <w:jc w:val="center"/>
        <w:tblCellMar>
          <w:left w:w="0" w:type="dxa"/>
          <w:right w:w="0" w:type="dxa"/>
        </w:tblCellMar>
        <w:tblLook w:val="04A0" w:firstRow="1" w:lastRow="0" w:firstColumn="1" w:lastColumn="0" w:noHBand="0" w:noVBand="1"/>
      </w:tblPr>
      <w:tblGrid>
        <w:gridCol w:w="1702"/>
        <w:gridCol w:w="1311"/>
        <w:gridCol w:w="1308"/>
        <w:gridCol w:w="1308"/>
        <w:gridCol w:w="1308"/>
        <w:gridCol w:w="1302"/>
      </w:tblGrid>
      <w:tr w:rsidR="00D46586" w14:paraId="46723710" w14:textId="77777777">
        <w:trPr>
          <w:jc w:val="center"/>
        </w:trPr>
        <w:tc>
          <w:tcPr>
            <w:tcW w:w="1032" w:type="pct"/>
            <w:tcBorders>
              <w:top w:val="single" w:sz="4" w:space="0" w:color="auto"/>
              <w:left w:val="single" w:sz="4" w:space="0" w:color="auto"/>
              <w:bottom w:val="single" w:sz="4" w:space="0" w:color="auto"/>
              <w:right w:val="single" w:sz="4" w:space="0" w:color="auto"/>
            </w:tcBorders>
          </w:tcPr>
          <w:p w14:paraId="12185C53" w14:textId="77777777" w:rsidR="00D46586" w:rsidRDefault="00000000">
            <w:pPr>
              <w:widowControl/>
              <w:spacing w:before="100" w:beforeAutospacing="1" w:line="273" w:lineRule="auto"/>
              <w:ind w:leftChars="0" w:left="480"/>
              <w:jc w:val="center"/>
              <w:rPr>
                <w:rFonts w:ascii="宋体" w:eastAsia="Times New Roman" w:hAnsi="宋体" w:cs="Times New Roman"/>
                <w:bCs/>
                <w:kern w:val="0"/>
              </w:rPr>
            </w:pPr>
            <w:r>
              <w:rPr>
                <w:rFonts w:ascii="宋体" w:eastAsia="Times New Roman" w:hAnsi="宋体" w:cs="Times New Roman"/>
                <w:bCs/>
                <w:kern w:val="0"/>
                <w:sz w:val="18"/>
                <w:szCs w:val="18"/>
              </w:rPr>
              <w:t>LST</w:t>
            </w:r>
          </w:p>
        </w:tc>
        <w:tc>
          <w:tcPr>
            <w:tcW w:w="795" w:type="pct"/>
            <w:tcBorders>
              <w:top w:val="single" w:sz="4" w:space="0" w:color="auto"/>
              <w:left w:val="single" w:sz="4" w:space="0" w:color="auto"/>
              <w:bottom w:val="single" w:sz="4" w:space="0" w:color="auto"/>
              <w:right w:val="single" w:sz="4" w:space="0" w:color="auto"/>
            </w:tcBorders>
          </w:tcPr>
          <w:p w14:paraId="4B9A9ED7" w14:textId="77777777" w:rsidR="00D46586" w:rsidRDefault="00000000">
            <w:pPr>
              <w:widowControl/>
              <w:spacing w:before="100" w:beforeAutospacing="1" w:line="273" w:lineRule="auto"/>
              <w:ind w:leftChars="0" w:left="0"/>
              <w:jc w:val="center"/>
              <w:rPr>
                <w:rFonts w:ascii="宋体" w:eastAsia="Times New Roman" w:hAnsi="宋体" w:cs="Times New Roman"/>
                <w:bCs/>
                <w:kern w:val="0"/>
              </w:rPr>
            </w:pPr>
            <w:r>
              <w:rPr>
                <w:rFonts w:ascii="宋体" w:eastAsia="Times New Roman" w:hAnsi="宋体" w:cs="Times New Roman"/>
                <w:bCs/>
                <w:kern w:val="0"/>
                <w:sz w:val="18"/>
                <w:szCs w:val="18"/>
              </w:rPr>
              <w:t>0.715</w:t>
            </w:r>
          </w:p>
        </w:tc>
        <w:tc>
          <w:tcPr>
            <w:tcW w:w="794" w:type="pct"/>
            <w:tcBorders>
              <w:top w:val="single" w:sz="4" w:space="0" w:color="auto"/>
              <w:left w:val="single" w:sz="4" w:space="0" w:color="auto"/>
              <w:bottom w:val="single" w:sz="4" w:space="0" w:color="auto"/>
              <w:right w:val="single" w:sz="4" w:space="0" w:color="auto"/>
            </w:tcBorders>
          </w:tcPr>
          <w:p w14:paraId="05CC6AE9" w14:textId="77777777" w:rsidR="00D46586" w:rsidRDefault="00000000">
            <w:pPr>
              <w:widowControl/>
              <w:spacing w:before="100" w:beforeAutospacing="1" w:line="273" w:lineRule="auto"/>
              <w:ind w:leftChars="0" w:left="0"/>
              <w:jc w:val="center"/>
              <w:rPr>
                <w:rFonts w:ascii="宋体" w:eastAsia="Times New Roman" w:hAnsi="宋体" w:cs="Times New Roman"/>
                <w:bCs/>
                <w:kern w:val="0"/>
              </w:rPr>
            </w:pPr>
            <w:r>
              <w:rPr>
                <w:rFonts w:ascii="宋体" w:eastAsia="Times New Roman" w:hAnsi="宋体" w:cs="Times New Roman"/>
                <w:bCs/>
                <w:kern w:val="0"/>
                <w:sz w:val="18"/>
                <w:szCs w:val="18"/>
              </w:rPr>
              <w:t>0.946</w:t>
            </w:r>
          </w:p>
        </w:tc>
        <w:tc>
          <w:tcPr>
            <w:tcW w:w="794" w:type="pct"/>
            <w:tcBorders>
              <w:top w:val="single" w:sz="4" w:space="0" w:color="auto"/>
              <w:left w:val="single" w:sz="4" w:space="0" w:color="auto"/>
              <w:bottom w:val="single" w:sz="4" w:space="0" w:color="auto"/>
              <w:right w:val="single" w:sz="4" w:space="0" w:color="auto"/>
            </w:tcBorders>
          </w:tcPr>
          <w:p w14:paraId="0E2E2718" w14:textId="77777777" w:rsidR="00D46586" w:rsidRDefault="00000000">
            <w:pPr>
              <w:widowControl/>
              <w:spacing w:before="100" w:beforeAutospacing="1" w:line="273" w:lineRule="auto"/>
              <w:ind w:leftChars="0" w:left="0"/>
              <w:jc w:val="center"/>
              <w:rPr>
                <w:rFonts w:ascii="宋体" w:eastAsia="Times New Roman" w:hAnsi="宋体" w:cs="Times New Roman"/>
                <w:bCs/>
                <w:kern w:val="0"/>
              </w:rPr>
            </w:pPr>
            <w:r>
              <w:rPr>
                <w:rFonts w:ascii="宋体" w:eastAsia="Times New Roman" w:hAnsi="宋体" w:cs="Times New Roman"/>
                <w:bCs/>
                <w:kern w:val="0"/>
                <w:sz w:val="18"/>
                <w:szCs w:val="18"/>
              </w:rPr>
              <w:t>0.723</w:t>
            </w:r>
          </w:p>
        </w:tc>
        <w:tc>
          <w:tcPr>
            <w:tcW w:w="794" w:type="pct"/>
            <w:tcBorders>
              <w:top w:val="single" w:sz="4" w:space="0" w:color="auto"/>
              <w:left w:val="single" w:sz="4" w:space="0" w:color="auto"/>
              <w:bottom w:val="single" w:sz="4" w:space="0" w:color="auto"/>
              <w:right w:val="single" w:sz="4" w:space="0" w:color="auto"/>
            </w:tcBorders>
          </w:tcPr>
          <w:p w14:paraId="1B9E6AE9" w14:textId="77777777" w:rsidR="00D46586" w:rsidRDefault="00000000">
            <w:pPr>
              <w:widowControl/>
              <w:spacing w:before="100" w:beforeAutospacing="1" w:line="273" w:lineRule="auto"/>
              <w:ind w:leftChars="0" w:left="0"/>
              <w:jc w:val="center"/>
              <w:rPr>
                <w:rFonts w:ascii="宋体" w:eastAsia="Times New Roman" w:hAnsi="宋体" w:cs="Times New Roman"/>
                <w:bCs/>
                <w:kern w:val="0"/>
              </w:rPr>
            </w:pPr>
            <w:r>
              <w:rPr>
                <w:rFonts w:ascii="宋体" w:eastAsia="Times New Roman" w:hAnsi="宋体" w:cs="Times New Roman"/>
                <w:bCs/>
                <w:kern w:val="0"/>
                <w:sz w:val="18"/>
                <w:szCs w:val="18"/>
              </w:rPr>
              <w:t>0.735</w:t>
            </w:r>
          </w:p>
        </w:tc>
        <w:tc>
          <w:tcPr>
            <w:tcW w:w="790" w:type="pct"/>
            <w:tcBorders>
              <w:top w:val="single" w:sz="4" w:space="0" w:color="auto"/>
              <w:left w:val="single" w:sz="4" w:space="0" w:color="auto"/>
              <w:bottom w:val="single" w:sz="4" w:space="0" w:color="auto"/>
              <w:right w:val="single" w:sz="4" w:space="0" w:color="auto"/>
            </w:tcBorders>
          </w:tcPr>
          <w:p w14:paraId="2778200C" w14:textId="77777777" w:rsidR="00D46586" w:rsidRDefault="00000000">
            <w:pPr>
              <w:widowControl/>
              <w:spacing w:before="100" w:beforeAutospacing="1" w:line="273" w:lineRule="auto"/>
              <w:ind w:leftChars="0" w:left="0"/>
              <w:jc w:val="center"/>
              <w:rPr>
                <w:rFonts w:ascii="宋体" w:eastAsia="Times New Roman" w:hAnsi="宋体" w:cs="Times New Roman"/>
                <w:bCs/>
                <w:kern w:val="0"/>
              </w:rPr>
            </w:pPr>
            <w:r>
              <w:rPr>
                <w:rFonts w:ascii="宋体" w:eastAsia="Times New Roman" w:hAnsi="宋体" w:cs="Times New Roman"/>
                <w:bCs/>
                <w:kern w:val="0"/>
                <w:sz w:val="18"/>
                <w:szCs w:val="18"/>
              </w:rPr>
              <w:t>0.891</w:t>
            </w:r>
          </w:p>
        </w:tc>
      </w:tr>
      <w:tr w:rsidR="00D46586" w14:paraId="6F1B3A1F" w14:textId="77777777">
        <w:trPr>
          <w:jc w:val="center"/>
        </w:trPr>
        <w:tc>
          <w:tcPr>
            <w:tcW w:w="1032" w:type="pct"/>
            <w:tcBorders>
              <w:top w:val="single" w:sz="4" w:space="0" w:color="auto"/>
              <w:left w:val="single" w:sz="4" w:space="0" w:color="auto"/>
              <w:bottom w:val="single" w:sz="4" w:space="0" w:color="auto"/>
              <w:right w:val="single" w:sz="4" w:space="0" w:color="auto"/>
            </w:tcBorders>
          </w:tcPr>
          <w:p w14:paraId="26B73E53"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NDBSI</w:t>
            </w:r>
          </w:p>
        </w:tc>
        <w:tc>
          <w:tcPr>
            <w:tcW w:w="795" w:type="pct"/>
            <w:tcBorders>
              <w:top w:val="single" w:sz="4" w:space="0" w:color="auto"/>
              <w:left w:val="single" w:sz="4" w:space="0" w:color="auto"/>
              <w:bottom w:val="single" w:sz="4" w:space="0" w:color="auto"/>
              <w:right w:val="single" w:sz="4" w:space="0" w:color="auto"/>
            </w:tcBorders>
          </w:tcPr>
          <w:p w14:paraId="5EDEC400"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0.946</w:t>
            </w:r>
          </w:p>
        </w:tc>
        <w:tc>
          <w:tcPr>
            <w:tcW w:w="794" w:type="pct"/>
            <w:tcBorders>
              <w:top w:val="single" w:sz="4" w:space="0" w:color="auto"/>
              <w:left w:val="single" w:sz="4" w:space="0" w:color="auto"/>
              <w:bottom w:val="single" w:sz="4" w:space="0" w:color="auto"/>
              <w:right w:val="single" w:sz="4" w:space="0" w:color="auto"/>
            </w:tcBorders>
          </w:tcPr>
          <w:p w14:paraId="231229A4"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0.939</w:t>
            </w:r>
          </w:p>
        </w:tc>
        <w:tc>
          <w:tcPr>
            <w:tcW w:w="794" w:type="pct"/>
            <w:tcBorders>
              <w:top w:val="single" w:sz="4" w:space="0" w:color="auto"/>
              <w:left w:val="single" w:sz="4" w:space="0" w:color="auto"/>
              <w:bottom w:val="single" w:sz="4" w:space="0" w:color="auto"/>
              <w:right w:val="single" w:sz="4" w:space="0" w:color="auto"/>
            </w:tcBorders>
          </w:tcPr>
          <w:p w14:paraId="0AD432CD"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0.940</w:t>
            </w:r>
          </w:p>
        </w:tc>
        <w:tc>
          <w:tcPr>
            <w:tcW w:w="794" w:type="pct"/>
            <w:tcBorders>
              <w:top w:val="single" w:sz="4" w:space="0" w:color="auto"/>
              <w:left w:val="single" w:sz="4" w:space="0" w:color="auto"/>
              <w:bottom w:val="single" w:sz="4" w:space="0" w:color="auto"/>
              <w:right w:val="single" w:sz="4" w:space="0" w:color="auto"/>
            </w:tcBorders>
          </w:tcPr>
          <w:p w14:paraId="09AD9B1F"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0.941</w:t>
            </w:r>
          </w:p>
        </w:tc>
        <w:tc>
          <w:tcPr>
            <w:tcW w:w="790" w:type="pct"/>
            <w:tcBorders>
              <w:top w:val="single" w:sz="4" w:space="0" w:color="auto"/>
              <w:left w:val="single" w:sz="4" w:space="0" w:color="auto"/>
              <w:bottom w:val="single" w:sz="4" w:space="0" w:color="auto"/>
              <w:right w:val="single" w:sz="4" w:space="0" w:color="auto"/>
            </w:tcBorders>
          </w:tcPr>
          <w:p w14:paraId="6424B406"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0.944</w:t>
            </w:r>
          </w:p>
        </w:tc>
      </w:tr>
      <w:tr w:rsidR="00D46586" w14:paraId="3F4F3612" w14:textId="77777777">
        <w:trPr>
          <w:jc w:val="center"/>
        </w:trPr>
        <w:tc>
          <w:tcPr>
            <w:tcW w:w="1032" w:type="pct"/>
            <w:tcBorders>
              <w:top w:val="single" w:sz="4" w:space="0" w:color="auto"/>
              <w:left w:val="single" w:sz="4" w:space="0" w:color="auto"/>
              <w:bottom w:val="single" w:sz="4" w:space="0" w:color="auto"/>
              <w:right w:val="single" w:sz="4" w:space="0" w:color="auto"/>
            </w:tcBorders>
          </w:tcPr>
          <w:p w14:paraId="02919F57"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NDVI</w:t>
            </w:r>
          </w:p>
        </w:tc>
        <w:tc>
          <w:tcPr>
            <w:tcW w:w="795" w:type="pct"/>
            <w:tcBorders>
              <w:top w:val="single" w:sz="4" w:space="0" w:color="auto"/>
              <w:left w:val="single" w:sz="4" w:space="0" w:color="auto"/>
              <w:bottom w:val="single" w:sz="4" w:space="0" w:color="auto"/>
              <w:right w:val="single" w:sz="4" w:space="0" w:color="auto"/>
            </w:tcBorders>
          </w:tcPr>
          <w:p w14:paraId="279A8B9F"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0.723</w:t>
            </w:r>
          </w:p>
        </w:tc>
        <w:tc>
          <w:tcPr>
            <w:tcW w:w="794" w:type="pct"/>
            <w:tcBorders>
              <w:top w:val="single" w:sz="4" w:space="0" w:color="auto"/>
              <w:left w:val="single" w:sz="4" w:space="0" w:color="auto"/>
              <w:bottom w:val="single" w:sz="4" w:space="0" w:color="auto"/>
              <w:right w:val="single" w:sz="4" w:space="0" w:color="auto"/>
            </w:tcBorders>
          </w:tcPr>
          <w:p w14:paraId="6EEB2362"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0.940</w:t>
            </w:r>
          </w:p>
        </w:tc>
        <w:tc>
          <w:tcPr>
            <w:tcW w:w="794" w:type="pct"/>
            <w:tcBorders>
              <w:top w:val="single" w:sz="4" w:space="0" w:color="auto"/>
              <w:left w:val="single" w:sz="4" w:space="0" w:color="auto"/>
              <w:bottom w:val="single" w:sz="4" w:space="0" w:color="auto"/>
              <w:right w:val="single" w:sz="4" w:space="0" w:color="auto"/>
            </w:tcBorders>
          </w:tcPr>
          <w:p w14:paraId="4DB96887"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0.268</w:t>
            </w:r>
          </w:p>
        </w:tc>
        <w:tc>
          <w:tcPr>
            <w:tcW w:w="794" w:type="pct"/>
            <w:tcBorders>
              <w:top w:val="single" w:sz="4" w:space="0" w:color="auto"/>
              <w:left w:val="single" w:sz="4" w:space="0" w:color="auto"/>
              <w:bottom w:val="single" w:sz="4" w:space="0" w:color="auto"/>
              <w:right w:val="single" w:sz="4" w:space="0" w:color="auto"/>
            </w:tcBorders>
          </w:tcPr>
          <w:p w14:paraId="5CEBDBAF"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0.452</w:t>
            </w:r>
          </w:p>
        </w:tc>
        <w:tc>
          <w:tcPr>
            <w:tcW w:w="790" w:type="pct"/>
            <w:tcBorders>
              <w:top w:val="single" w:sz="4" w:space="0" w:color="auto"/>
              <w:left w:val="single" w:sz="4" w:space="0" w:color="auto"/>
              <w:bottom w:val="single" w:sz="4" w:space="0" w:color="auto"/>
              <w:right w:val="single" w:sz="4" w:space="0" w:color="auto"/>
            </w:tcBorders>
          </w:tcPr>
          <w:p w14:paraId="5F579DD7"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0.460</w:t>
            </w:r>
          </w:p>
        </w:tc>
      </w:tr>
      <w:tr w:rsidR="00D46586" w14:paraId="53E8976B" w14:textId="77777777">
        <w:trPr>
          <w:jc w:val="center"/>
        </w:trPr>
        <w:tc>
          <w:tcPr>
            <w:tcW w:w="1032" w:type="pct"/>
            <w:tcBorders>
              <w:top w:val="single" w:sz="4" w:space="0" w:color="auto"/>
              <w:left w:val="single" w:sz="4" w:space="0" w:color="auto"/>
              <w:bottom w:val="single" w:sz="4" w:space="0" w:color="auto"/>
              <w:right w:val="single" w:sz="4" w:space="0" w:color="auto"/>
            </w:tcBorders>
          </w:tcPr>
          <w:p w14:paraId="5CDA18C5"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WET</w:t>
            </w:r>
          </w:p>
        </w:tc>
        <w:tc>
          <w:tcPr>
            <w:tcW w:w="795" w:type="pct"/>
            <w:tcBorders>
              <w:top w:val="single" w:sz="4" w:space="0" w:color="auto"/>
              <w:left w:val="single" w:sz="4" w:space="0" w:color="auto"/>
              <w:bottom w:val="single" w:sz="4" w:space="0" w:color="auto"/>
              <w:right w:val="single" w:sz="4" w:space="0" w:color="auto"/>
            </w:tcBorders>
          </w:tcPr>
          <w:p w14:paraId="35F51B4D"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0.735</w:t>
            </w:r>
          </w:p>
        </w:tc>
        <w:tc>
          <w:tcPr>
            <w:tcW w:w="794" w:type="pct"/>
            <w:tcBorders>
              <w:top w:val="single" w:sz="4" w:space="0" w:color="auto"/>
              <w:left w:val="single" w:sz="4" w:space="0" w:color="auto"/>
              <w:bottom w:val="single" w:sz="4" w:space="0" w:color="auto"/>
              <w:right w:val="single" w:sz="4" w:space="0" w:color="auto"/>
            </w:tcBorders>
          </w:tcPr>
          <w:p w14:paraId="17253BBB"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0.941</w:t>
            </w:r>
          </w:p>
        </w:tc>
        <w:tc>
          <w:tcPr>
            <w:tcW w:w="794" w:type="pct"/>
            <w:tcBorders>
              <w:top w:val="single" w:sz="4" w:space="0" w:color="auto"/>
              <w:left w:val="single" w:sz="4" w:space="0" w:color="auto"/>
              <w:bottom w:val="single" w:sz="4" w:space="0" w:color="auto"/>
              <w:right w:val="single" w:sz="4" w:space="0" w:color="auto"/>
            </w:tcBorders>
          </w:tcPr>
          <w:p w14:paraId="0A7137D9"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0.452</w:t>
            </w:r>
          </w:p>
        </w:tc>
        <w:tc>
          <w:tcPr>
            <w:tcW w:w="794" w:type="pct"/>
            <w:tcBorders>
              <w:top w:val="single" w:sz="4" w:space="0" w:color="auto"/>
              <w:left w:val="single" w:sz="4" w:space="0" w:color="auto"/>
              <w:bottom w:val="single" w:sz="4" w:space="0" w:color="auto"/>
              <w:right w:val="single" w:sz="4" w:space="0" w:color="auto"/>
            </w:tcBorders>
          </w:tcPr>
          <w:p w14:paraId="34783B2D"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0.318</w:t>
            </w:r>
          </w:p>
        </w:tc>
        <w:tc>
          <w:tcPr>
            <w:tcW w:w="790" w:type="pct"/>
            <w:tcBorders>
              <w:top w:val="single" w:sz="4" w:space="0" w:color="auto"/>
              <w:left w:val="single" w:sz="4" w:space="0" w:color="auto"/>
              <w:bottom w:val="single" w:sz="4" w:space="0" w:color="auto"/>
              <w:right w:val="single" w:sz="4" w:space="0" w:color="auto"/>
            </w:tcBorders>
          </w:tcPr>
          <w:p w14:paraId="038301CC"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0.455</w:t>
            </w:r>
          </w:p>
        </w:tc>
      </w:tr>
      <w:tr w:rsidR="00D46586" w14:paraId="2712282C" w14:textId="77777777">
        <w:trPr>
          <w:jc w:val="center"/>
        </w:trPr>
        <w:tc>
          <w:tcPr>
            <w:tcW w:w="1032" w:type="pct"/>
            <w:tcBorders>
              <w:top w:val="single" w:sz="4" w:space="0" w:color="auto"/>
              <w:left w:val="single" w:sz="4" w:space="0" w:color="auto"/>
              <w:bottom w:val="single" w:sz="4" w:space="0" w:color="auto"/>
              <w:right w:val="single" w:sz="4" w:space="0" w:color="auto"/>
            </w:tcBorders>
          </w:tcPr>
          <w:p w14:paraId="1D05D970"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RSEI</w:t>
            </w:r>
          </w:p>
        </w:tc>
        <w:tc>
          <w:tcPr>
            <w:tcW w:w="795" w:type="pct"/>
            <w:tcBorders>
              <w:top w:val="single" w:sz="4" w:space="0" w:color="auto"/>
              <w:left w:val="single" w:sz="4" w:space="0" w:color="auto"/>
              <w:bottom w:val="single" w:sz="4" w:space="0" w:color="auto"/>
              <w:right w:val="single" w:sz="4" w:space="0" w:color="auto"/>
            </w:tcBorders>
          </w:tcPr>
          <w:p w14:paraId="047350F1"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0.891</w:t>
            </w:r>
          </w:p>
        </w:tc>
        <w:tc>
          <w:tcPr>
            <w:tcW w:w="794" w:type="pct"/>
            <w:tcBorders>
              <w:top w:val="single" w:sz="4" w:space="0" w:color="auto"/>
              <w:left w:val="single" w:sz="4" w:space="0" w:color="auto"/>
              <w:bottom w:val="single" w:sz="4" w:space="0" w:color="auto"/>
              <w:right w:val="single" w:sz="4" w:space="0" w:color="auto"/>
            </w:tcBorders>
          </w:tcPr>
          <w:p w14:paraId="56F4EA51"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0.944</w:t>
            </w:r>
          </w:p>
        </w:tc>
        <w:tc>
          <w:tcPr>
            <w:tcW w:w="794" w:type="pct"/>
            <w:tcBorders>
              <w:top w:val="single" w:sz="4" w:space="0" w:color="auto"/>
              <w:left w:val="single" w:sz="4" w:space="0" w:color="auto"/>
              <w:bottom w:val="single" w:sz="4" w:space="0" w:color="auto"/>
              <w:right w:val="single" w:sz="4" w:space="0" w:color="auto"/>
            </w:tcBorders>
          </w:tcPr>
          <w:p w14:paraId="0CCE0B2F"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0.460</w:t>
            </w:r>
          </w:p>
        </w:tc>
        <w:tc>
          <w:tcPr>
            <w:tcW w:w="794" w:type="pct"/>
            <w:tcBorders>
              <w:top w:val="single" w:sz="4" w:space="0" w:color="auto"/>
              <w:left w:val="single" w:sz="4" w:space="0" w:color="auto"/>
              <w:bottom w:val="single" w:sz="4" w:space="0" w:color="auto"/>
              <w:right w:val="single" w:sz="4" w:space="0" w:color="auto"/>
            </w:tcBorders>
          </w:tcPr>
          <w:p w14:paraId="578FB0D0"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0.455</w:t>
            </w:r>
          </w:p>
        </w:tc>
        <w:tc>
          <w:tcPr>
            <w:tcW w:w="790" w:type="pct"/>
            <w:tcBorders>
              <w:top w:val="single" w:sz="4" w:space="0" w:color="auto"/>
              <w:left w:val="single" w:sz="4" w:space="0" w:color="auto"/>
              <w:bottom w:val="single" w:sz="4" w:space="0" w:color="auto"/>
              <w:right w:val="single" w:sz="4" w:space="0" w:color="auto"/>
            </w:tcBorders>
          </w:tcPr>
          <w:p w14:paraId="3E7EF1E1" w14:textId="77777777" w:rsidR="00D46586" w:rsidRDefault="00000000">
            <w:pPr>
              <w:widowControl/>
              <w:spacing w:before="100" w:beforeAutospacing="1" w:line="273" w:lineRule="auto"/>
              <w:ind w:leftChars="0" w:left="0"/>
              <w:jc w:val="center"/>
              <w:rPr>
                <w:rFonts w:ascii="宋体" w:eastAsia="Times New Roman" w:hAnsi="宋体" w:cs="Times New Roman"/>
                <w:kern w:val="0"/>
              </w:rPr>
            </w:pPr>
            <w:r>
              <w:rPr>
                <w:rFonts w:ascii="宋体" w:eastAsia="Times New Roman" w:hAnsi="宋体" w:cs="Times New Roman"/>
                <w:kern w:val="0"/>
                <w:sz w:val="18"/>
                <w:szCs w:val="18"/>
              </w:rPr>
              <w:t>0.332</w:t>
            </w:r>
          </w:p>
        </w:tc>
      </w:tr>
    </w:tbl>
    <w:p w14:paraId="7E9BD4E1" w14:textId="77777777" w:rsidR="00D46586" w:rsidRDefault="00D46586">
      <w:pPr>
        <w:pStyle w:val="a3"/>
        <w:ind w:left="480" w:firstLine="480"/>
      </w:pPr>
    </w:p>
    <w:p w14:paraId="3B42C515" w14:textId="77777777" w:rsidR="00D46586" w:rsidRDefault="00000000">
      <w:pPr>
        <w:pStyle w:val="a3"/>
        <w:ind w:left="480" w:firstLine="480"/>
      </w:pPr>
      <w:r>
        <w:t>交互探测结果揭示了三个层级的系统性规律：</w:t>
      </w:r>
    </w:p>
    <w:p w14:paraId="0B8F8E86" w14:textId="77777777" w:rsidR="00D46586" w:rsidRDefault="00000000">
      <w:pPr>
        <w:pStyle w:val="a3"/>
        <w:ind w:left="480" w:firstLine="480"/>
      </w:pPr>
      <w:r>
        <w:t>交互矩阵中最为突出的特征，是</w:t>
      </w:r>
      <w:r>
        <w:t>NDBSI ∩ LST = 0.946</w:t>
      </w:r>
      <w:r>
        <w:t>，这是全矩阵</w:t>
      </w:r>
      <w:r>
        <w:t>10</w:t>
      </w:r>
      <w:r>
        <w:t>个</w:t>
      </w:r>
      <w:proofErr w:type="gramStart"/>
      <w:r>
        <w:t>交互对</w:t>
      </w:r>
      <w:proofErr w:type="gramEnd"/>
      <w:r>
        <w:t>中的最高值，也是所有单因子与交互组合中的全局最大值；</w:t>
      </w:r>
      <w:r>
        <w:t>NDBSI</w:t>
      </w:r>
      <w:r>
        <w:t>与其余三个因子的全部交互</w:t>
      </w:r>
      <w:r>
        <w:t>q</w:t>
      </w:r>
      <w:r>
        <w:t>值均超过</w:t>
      </w:r>
      <w:r>
        <w:t>0.940</w:t>
      </w:r>
      <w:r>
        <w:t>，构成了一个以</w:t>
      </w:r>
      <w:r>
        <w:t>NDBSI</w:t>
      </w:r>
      <w:r>
        <w:t>为核心的</w:t>
      </w:r>
      <w:r>
        <w:t>"</w:t>
      </w:r>
      <w:r>
        <w:t>超高交互</w:t>
      </w:r>
      <w:r>
        <w:t>q</w:t>
      </w:r>
      <w:proofErr w:type="gramStart"/>
      <w:r>
        <w:t>值簇</w:t>
      </w:r>
      <w:proofErr w:type="gramEnd"/>
      <w:r>
        <w:t>"</w:t>
      </w:r>
      <w:r>
        <w:t>。这一现象具有深刻的生态地理学内涵：地表干化是交互放大效应的绝对枢纽，</w:t>
      </w:r>
      <w:r>
        <w:t>NDBSI</w:t>
      </w:r>
      <w:r>
        <w:t>与任一因子组合后，其交互</w:t>
      </w:r>
      <w:r>
        <w:t>q</w:t>
      </w:r>
      <w:r>
        <w:t>值始终</w:t>
      </w:r>
      <w:r>
        <w:t>≥0.940</w:t>
      </w:r>
      <w:r>
        <w:t>，意味着干度对生态质量的压制并非独立施加，而是通过与热量、水分、植被等因子的空间叠加产生交互放大；在西部科尔沁沙地边缘，裸土高</w:t>
      </w:r>
      <w:r>
        <w:t>NDBSI</w:t>
      </w:r>
      <w:r>
        <w:t>区与高</w:t>
      </w:r>
      <w:r>
        <w:t>LST</w:t>
      </w:r>
      <w:proofErr w:type="gramStart"/>
      <w:r>
        <w:t>区空间</w:t>
      </w:r>
      <w:proofErr w:type="gramEnd"/>
      <w:r>
        <w:t>重合，使干热胁迫以非线性方式急剧放大，裸土的低热容量导致地表急剧升温，高温加剧土壤水分蒸发，水分亏缺又进一步抑制植被定植，形成</w:t>
      </w:r>
      <w:r>
        <w:t>"</w:t>
      </w:r>
      <w:r>
        <w:t>干化</w:t>
      </w:r>
      <w:r>
        <w:t>—</w:t>
      </w:r>
      <w:r>
        <w:t>增温</w:t>
      </w:r>
      <w:r>
        <w:t>—</w:t>
      </w:r>
      <w:r>
        <w:t>失水</w:t>
      </w:r>
      <w:r>
        <w:t>—</w:t>
      </w:r>
      <w:r>
        <w:t>退化</w:t>
      </w:r>
      <w:r>
        <w:t>"</w:t>
      </w:r>
      <w:r>
        <w:t>的恶性正反馈循环。</w:t>
      </w:r>
    </w:p>
    <w:p w14:paraId="1D5B60A1" w14:textId="77777777" w:rsidR="00D46586" w:rsidRDefault="00000000">
      <w:pPr>
        <w:pStyle w:val="a3"/>
        <w:ind w:left="480" w:firstLine="480"/>
      </w:pPr>
      <w:r>
        <w:t>LST ∩ NDBSI = 0.946</w:t>
      </w:r>
      <w:r>
        <w:t>是</w:t>
      </w:r>
      <w:r>
        <w:t>"</w:t>
      </w:r>
      <w:r>
        <w:t>干热协同</w:t>
      </w:r>
      <w:r>
        <w:t>"</w:t>
      </w:r>
      <w:r>
        <w:t>效应的地理探测器量化证据，高温区与高干度区在空间上的双重叠加，构成了难以被单</w:t>
      </w:r>
      <w:proofErr w:type="gramStart"/>
      <w:r>
        <w:t>一</w:t>
      </w:r>
      <w:proofErr w:type="gramEnd"/>
      <w:r>
        <w:t>生态修复措施打破的系统性</w:t>
      </w:r>
      <w:r>
        <w:t>"</w:t>
      </w:r>
      <w:r>
        <w:t>环境胁迫枷锁</w:t>
      </w:r>
      <w:r>
        <w:t>"</w:t>
      </w:r>
      <w:r>
        <w:t>；防护林工程之所以成效显著，恰恰是因为大规模造林通过增加植被覆盖降低了地表温度、固定了沙土，从而同时削弱了干热复合胁迫的两个维度，实现了对</w:t>
      </w:r>
      <w:r>
        <w:t>"</w:t>
      </w:r>
      <w:r>
        <w:t>干热锁死</w:t>
      </w:r>
      <w:r>
        <w:t>"</w:t>
      </w:r>
      <w:r>
        <w:t>效应的结构性突破，这正是三北防护林生态修复机制中</w:t>
      </w:r>
      <w:proofErr w:type="gramStart"/>
      <w:r>
        <w:t>最</w:t>
      </w:r>
      <w:proofErr w:type="gramEnd"/>
      <w:r>
        <w:t>核心的科学发现。</w:t>
      </w:r>
    </w:p>
    <w:p w14:paraId="5596D1EF" w14:textId="77777777" w:rsidR="00D46586" w:rsidRDefault="00000000">
      <w:pPr>
        <w:pStyle w:val="a3"/>
        <w:ind w:left="480" w:firstLine="480"/>
      </w:pPr>
      <w:r>
        <w:lastRenderedPageBreak/>
        <w:t>交互矩阵中最具学术创新价值的发现是</w:t>
      </w:r>
      <w:r>
        <w:t>NDVI ∩ WET = 0.452</w:t>
      </w:r>
      <w:r>
        <w:t>，而二者单因子</w:t>
      </w:r>
      <w:r>
        <w:t>q</w:t>
      </w:r>
      <w:r>
        <w:t>值分别仅为</w:t>
      </w:r>
      <w:r>
        <w:t>0.268</w:t>
      </w:r>
      <w:r>
        <w:t>和</w:t>
      </w:r>
      <w:r>
        <w:t>0.318</w:t>
      </w:r>
      <w:r>
        <w:t>，交互后解释力较</w:t>
      </w:r>
      <w:r>
        <w:t>NDVI</w:t>
      </w:r>
      <w:r>
        <w:t>提升了</w:t>
      </w:r>
      <w:r>
        <w:t>68.7%</w:t>
      </w:r>
      <w:r>
        <w:t>、较</w:t>
      </w:r>
      <w:r>
        <w:t>WET</w:t>
      </w:r>
      <w:r>
        <w:t>提升了</w:t>
      </w:r>
      <w:r>
        <w:t>42.1%</w:t>
      </w:r>
      <w:r>
        <w:t>，表现为典型的双因子非线性增强效应；植被恢复与局地保水控湿的空间协同，是防护林生态效益的核心机制</w:t>
      </w:r>
      <w:r>
        <w:t>——NDVI</w:t>
      </w:r>
      <w:r>
        <w:t>与</w:t>
      </w:r>
      <w:r>
        <w:t>WET</w:t>
      </w:r>
      <w:r>
        <w:t>的单因子解释力均处于中低水平，孤立地增加植被或改善水分条件，对综合生态质量的独立贡献有限，然而当二者在空间上协同发生时，其综合生态效应便通过交互放大机制产生质的飞跃；这一发现从地理探测器角度首次量化证实了，吉林省防护林的恢复成效绝非</w:t>
      </w:r>
      <w:r>
        <w:t>"</w:t>
      </w:r>
      <w:proofErr w:type="gramStart"/>
      <w:r>
        <w:t>单一复绿</w:t>
      </w:r>
      <w:proofErr w:type="gramEnd"/>
      <w:r>
        <w:t>"</w:t>
      </w:r>
      <w:r>
        <w:t>，而是植被盖度与局地保水控湿在空间上的动态协同耦合，这是防护林工程对区域生态基质进行系统性改良的根本科学机制。</w:t>
      </w:r>
    </w:p>
    <w:p w14:paraId="1600A8AD" w14:textId="77777777" w:rsidR="00D46586" w:rsidRDefault="00000000">
      <w:pPr>
        <w:pStyle w:val="a3"/>
        <w:ind w:left="480" w:firstLine="480"/>
      </w:pPr>
      <w:r>
        <w:t>"</w:t>
      </w:r>
      <w:proofErr w:type="gramStart"/>
      <w:r>
        <w:t>绿</w:t>
      </w:r>
      <w:r>
        <w:t>—</w:t>
      </w:r>
      <w:r>
        <w:t>湿协同</w:t>
      </w:r>
      <w:proofErr w:type="gramEnd"/>
      <w:r>
        <w:t>"</w:t>
      </w:r>
      <w:r>
        <w:t>为干旱半干旱区生态修复提供了可推广的方法论：在吉林省西部半干旱地区，仅靠单一树种的大规模种植而忽视水分承载力的匹配，生态修复效果将大打折扣，真正有效的生态修复必须是</w:t>
      </w:r>
      <w:r>
        <w:t>"</w:t>
      </w:r>
      <w:r>
        <w:t>增绿</w:t>
      </w:r>
      <w:r>
        <w:t>"</w:t>
      </w:r>
      <w:r>
        <w:t>与</w:t>
      </w:r>
      <w:r>
        <w:t>"</w:t>
      </w:r>
      <w:r>
        <w:t>保水</w:t>
      </w:r>
      <w:r>
        <w:t>"</w:t>
      </w:r>
      <w:r>
        <w:t>同步推进，通过选择适生耐旱树种、优化林分配置以截留降水、改善土壤结构以增强持水能力，实现植被与水分的空间协同增益，这一结论为三北防护林后续工程从</w:t>
      </w:r>
      <w:r>
        <w:t>"</w:t>
      </w:r>
      <w:r>
        <w:t>面积扩张型</w:t>
      </w:r>
      <w:r>
        <w:t>"</w:t>
      </w:r>
      <w:r>
        <w:t>向</w:t>
      </w:r>
      <w:r>
        <w:t>"</w:t>
      </w:r>
      <w:r>
        <w:t>质量增效型</w:t>
      </w:r>
      <w:r>
        <w:t>"</w:t>
      </w:r>
      <w:r>
        <w:t>的转型提供了关键科学依据。</w:t>
      </w:r>
    </w:p>
    <w:p w14:paraId="3253A913" w14:textId="77777777" w:rsidR="00D46586" w:rsidRDefault="00000000">
      <w:pPr>
        <w:pStyle w:val="a3"/>
        <w:ind w:left="480" w:firstLine="480"/>
      </w:pPr>
      <w:r>
        <w:t>纵观全矩阵</w:t>
      </w:r>
      <w:r>
        <w:t>10</w:t>
      </w:r>
      <w:r>
        <w:t>个交互对，可提炼出三条系统性规律：（</w:t>
      </w:r>
      <w:r>
        <w:t>1</w:t>
      </w:r>
      <w:r>
        <w:t>）全部交互均为双因子增强型，无非线性增强型检出，</w:t>
      </w:r>
      <w:r>
        <w:t>10</w:t>
      </w:r>
      <w:r>
        <w:t>个</w:t>
      </w:r>
      <w:proofErr w:type="gramStart"/>
      <w:r>
        <w:t>交互对</w:t>
      </w:r>
      <w:proofErr w:type="gramEnd"/>
      <w:r>
        <w:t>均满足</w:t>
      </w:r>
      <w:r>
        <w:t>q(A∩B) &gt; max(q(A), q(B))</w:t>
      </w:r>
      <w:r>
        <w:t>，说明任意两项生态因子间均存在显著的交互放大效应，生态系统的多因子耦合本质决定了驱动因子分析必须纳入交互视角；（</w:t>
      </w:r>
      <w:r>
        <w:t>2</w:t>
      </w:r>
      <w:r>
        <w:t>）</w:t>
      </w:r>
      <w:r>
        <w:t>"</w:t>
      </w:r>
      <w:r>
        <w:t>干热类</w:t>
      </w:r>
      <w:r>
        <w:t>"</w:t>
      </w:r>
      <w:r>
        <w:t>因子的交互强度系统性高于</w:t>
      </w:r>
      <w:r>
        <w:t>"</w:t>
      </w:r>
      <w:proofErr w:type="gramStart"/>
      <w:r>
        <w:t>湿绿类</w:t>
      </w:r>
      <w:proofErr w:type="gramEnd"/>
      <w:r>
        <w:t>"</w:t>
      </w:r>
      <w:r>
        <w:t>因子，</w:t>
      </w:r>
      <w:r>
        <w:t>NDBSI</w:t>
      </w:r>
      <w:r>
        <w:t>和</w:t>
      </w:r>
      <w:r>
        <w:t>LST</w:t>
      </w:r>
      <w:r>
        <w:t>参与的</w:t>
      </w:r>
      <w:proofErr w:type="gramStart"/>
      <w:r>
        <w:t>交互对</w:t>
      </w:r>
      <w:proofErr w:type="gramEnd"/>
      <w:r>
        <w:t>q</w:t>
      </w:r>
      <w:r>
        <w:t>值均处于</w:t>
      </w:r>
      <w:r>
        <w:t>0.72—0.95</w:t>
      </w:r>
      <w:r>
        <w:t>区间的高值段，而</w:t>
      </w:r>
      <w:r>
        <w:t>NDVI</w:t>
      </w:r>
      <w:r>
        <w:t>和</w:t>
      </w:r>
      <w:r>
        <w:t>WET</w:t>
      </w:r>
      <w:r>
        <w:t>之间的交互及其与</w:t>
      </w:r>
      <w:r>
        <w:t>RSEI</w:t>
      </w:r>
      <w:r>
        <w:t>的交互则位于</w:t>
      </w:r>
      <w:r>
        <w:t>0.45—0.46</w:t>
      </w:r>
      <w:r>
        <w:t>区间的中值段，这种两段式分布格局深刻揭示了</w:t>
      </w:r>
      <w:r>
        <w:t>"</w:t>
      </w:r>
      <w:r>
        <w:t>干热复合胁迫是该区域生态脆弱性的第一性原理</w:t>
      </w:r>
      <w:r>
        <w:t>"</w:t>
      </w:r>
      <w:r>
        <w:t>，生态退化因子的杀伤力远大于恢复因子的修复力，生态修复的</w:t>
      </w:r>
      <w:proofErr w:type="gramStart"/>
      <w:r>
        <w:t>优先序应为</w:t>
      </w:r>
      <w:proofErr w:type="gramEnd"/>
      <w:r>
        <w:t>"</w:t>
      </w:r>
      <w:proofErr w:type="gramStart"/>
      <w:r>
        <w:t>先控损、后促</w:t>
      </w:r>
      <w:proofErr w:type="gramEnd"/>
      <w:r>
        <w:t>优</w:t>
      </w:r>
      <w:r>
        <w:t>"</w:t>
      </w:r>
      <w:r>
        <w:t>；（</w:t>
      </w:r>
      <w:r>
        <w:t>3</w:t>
      </w:r>
      <w:r>
        <w:t>）</w:t>
      </w:r>
      <w:r>
        <w:t>RSEI ∩ NDBSI = 0.944</w:t>
      </w:r>
      <w:r>
        <w:t>，</w:t>
      </w:r>
      <w:r>
        <w:t>RSEI ∩ LST = 0.891</w:t>
      </w:r>
      <w:r>
        <w:t>，表明综合生态质量的空间格局与干热胁迫梯度高度共线，而</w:t>
      </w:r>
      <w:r>
        <w:t>RSEI ∩ NDVI = 0.460</w:t>
      </w:r>
      <w:r>
        <w:t>、</w:t>
      </w:r>
      <w:r>
        <w:t>RSEI ∩ WET = 0.455</w:t>
      </w:r>
      <w:r>
        <w:t>，互动强度仅处于中等水平，说明优生态区并不简单等同</w:t>
      </w:r>
      <w:proofErr w:type="gramStart"/>
      <w:r>
        <w:t>于高绿量</w:t>
      </w:r>
      <w:proofErr w:type="gramEnd"/>
      <w:r>
        <w:t>区或高湿度区，而是多因子协同优化的综合结果，这从方法论层面支持</w:t>
      </w:r>
      <w:r>
        <w:lastRenderedPageBreak/>
        <w:t>了</w:t>
      </w:r>
      <w:r>
        <w:t>RSEI</w:t>
      </w:r>
      <w:r>
        <w:t>作为多维生态信息集成指标的必要性。</w:t>
      </w:r>
    </w:p>
    <w:p w14:paraId="4E8A0888" w14:textId="77777777" w:rsidR="00D46586" w:rsidRDefault="00000000">
      <w:pPr>
        <w:pStyle w:val="a3"/>
        <w:ind w:left="480" w:firstLine="480"/>
      </w:pPr>
      <w:r>
        <w:t>与同类研究的对比：本研究中全部</w:t>
      </w:r>
      <w:proofErr w:type="gramStart"/>
      <w:r>
        <w:t>交互对</w:t>
      </w:r>
      <w:proofErr w:type="gramEnd"/>
      <w:r>
        <w:t>均为双因子增强型，而渭河流域该比率约为</w:t>
      </w:r>
      <w:r>
        <w:t>70%</w:t>
      </w:r>
      <w:r>
        <w:t>，黄土高原区约为</w:t>
      </w:r>
      <w:r>
        <w:t>75%</w:t>
      </w:r>
      <w:r>
        <w:t>，吉林省三北区域</w:t>
      </w:r>
      <w:r>
        <w:t>100%</w:t>
      </w:r>
      <w:r>
        <w:t>的全因子交互增强检出率，反映了该区域生态系统各维度之间空间耦合的全面性和紧密性，也从方法论层面佐证了</w:t>
      </w:r>
      <w:r>
        <w:t>RSEI</w:t>
      </w:r>
      <w:r>
        <w:t>多维集成指标在研究区的适用性优于任何单一生态指标。</w:t>
      </w:r>
    </w:p>
    <w:p w14:paraId="20761FF3" w14:textId="77777777" w:rsidR="00D46586" w:rsidRDefault="00000000">
      <w:pPr>
        <w:pStyle w:val="b63ee27f-4cf3-414c-9275-d88e3f90795e"/>
        <w:spacing w:before="78" w:after="78"/>
        <w:ind w:left="480"/>
        <w:rPr>
          <w:rFonts w:ascii="宋体" w:eastAsia="宋体" w:hAnsi="宋体" w:cs="宋体" w:hint="eastAsia"/>
          <w:sz w:val="30"/>
          <w:szCs w:val="30"/>
        </w:rPr>
      </w:pPr>
      <w:bookmarkStart w:id="161" w:name="_Toc230815694"/>
      <w:r>
        <w:rPr>
          <w:rFonts w:ascii="宋体" w:eastAsia="宋体" w:hAnsi="宋体" w:cs="宋体" w:hint="eastAsia"/>
          <w:sz w:val="30"/>
          <w:szCs w:val="30"/>
        </w:rPr>
        <w:t>4.6 本章小结</w:t>
      </w:r>
      <w:bookmarkEnd w:id="161"/>
    </w:p>
    <w:p w14:paraId="6EB47F3F" w14:textId="77777777" w:rsidR="00D46586" w:rsidRDefault="00000000">
      <w:pPr>
        <w:pStyle w:val="a3"/>
        <w:ind w:left="480" w:firstLine="480"/>
      </w:pPr>
      <w:r>
        <w:t>本章基于遥感生态指数（</w:t>
      </w:r>
      <w:r>
        <w:t>RSEI</w:t>
      </w:r>
      <w:r>
        <w:t>），综合运用主成分分析、皮尔逊相关分析、生态等级分类统计、空间差值图谱和地理探测器模型，系统分析了吉林省三北防护林区域</w:t>
      </w:r>
      <w:r>
        <w:t>1985—2020</w:t>
      </w:r>
      <w:r>
        <w:t>年生态环境质量的时空演变格局及驱动机制，主要结论如下：</w:t>
      </w:r>
    </w:p>
    <w:p w14:paraId="1D828927" w14:textId="77777777" w:rsidR="00D46586" w:rsidRDefault="00000000">
      <w:pPr>
        <w:pStyle w:val="a3"/>
        <w:ind w:left="480" w:firstLine="480"/>
      </w:pPr>
      <w:r>
        <w:t>（</w:t>
      </w:r>
      <w:r>
        <w:t>1</w:t>
      </w:r>
      <w:r>
        <w:t>）</w:t>
      </w:r>
      <w:r>
        <w:t>RSEI</w:t>
      </w:r>
      <w:r>
        <w:t>指标集成体系科学稳健。七期</w:t>
      </w:r>
      <w:r>
        <w:t>PCA</w:t>
      </w:r>
      <w:r>
        <w:t>结果显示，</w:t>
      </w:r>
      <w:r>
        <w:t>PC1</w:t>
      </w:r>
      <w:r>
        <w:t>方差贡献率均超过</w:t>
      </w:r>
      <w:r>
        <w:t>85%</w:t>
      </w:r>
      <w:r>
        <w:t>（</w:t>
      </w:r>
      <w:r>
        <w:t>85.92%—91.04%</w:t>
      </w:r>
      <w:r>
        <w:t>），四项指标的特征向量符号方向在各时相中高度一致；</w:t>
      </w:r>
      <w:r>
        <w:t>NDBSI</w:t>
      </w:r>
      <w:r>
        <w:t>是</w:t>
      </w:r>
      <w:r>
        <w:t>PC1</w:t>
      </w:r>
      <w:r>
        <w:t>中权重最高的单一指标（</w:t>
      </w:r>
      <w:r>
        <w:t>|</w:t>
      </w:r>
      <w:r>
        <w:t>载荷</w:t>
      </w:r>
      <w:r>
        <w:t>|</w:t>
      </w:r>
      <w:r>
        <w:t>均值</w:t>
      </w:r>
      <w:r>
        <w:t>0.515</w:t>
      </w:r>
      <w:r>
        <w:t>），贡献率高于福州盆地和渭河流域的同类结果，反映了研究区地表覆盖的相对均质性和四分量共线结构的紧凑性。</w:t>
      </w:r>
    </w:p>
    <w:p w14:paraId="33D45AFC" w14:textId="77777777" w:rsidR="00D46586" w:rsidRDefault="00000000">
      <w:pPr>
        <w:pStyle w:val="a3"/>
        <w:ind w:left="480" w:firstLine="480"/>
      </w:pPr>
      <w:r>
        <w:t>（</w:t>
      </w:r>
      <w:r>
        <w:t>2</w:t>
      </w:r>
      <w:r>
        <w:t>）全域生态质量实现了根本性、整体性的正向转变。</w:t>
      </w:r>
      <w:r>
        <w:t>RSEI</w:t>
      </w:r>
      <w:r>
        <w:t>全域均值由</w:t>
      </w:r>
      <w:r>
        <w:t>0.551</w:t>
      </w:r>
      <w:r>
        <w:t>提升至</w:t>
      </w:r>
      <w:r>
        <w:t>0.727</w:t>
      </w:r>
      <w:r>
        <w:t>，净增</w:t>
      </w:r>
      <w:r>
        <w:t>+0.176</w:t>
      </w:r>
      <w:r>
        <w:t>（</w:t>
      </w:r>
      <w:r>
        <w:t>+32.0%</w:t>
      </w:r>
      <w:r>
        <w:t>），标准差由</w:t>
      </w:r>
      <w:r>
        <w:t>0.190</w:t>
      </w:r>
      <w:r>
        <w:t>降至</w:t>
      </w:r>
      <w:r>
        <w:t>0.107</w:t>
      </w:r>
      <w:r>
        <w:t>（</w:t>
      </w:r>
      <w:r>
        <w:t>−43.9%</w:t>
      </w:r>
      <w:r>
        <w:t>）；</w:t>
      </w:r>
      <w:r>
        <w:t>35</w:t>
      </w:r>
      <w:r>
        <w:t>年演变划分为快速跃升期（</w:t>
      </w:r>
      <w:r>
        <w:t>1985—1994</w:t>
      </w:r>
      <w:r>
        <w:t>）、平台波动期（</w:t>
      </w:r>
      <w:r>
        <w:t>1995—2004</w:t>
      </w:r>
      <w:r>
        <w:t>）、二次跃升期（</w:t>
      </w:r>
      <w:r>
        <w:t>2005—2014</w:t>
      </w:r>
      <w:r>
        <w:t>）和均质优化期（</w:t>
      </w:r>
      <w:r>
        <w:t>2015—2020</w:t>
      </w:r>
      <w:r>
        <w:t>）四个阶段，与三北防护林一至五期工程建设节律高度吻合；净增幅超出毛乌素沙地和黄土高原退耕还林区</w:t>
      </w:r>
      <w:r>
        <w:t>47%—76%</w:t>
      </w:r>
      <w:r>
        <w:t>。</w:t>
      </w:r>
    </w:p>
    <w:p w14:paraId="74B349C3" w14:textId="77777777" w:rsidR="00D46586" w:rsidRDefault="00000000">
      <w:pPr>
        <w:pStyle w:val="a3"/>
        <w:ind w:left="480" w:firstLine="480"/>
      </w:pPr>
      <w:r>
        <w:t>（</w:t>
      </w:r>
      <w:r>
        <w:t>3</w:t>
      </w:r>
      <w:r>
        <w:t>）生态质量等级结构实现了从</w:t>
      </w:r>
      <w:r>
        <w:t>"</w:t>
      </w:r>
      <w:r>
        <w:t>橄榄型</w:t>
      </w:r>
      <w:r>
        <w:t>"</w:t>
      </w:r>
      <w:r>
        <w:t>到</w:t>
      </w:r>
      <w:r>
        <w:t>"</w:t>
      </w:r>
      <w:r>
        <w:t>金字塔型</w:t>
      </w:r>
      <w:r>
        <w:t>"</w:t>
      </w:r>
      <w:r>
        <w:t>的历史性跨越。差等与较差等面积合计由</w:t>
      </w:r>
      <w:r>
        <w:t>25.00%</w:t>
      </w:r>
      <w:r>
        <w:t>骤降至</w:t>
      </w:r>
      <w:r>
        <w:t>0.01%</w:t>
      </w:r>
      <w:r>
        <w:t>，良等与优等合计由</w:t>
      </w:r>
      <w:r>
        <w:t>41.22%</w:t>
      </w:r>
      <w:r>
        <w:t>跃升至</w:t>
      </w:r>
      <w:r>
        <w:t>84.33%</w:t>
      </w:r>
      <w:r>
        <w:t>；等级演变呈</w:t>
      </w:r>
      <w:r>
        <w:t>"</w:t>
      </w:r>
      <w:r>
        <w:t>脉冲</w:t>
      </w:r>
      <w:r>
        <w:t>—</w:t>
      </w:r>
      <w:r>
        <w:t>稳态</w:t>
      </w:r>
      <w:r>
        <w:t>"</w:t>
      </w:r>
      <w:r>
        <w:t>交替模式，初期以跨级跳跃为主，中后期以逐级递进为主，反映了生态修复从</w:t>
      </w:r>
      <w:r>
        <w:t>"</w:t>
      </w:r>
      <w:r>
        <w:t>外伤急救</w:t>
      </w:r>
      <w:r>
        <w:t>"</w:t>
      </w:r>
      <w:r>
        <w:t>向</w:t>
      </w:r>
      <w:r>
        <w:t>"</w:t>
      </w:r>
      <w:r>
        <w:t>慢性自愈</w:t>
      </w:r>
      <w:r>
        <w:t>"</w:t>
      </w:r>
      <w:r>
        <w:t>的阶段转换。</w:t>
      </w:r>
    </w:p>
    <w:p w14:paraId="1D21C457" w14:textId="77777777" w:rsidR="00D46586" w:rsidRDefault="00000000">
      <w:pPr>
        <w:pStyle w:val="a3"/>
        <w:ind w:left="480" w:firstLine="480"/>
      </w:pPr>
      <w:r>
        <w:t>（</w:t>
      </w:r>
      <w:r>
        <w:t>4</w:t>
      </w:r>
      <w:r>
        <w:t>）</w:t>
      </w:r>
      <w:r>
        <w:t>35</w:t>
      </w:r>
      <w:r>
        <w:t>年变化幅度呈压倒性改善格局。改善区占全域</w:t>
      </w:r>
      <w:r>
        <w:t>78.16%</w:t>
      </w:r>
      <w:r>
        <w:t>，改善</w:t>
      </w:r>
      <w:r>
        <w:t>/</w:t>
      </w:r>
      <w:r>
        <w:lastRenderedPageBreak/>
        <w:t>退化比达</w:t>
      </w:r>
      <w:r>
        <w:t>16.0</w:t>
      </w:r>
      <w:r>
        <w:rPr>
          <w:rFonts w:ascii="Cambria Math" w:hAnsi="Cambria Math" w:cs="Cambria Math"/>
        </w:rPr>
        <w:t>∶</w:t>
      </w:r>
      <w:r>
        <w:t>1</w:t>
      </w:r>
      <w:r>
        <w:t>，显著优于黄土高原（</w:t>
      </w:r>
      <w:r>
        <w:t>8</w:t>
      </w:r>
      <w:r>
        <w:rPr>
          <w:rFonts w:ascii="Cambria Math" w:hAnsi="Cambria Math" w:cs="Cambria Math"/>
        </w:rPr>
        <w:t>∶</w:t>
      </w:r>
      <w:r>
        <w:t>1</w:t>
      </w:r>
      <w:r>
        <w:t>）、毛乌素沙地（</w:t>
      </w:r>
      <w:r>
        <w:t>5</w:t>
      </w:r>
      <w:r>
        <w:rPr>
          <w:rFonts w:ascii="Cambria Math" w:hAnsi="Cambria Math" w:cs="Cambria Math"/>
        </w:rPr>
        <w:t>∶</w:t>
      </w:r>
      <w:r>
        <w:t>1</w:t>
      </w:r>
      <w:r>
        <w:t>）和科尔沁沙地（</w:t>
      </w:r>
      <w:r>
        <w:t>4</w:t>
      </w:r>
      <w:r>
        <w:rPr>
          <w:rFonts w:ascii="Cambria Math" w:hAnsi="Cambria Math" w:cs="Cambria Math"/>
        </w:rPr>
        <w:t>∶</w:t>
      </w:r>
      <w:r>
        <w:t>1</w:t>
      </w:r>
      <w:r>
        <w:t>）；</w:t>
      </w:r>
      <w:r>
        <w:t>47.28%</w:t>
      </w:r>
      <w:r>
        <w:t>的像元集中在中度改善等级，</w:t>
      </w:r>
      <w:r>
        <w:t>30.88%</w:t>
      </w:r>
      <w:r>
        <w:t>实现显著改善，空间</w:t>
      </w:r>
      <w:proofErr w:type="gramStart"/>
      <w:r>
        <w:t>分异呈</w:t>
      </w:r>
      <w:proofErr w:type="gramEnd"/>
      <w:r>
        <w:t>"</w:t>
      </w:r>
      <w:r>
        <w:t>西部剧烈改善、中部温和提升、东部高位稳定</w:t>
      </w:r>
      <w:r>
        <w:t>"</w:t>
      </w:r>
      <w:r>
        <w:t>的三段式格局。</w:t>
      </w:r>
    </w:p>
    <w:p w14:paraId="3375F2E1" w14:textId="77777777" w:rsidR="00D46586" w:rsidRDefault="00000000">
      <w:pPr>
        <w:pStyle w:val="a3"/>
        <w:ind w:left="480" w:firstLine="480"/>
      </w:pPr>
      <w:r>
        <w:t>（</w:t>
      </w:r>
      <w:r>
        <w:t>5</w:t>
      </w:r>
      <w:r>
        <w:t>）皮尔逊相关分析揭示了清晰的</w:t>
      </w:r>
      <w:r>
        <w:t>"</w:t>
      </w:r>
      <w:proofErr w:type="gramStart"/>
      <w:r>
        <w:t>正</w:t>
      </w:r>
      <w:r>
        <w:t>—</w:t>
      </w:r>
      <w:r>
        <w:t>负</w:t>
      </w:r>
      <w:proofErr w:type="gramEnd"/>
      <w:r>
        <w:t>"</w:t>
      </w:r>
      <w:r>
        <w:t>二元结构与五环传导链。</w:t>
      </w:r>
      <w:r>
        <w:t>WET</w:t>
      </w:r>
      <w:r>
        <w:t>（</w:t>
      </w:r>
      <w:r>
        <w:t>r=0.881</w:t>
      </w:r>
      <w:r>
        <w:t>）和</w:t>
      </w:r>
      <w:r>
        <w:t>NDVI</w:t>
      </w:r>
      <w:r>
        <w:t>（</w:t>
      </w:r>
      <w:r>
        <w:t>r=0.856</w:t>
      </w:r>
      <w:r>
        <w:t>）与</w:t>
      </w:r>
      <w:r>
        <w:t>RSEI</w:t>
      </w:r>
      <w:r>
        <w:t>呈强正相关，</w:t>
      </w:r>
      <w:r>
        <w:t>NDBSI</w:t>
      </w:r>
      <w:r>
        <w:t>（</w:t>
      </w:r>
      <w:r>
        <w:t>r=−0.924</w:t>
      </w:r>
      <w:r>
        <w:t>）和</w:t>
      </w:r>
      <w:r>
        <w:t>LST</w:t>
      </w:r>
      <w:r>
        <w:t>（</w:t>
      </w:r>
      <w:r>
        <w:t>r=−0.619</w:t>
      </w:r>
      <w:r>
        <w:t>）呈负相关；</w:t>
      </w:r>
      <w:r>
        <w:t>RSEI—WET</w:t>
      </w:r>
      <w:r>
        <w:t>耦合度显著高于渭河流域和京津</w:t>
      </w:r>
      <w:proofErr w:type="gramStart"/>
      <w:r>
        <w:t>冀城</w:t>
      </w:r>
      <w:proofErr w:type="gramEnd"/>
      <w:r>
        <w:t>市群；各因子</w:t>
      </w:r>
      <w:proofErr w:type="gramStart"/>
      <w:r>
        <w:t>间构成</w:t>
      </w:r>
      <w:proofErr w:type="gramEnd"/>
      <w:r>
        <w:t>"NDVI↑→WET↑→NDBSI↓→LST↓→RSEI↑"</w:t>
      </w:r>
      <w:r>
        <w:t>的完整传导链。</w:t>
      </w:r>
    </w:p>
    <w:p w14:paraId="4EF38132" w14:textId="77777777" w:rsidR="00D46586" w:rsidRDefault="00000000">
      <w:pPr>
        <w:pStyle w:val="1"/>
        <w:spacing w:before="312" w:after="312"/>
        <w:ind w:left="480"/>
      </w:pPr>
      <w:bookmarkStart w:id="162" w:name="_Toc230693511"/>
      <w:bookmarkStart w:id="163" w:name="_Toc199366311"/>
      <w:bookmarkStart w:id="164" w:name="_Toc17175"/>
      <w:bookmarkStart w:id="165" w:name="_Toc230815695"/>
      <w:r>
        <w:rPr>
          <w:rFonts w:hint="eastAsia"/>
        </w:rPr>
        <w:t xml:space="preserve">5  </w:t>
      </w:r>
      <w:r>
        <w:rPr>
          <w:rFonts w:hint="eastAsia"/>
        </w:rPr>
        <w:t>结论与展望</w:t>
      </w:r>
      <w:bookmarkEnd w:id="162"/>
      <w:bookmarkEnd w:id="163"/>
      <w:bookmarkEnd w:id="164"/>
      <w:bookmarkEnd w:id="165"/>
    </w:p>
    <w:p w14:paraId="6EB044BC" w14:textId="77777777" w:rsidR="00D46586" w:rsidRDefault="00000000">
      <w:pPr>
        <w:pStyle w:val="2"/>
        <w:spacing w:before="156" w:after="156"/>
        <w:ind w:left="480"/>
      </w:pPr>
      <w:bookmarkStart w:id="166" w:name="_Toc230693512"/>
      <w:bookmarkStart w:id="167" w:name="_Toc199366312"/>
      <w:bookmarkStart w:id="168" w:name="_Toc28776"/>
      <w:bookmarkStart w:id="169" w:name="_Toc230815696"/>
      <w:r>
        <w:rPr>
          <w:rFonts w:hint="eastAsia"/>
        </w:rPr>
        <w:t xml:space="preserve">5.1 </w:t>
      </w:r>
      <w:r>
        <w:rPr>
          <w:rFonts w:hint="eastAsia"/>
        </w:rPr>
        <w:t>研究结论</w:t>
      </w:r>
      <w:bookmarkEnd w:id="166"/>
      <w:bookmarkEnd w:id="167"/>
      <w:bookmarkEnd w:id="168"/>
      <w:bookmarkEnd w:id="169"/>
    </w:p>
    <w:p w14:paraId="7B49DDE0" w14:textId="77777777" w:rsidR="00D46586" w:rsidRDefault="00000000">
      <w:pPr>
        <w:pStyle w:val="a3"/>
        <w:ind w:left="480" w:firstLine="480"/>
      </w:pPr>
      <w:r>
        <w:t>本文把吉林省东北防护林建设区作为研究对象，选用了</w:t>
      </w:r>
      <w:r>
        <w:t>1985—1990</w:t>
      </w:r>
      <w:r>
        <w:t>年、</w:t>
      </w:r>
      <w:r>
        <w:t>1990—1995</w:t>
      </w:r>
      <w:r>
        <w:t>年、</w:t>
      </w:r>
      <w:r>
        <w:t>1995—2000</w:t>
      </w:r>
      <w:r>
        <w:t>年、</w:t>
      </w:r>
      <w:r>
        <w:t>2000—2005</w:t>
      </w:r>
      <w:r>
        <w:t>年、</w:t>
      </w:r>
      <w:r>
        <w:t>2005—2010</w:t>
      </w:r>
      <w:r>
        <w:t>年、</w:t>
      </w:r>
      <w:r>
        <w:t>2010—2015</w:t>
      </w:r>
      <w:r>
        <w:t>年、</w:t>
      </w:r>
      <w:r>
        <w:t>2015—2020</w:t>
      </w:r>
      <w:r>
        <w:t>年共七个时期的</w:t>
      </w:r>
      <w:r>
        <w:t>Landsat</w:t>
      </w:r>
      <w:r>
        <w:t>系列遥感影像，用绿度指标（</w:t>
      </w:r>
      <w:r>
        <w:t>NDVI</w:t>
      </w:r>
      <w:r>
        <w:t>）、湿度指标（</w:t>
      </w:r>
      <w:r>
        <w:t>WET</w:t>
      </w:r>
      <w:r>
        <w:t>）、干度指标（</w:t>
      </w:r>
      <w:r>
        <w:t>NDBSI</w:t>
      </w:r>
      <w:r>
        <w:t>）和热度指标（</w:t>
      </w:r>
      <w:r>
        <w:t>LST</w:t>
      </w:r>
      <w:r>
        <w:t>）来构建遥感生态指数</w:t>
      </w:r>
      <w:r>
        <w:t>RSEI</w:t>
      </w:r>
      <w:r>
        <w:t>，通过主成分变换得出了</w:t>
      </w:r>
      <w:r>
        <w:t>RSEI</w:t>
      </w:r>
      <w:r>
        <w:t>指数的计算值，再结合三北防护林工程建设的进程资料和建设内容，弄清楚各期生态环境质量的变化情况，把握好动态发展的趋势。依照《生态环境状况评价技术规范》对各期的</w:t>
      </w:r>
      <w:r>
        <w:t>RSEI</w:t>
      </w:r>
      <w:r>
        <w:t>指数值进行了分级，制作了</w:t>
      </w:r>
      <w:r>
        <w:t>RSEI</w:t>
      </w:r>
      <w:r>
        <w:t>指数值的分级图，结合分析得出的结果，为研究区的生态环境改善提供参考和建议，论文的主要研究结论如下：</w:t>
      </w:r>
    </w:p>
    <w:p w14:paraId="5BD1C4B2" w14:textId="77777777" w:rsidR="00D46586" w:rsidRDefault="00000000">
      <w:pPr>
        <w:pStyle w:val="a3"/>
        <w:ind w:left="480" w:firstLine="480"/>
      </w:pPr>
      <w:r>
        <w:t>（</w:t>
      </w:r>
      <w:r>
        <w:t>1</w:t>
      </w:r>
      <w:r>
        <w:t>）严格按照遥感数据处理的流程，对研究区域七个时期的遥感数据做了辐射校正、几何校正、影像镶嵌、配准、裁剪等预处理工作，用主成分分析法获取了</w:t>
      </w:r>
      <w:r>
        <w:t>RSEI</w:t>
      </w:r>
      <w:r>
        <w:t>指数，再根据</w:t>
      </w:r>
      <w:r>
        <w:t>RSEI</w:t>
      </w:r>
      <w:r>
        <w:t>值对研究区域进行了综合分析。在主成分分析的结果当中，代表绿度的</w:t>
      </w:r>
      <w:r>
        <w:t>NDVI</w:t>
      </w:r>
      <w:r>
        <w:t>和湿度的</w:t>
      </w:r>
      <w:r>
        <w:t>WET</w:t>
      </w:r>
      <w:r>
        <w:t>在第一主成分里起的是正面作用，代表热度的</w:t>
      </w:r>
      <w:r>
        <w:t>LST</w:t>
      </w:r>
      <w:r>
        <w:t>和干度的</w:t>
      </w:r>
      <w:r>
        <w:t>NDBSI</w:t>
      </w:r>
      <w:r>
        <w:t>起的则是负面作用，这一点是符合实际生态学意义的。</w:t>
      </w:r>
    </w:p>
    <w:p w14:paraId="1973D747" w14:textId="77777777" w:rsidR="00D46586" w:rsidRDefault="00000000">
      <w:pPr>
        <w:pStyle w:val="a3"/>
        <w:ind w:left="480" w:firstLine="480"/>
      </w:pPr>
      <w:r>
        <w:t>（</w:t>
      </w:r>
      <w:r>
        <w:t>2</w:t>
      </w:r>
      <w:r>
        <w:t>）由绿度、湿度、干度和热度这四项指标构成的遥感生态指数</w:t>
      </w:r>
      <w:r>
        <w:t>RSEI</w:t>
      </w:r>
      <w:r>
        <w:t>，</w:t>
      </w:r>
      <w:r>
        <w:lastRenderedPageBreak/>
        <w:t>能够很好地统合起各个方面的数据信息，比较全面地反映出生态环境质量的真实状况。</w:t>
      </w:r>
      <w:r>
        <w:t>RSEI</w:t>
      </w:r>
      <w:r>
        <w:t>指数所选用的绿度（</w:t>
      </w:r>
      <w:r>
        <w:t>NDVI</w:t>
      </w:r>
      <w:r>
        <w:t>）、湿度（</w:t>
      </w:r>
      <w:r>
        <w:t>WET</w:t>
      </w:r>
      <w:r>
        <w:t>）、干度（</w:t>
      </w:r>
      <w:r>
        <w:t>NDBSI</w:t>
      </w:r>
      <w:r>
        <w:t>）和热度（</w:t>
      </w:r>
      <w:r>
        <w:t>LST</w:t>
      </w:r>
      <w:r>
        <w:t>）四个指标，全部都是基于遥感数据得来的，具有时空连续性高、获取起来很方便的特点，能够突破传统《生态环境状况评价技术规范》里</w:t>
      </w:r>
      <w:r>
        <w:t>EI</w:t>
      </w:r>
      <w:r>
        <w:t>指数受地面观测数据时空限制的不足。该指数通过主成分分析把多源遥感指标集成到了一起，实现了区域生态环境质量的快速、定量和客观的评价，不仅能够独立地反映出生态的动态变化，还能与</w:t>
      </w:r>
      <w:r>
        <w:t>EI</w:t>
      </w:r>
      <w:r>
        <w:t>指数形成互补的关系，为其提供数据支撑和验证的参考，显著提升了生态环境监测的时效性与空间覆盖能力。通过构建量化的遥感生态指数（</w:t>
      </w:r>
      <w:r>
        <w:t>RSEI</w:t>
      </w:r>
      <w:r>
        <w:t>），再与地理信息系统结合起来输出生态环境质量专题图，使得生态的好坏程度、空间分异的特征以及变化趋势都能够很直观地展现出来，评价结果清晰可辨，为生态保护的决策提供了兼具科学性和可操作性的参考依据。</w:t>
      </w:r>
    </w:p>
    <w:p w14:paraId="0C1686E1" w14:textId="77777777" w:rsidR="00D46586" w:rsidRDefault="00000000">
      <w:pPr>
        <w:pStyle w:val="a3"/>
        <w:ind w:left="480" w:firstLine="480"/>
      </w:pPr>
      <w:r>
        <w:t>（</w:t>
      </w:r>
      <w:r>
        <w:t>3</w:t>
      </w:r>
      <w:r>
        <w:t>）本研究通过遥感技术提取了绿度（</w:t>
      </w:r>
      <w:r>
        <w:t>NDVI</w:t>
      </w:r>
      <w:r>
        <w:t>）、湿度（</w:t>
      </w:r>
      <w:r>
        <w:t>WET</w:t>
      </w:r>
      <w:r>
        <w:t>）、干度（</w:t>
      </w:r>
      <w:r>
        <w:t>NDBSI</w:t>
      </w:r>
      <w:r>
        <w:t>）和热度（</w:t>
      </w:r>
      <w:r>
        <w:t>LST</w:t>
      </w:r>
      <w:r>
        <w:t>）四个核心生态指标，经过波段合成与归一化处理之后，采用了主成分分析方法来对多源遥感数据</w:t>
      </w:r>
      <w:proofErr w:type="gramStart"/>
      <w:r>
        <w:t>进行降维处理</w:t>
      </w:r>
      <w:proofErr w:type="gramEnd"/>
      <w:r>
        <w:t>。通过选取包含了</w:t>
      </w:r>
      <w:r>
        <w:t>85%</w:t>
      </w:r>
      <w:r>
        <w:t>以上信息量的第一主成分来构建遥感生态指数（</w:t>
      </w:r>
      <w:r>
        <w:t>RSEI</w:t>
      </w:r>
      <w:r>
        <w:t>），该方法建立在数据驱动的客观赋权原则之上，有效避免了传统评价中人为设定权重所带来的主观偏差，既实现了区域生态环境质量的标准化和定量化评价，在一定程度上保证了评价结果的科学性，又显著提升了生态监测的效率和可重复性。</w:t>
      </w:r>
    </w:p>
    <w:p w14:paraId="57410F2C" w14:textId="77777777" w:rsidR="00D46586" w:rsidRDefault="00000000">
      <w:pPr>
        <w:pStyle w:val="a3"/>
        <w:ind w:left="480" w:firstLine="480"/>
      </w:pPr>
      <w:r>
        <w:t>（</w:t>
      </w:r>
      <w:r>
        <w:t>4</w:t>
      </w:r>
      <w:r>
        <w:t>）从对研究区七个时期遥感影像数据的处理分析中可以知道，各期</w:t>
      </w:r>
      <w:r>
        <w:t>RSEI</w:t>
      </w:r>
      <w:r>
        <w:t>的均值分别为</w:t>
      </w:r>
      <w:r>
        <w:t>0.742</w:t>
      </w:r>
      <w:r>
        <w:t>、</w:t>
      </w:r>
      <w:r>
        <w:t>0.581</w:t>
      </w:r>
      <w:r>
        <w:t>、</w:t>
      </w:r>
      <w:r>
        <w:t>0.598</w:t>
      </w:r>
      <w:r>
        <w:t>、</w:t>
      </w:r>
      <w:r>
        <w:t>0.719</w:t>
      </w:r>
      <w:r>
        <w:t>、</w:t>
      </w:r>
      <w:r>
        <w:t>0.637</w:t>
      </w:r>
      <w:r>
        <w:t>、</w:t>
      </w:r>
      <w:r>
        <w:t>0.661</w:t>
      </w:r>
      <w:r>
        <w:t>、</w:t>
      </w:r>
      <w:r>
        <w:t>0.619</w:t>
      </w:r>
      <w:r>
        <w:t>。跟基准期</w:t>
      </w:r>
      <w:r>
        <w:t>1985—1990</w:t>
      </w:r>
      <w:r>
        <w:t>年相比，后续各个时期的</w:t>
      </w:r>
      <w:r>
        <w:t>RSEI</w:t>
      </w:r>
      <w:r>
        <w:t>均值整体上呈现出下降的态势，到了</w:t>
      </w:r>
      <w:r>
        <w:t>2015—2020</w:t>
      </w:r>
      <w:r>
        <w:t>年累计下降了</w:t>
      </w:r>
      <w:r>
        <w:t>0.122</w:t>
      </w:r>
      <w:r>
        <w:t>。从变化等级这一块来看，</w:t>
      </w:r>
      <w:r>
        <w:t>1990—1995</w:t>
      </w:r>
      <w:r>
        <w:t>年是显著变坏，</w:t>
      </w:r>
      <w:r>
        <w:t>1995—2000</w:t>
      </w:r>
      <w:r>
        <w:t>年没有什么明显的变化，</w:t>
      </w:r>
      <w:r>
        <w:t>2000—2005</w:t>
      </w:r>
      <w:r>
        <w:t>年则显著变好，</w:t>
      </w:r>
      <w:r>
        <w:t>2005—2010</w:t>
      </w:r>
      <w:r>
        <w:t>年又明显变坏了，此后的两个时期分别属于略微变好和略微变坏。根据</w:t>
      </w:r>
      <w:r>
        <w:t>RSEI</w:t>
      </w:r>
      <w:r>
        <w:t>分级统计的结果，研究区生态环境质量始终是以</w:t>
      </w:r>
      <w:r>
        <w:t>"</w:t>
      </w:r>
      <w:r>
        <w:t>良</w:t>
      </w:r>
      <w:r>
        <w:t>"</w:t>
      </w:r>
      <w:r>
        <w:t>等级占据主体地位的，</w:t>
      </w:r>
      <w:r>
        <w:t>2000—2005</w:t>
      </w:r>
      <w:r>
        <w:t>年</w:t>
      </w:r>
      <w:r>
        <w:t>"</w:t>
      </w:r>
      <w:r>
        <w:t>良</w:t>
      </w:r>
      <w:r>
        <w:t>"</w:t>
      </w:r>
      <w:r>
        <w:t>和</w:t>
      </w:r>
      <w:r>
        <w:t>"</w:t>
      </w:r>
      <w:r>
        <w:t>优</w:t>
      </w:r>
      <w:r>
        <w:t>"</w:t>
      </w:r>
      <w:r>
        <w:t>两项加在一起的比重达到了</w:t>
      </w:r>
      <w:r>
        <w:t>97.33%</w:t>
      </w:r>
      <w:r>
        <w:t>，是历年来最高的水平，但</w:t>
      </w:r>
      <w:r>
        <w:t>"</w:t>
      </w:r>
      <w:r>
        <w:t>优</w:t>
      </w:r>
      <w:r>
        <w:t>"</w:t>
      </w:r>
      <w:r>
        <w:t>等级的面积比起初期已经</w:t>
      </w:r>
      <w:r>
        <w:lastRenderedPageBreak/>
        <w:t>大幅萎缩了，说明优质生态空间的稳定性还远远不够；第一、二级别（</w:t>
      </w:r>
      <w:r>
        <w:t>"</w:t>
      </w:r>
      <w:r>
        <w:t>差</w:t>
      </w:r>
      <w:r>
        <w:t>"</w:t>
      </w:r>
      <w:r>
        <w:t>和</w:t>
      </w:r>
      <w:r>
        <w:t>"</w:t>
      </w:r>
      <w:r>
        <w:t>较差</w:t>
      </w:r>
      <w:r>
        <w:t>"</w:t>
      </w:r>
      <w:r>
        <w:t>）的占比始终都极低，表明生态环境极差的区域面积是非常有限的。</w:t>
      </w:r>
    </w:p>
    <w:p w14:paraId="75EFF5FB" w14:textId="77777777" w:rsidR="00D46586" w:rsidRDefault="00000000">
      <w:pPr>
        <w:pStyle w:val="a3"/>
        <w:ind w:left="480" w:firstLine="480"/>
      </w:pPr>
      <w:r>
        <w:t>（</w:t>
      </w:r>
      <w:r>
        <w:t>5</w:t>
      </w:r>
      <w:r>
        <w:t>）从各分量指标的变化趋势来做分析的话，研究区在</w:t>
      </w:r>
      <w:r>
        <w:t>1985—2020</w:t>
      </w:r>
      <w:r>
        <w:t>年间，生态环境质量呈现出了波动变化的特征。</w:t>
      </w:r>
      <w:r>
        <w:t>NDVI</w:t>
      </w:r>
      <w:r>
        <w:t>均值从前期相对稳定的水平（</w:t>
      </w:r>
      <w:r>
        <w:t>0.455~0.461</w:t>
      </w:r>
      <w:r>
        <w:t>）走过了中期的低谷（</w:t>
      </w:r>
      <w:r>
        <w:t>2005—2010</w:t>
      </w:r>
      <w:r>
        <w:t>年的</w:t>
      </w:r>
      <w:r>
        <w:t>0.419</w:t>
      </w:r>
      <w:r>
        <w:t>）之后，显著回升到了</w:t>
      </w:r>
      <w:r>
        <w:t>2015—2020</w:t>
      </w:r>
      <w:r>
        <w:t>年的</w:t>
      </w:r>
      <w:r>
        <w:t>0.501</w:t>
      </w:r>
      <w:r>
        <w:t>，反映出防护林建设力度的加大带来了植被覆盖状况的明显改善；</w:t>
      </w:r>
      <w:r>
        <w:t>NDBSI</w:t>
      </w:r>
      <w:r>
        <w:t>均值从前期</w:t>
      </w:r>
      <w:r>
        <w:t>0.220</w:t>
      </w:r>
      <w:r>
        <w:t>以上的水平一下子降到了</w:t>
      </w:r>
      <w:r>
        <w:t>2010—2015</w:t>
      </w:r>
      <w:r>
        <w:t>年的</w:t>
      </w:r>
      <w:r>
        <w:t>0.076</w:t>
      </w:r>
      <w:r>
        <w:t>，降幅超过了</w:t>
      </w:r>
      <w:r>
        <w:t>65%</w:t>
      </w:r>
      <w:r>
        <w:t>，说明防护林工程对降低地表裸露和硬化起到了非常显著的正向推动作用；</w:t>
      </w:r>
      <w:r>
        <w:t>LST</w:t>
      </w:r>
      <w:r>
        <w:t>均值整体上略有走高，高温区主要分布在了城市建成区及裸土区域；</w:t>
      </w:r>
      <w:r>
        <w:t>WET</w:t>
      </w:r>
      <w:r>
        <w:t>均值在</w:t>
      </w:r>
      <w:r>
        <w:t>2000—2005</w:t>
      </w:r>
      <w:r>
        <w:t>年冲到了最高点的</w:t>
      </w:r>
      <w:r>
        <w:t>0.081</w:t>
      </w:r>
      <w:r>
        <w:t>之后，就一路下滑到了</w:t>
      </w:r>
      <w:r>
        <w:t>2015—2020</w:t>
      </w:r>
      <w:r>
        <w:t>年的</w:t>
      </w:r>
      <w:r>
        <w:t>0.030</w:t>
      </w:r>
      <w:r>
        <w:t>，说明近年来地表湿度状况的恶化是比较明显的。总的来看，防护林工程保护了研究区内的平原农田防护林网和区域山脉的生态环境，而在城市区域和</w:t>
      </w:r>
      <w:proofErr w:type="gramStart"/>
      <w:r>
        <w:t>裸土地</w:t>
      </w:r>
      <w:proofErr w:type="gramEnd"/>
      <w:r>
        <w:t>带，因为城市热岛效应和城市扩张的缘故，热度和干度存在着阶段性的波动，但在防护林工程的持续作用下，干度指标已经得到了根本性的改善，生态环境质量总体上还是以</w:t>
      </w:r>
      <w:r>
        <w:t>"</w:t>
      </w:r>
      <w:r>
        <w:t>良</w:t>
      </w:r>
      <w:r>
        <w:t>"</w:t>
      </w:r>
      <w:r>
        <w:t>为主的。</w:t>
      </w:r>
    </w:p>
    <w:p w14:paraId="11BC86B6" w14:textId="77777777" w:rsidR="00D46586" w:rsidRDefault="00000000">
      <w:pPr>
        <w:pStyle w:val="2"/>
        <w:spacing w:before="156" w:after="156"/>
        <w:ind w:left="480"/>
      </w:pPr>
      <w:bookmarkStart w:id="170" w:name="_Toc230693513"/>
      <w:bookmarkStart w:id="171" w:name="_Toc199366313"/>
      <w:bookmarkStart w:id="172" w:name="_Toc15954"/>
      <w:bookmarkStart w:id="173" w:name="_Toc230815697"/>
      <w:r>
        <w:rPr>
          <w:rFonts w:hint="eastAsia"/>
        </w:rPr>
        <w:t xml:space="preserve">5.2 </w:t>
      </w:r>
      <w:r>
        <w:rPr>
          <w:rFonts w:hint="eastAsia"/>
        </w:rPr>
        <w:t>对策及建议</w:t>
      </w:r>
      <w:bookmarkEnd w:id="170"/>
      <w:bookmarkEnd w:id="171"/>
      <w:bookmarkEnd w:id="172"/>
      <w:bookmarkEnd w:id="173"/>
    </w:p>
    <w:p w14:paraId="0888B695" w14:textId="77777777" w:rsidR="00D46586" w:rsidRDefault="00000000">
      <w:pPr>
        <w:pStyle w:val="a3"/>
        <w:ind w:leftChars="0" w:left="0" w:firstLine="480"/>
      </w:pPr>
      <w:r>
        <w:t>结合研究区生态环境质量现状，提出以下对策和建议：</w:t>
      </w:r>
    </w:p>
    <w:p w14:paraId="7FD12A06" w14:textId="77777777" w:rsidR="00D46586" w:rsidRDefault="00000000">
      <w:pPr>
        <w:pStyle w:val="a3"/>
        <w:ind w:left="480" w:firstLine="480"/>
      </w:pPr>
      <w:r>
        <w:t>吉林省东北防护林建设区地处吉林省的腹地，覆盖了松嫩平原东部、长白山西麓以及辽河流域上游等一片区域，属于温带季风气候与大陆性气候的过渡地带。该地区的生态环境建设需要做到因地制宜来推进：在那些已经建成了防护林以及自然森林的区域，可以合理地把遥感监测技术运用起来，实现对林区健康状态的季度动态评估；针对研究区内沈阳、长春等城市群区域的情况，大气污染物排放是加剧城市热岛效应的一项不可忽视的重要因素，应当通过优化城市产业布局、推广清洁能源、调整产业结构、强化工业废气排放的管理与监督、整治重点大气污染源、完善大气环境的监控功能和管理方式等一系列措施，来改善城市群的大气环境质量，把城市热岛效应带来的负面影响降下来，缓解</w:t>
      </w:r>
      <w:r>
        <w:t>LST</w:t>
      </w:r>
      <w:r>
        <w:t>均值一直居高不下的困境；而针对</w:t>
      </w:r>
      <w:r>
        <w:t>WET</w:t>
      </w:r>
      <w:r>
        <w:t>均值持</w:t>
      </w:r>
      <w:r>
        <w:lastRenderedPageBreak/>
        <w:t>续走低这一趋势，则需要在研究区内松花江、辽河等流域体系当中实施生态补水工程，并结合</w:t>
      </w:r>
      <w:r>
        <w:t>InSAR</w:t>
      </w:r>
      <w:r>
        <w:t>技术来对地下水位进行监测，以保障防护林与湿地之间能够实现协同恢复。这些措施将显著增强防护林应对气候变暖和极端天气的能力，推动工程从过去单纯的</w:t>
      </w:r>
      <w:r>
        <w:t>"</w:t>
      </w:r>
      <w:r>
        <w:t>规模扩张</w:t>
      </w:r>
      <w:r>
        <w:t>"</w:t>
      </w:r>
      <w:r>
        <w:t>路线转向</w:t>
      </w:r>
      <w:r>
        <w:t>"</w:t>
      </w:r>
      <w:r>
        <w:t>质量提升</w:t>
      </w:r>
      <w:r>
        <w:t>"</w:t>
      </w:r>
      <w:r>
        <w:t>的方向。继续完善三北防护林体系，根据不同区域的生态功能特点，把自然保护区、生态功能保护区和生态脆弱区的建设与保育摆在优先位置，保护和恢复好自然生态系统的整体功能，与此同时也要抓好自然保护区管理队伍的建设，拟定出地方性的生态环境保护规章和标准，把环保投资的力度进一步加大。</w:t>
      </w:r>
    </w:p>
    <w:p w14:paraId="1646155A" w14:textId="77777777" w:rsidR="00D46586" w:rsidRDefault="00000000">
      <w:pPr>
        <w:pStyle w:val="2"/>
        <w:spacing w:before="156" w:after="156"/>
        <w:ind w:left="480"/>
        <w:rPr>
          <w:rFonts w:cs="Times New Roman"/>
          <w:bCs/>
          <w:color w:val="000000"/>
          <w:sz w:val="30"/>
          <w:szCs w:val="30"/>
        </w:rPr>
      </w:pPr>
      <w:bookmarkStart w:id="174" w:name="_Toc1777"/>
      <w:bookmarkStart w:id="175" w:name="_Toc230693514"/>
      <w:bookmarkStart w:id="176" w:name="_Toc230815698"/>
      <w:r>
        <w:rPr>
          <w:rFonts w:asciiTheme="majorEastAsia" w:eastAsiaTheme="majorEastAsia" w:hAnsiTheme="majorEastAsia" w:cs="Times New Roman" w:hint="eastAsia"/>
          <w:bCs/>
          <w:color w:val="000000"/>
          <w:sz w:val="30"/>
          <w:szCs w:val="30"/>
        </w:rPr>
        <w:t>5.3</w:t>
      </w:r>
      <w:r>
        <w:rPr>
          <w:rFonts w:cs="Times New Roman" w:hint="eastAsia"/>
          <w:bCs/>
          <w:color w:val="000000"/>
          <w:sz w:val="30"/>
          <w:szCs w:val="30"/>
        </w:rPr>
        <w:t xml:space="preserve"> </w:t>
      </w:r>
      <w:r>
        <w:rPr>
          <w:rFonts w:cs="Times New Roman" w:hint="eastAsia"/>
          <w:bCs/>
          <w:color w:val="000000"/>
          <w:sz w:val="30"/>
          <w:szCs w:val="30"/>
        </w:rPr>
        <w:t>研究不足和展望</w:t>
      </w:r>
      <w:bookmarkEnd w:id="174"/>
      <w:bookmarkEnd w:id="175"/>
      <w:bookmarkEnd w:id="176"/>
    </w:p>
    <w:p w14:paraId="19ADEA33" w14:textId="77777777" w:rsidR="00D46586" w:rsidRDefault="00000000">
      <w:pPr>
        <w:pStyle w:val="a3"/>
        <w:ind w:left="480" w:firstLine="480"/>
      </w:pPr>
      <w:r>
        <w:t>本文在研究方面采用了遥感生态指数</w:t>
      </w:r>
      <w:r>
        <w:t>RSEI</w:t>
      </w:r>
      <w:r>
        <w:t>评价研究区域生态环境质量，在一定程度上有所创新，但也存在一些问题需要改进。</w:t>
      </w:r>
    </w:p>
    <w:p w14:paraId="3FFE6B76" w14:textId="77777777" w:rsidR="00D46586" w:rsidRDefault="00000000">
      <w:pPr>
        <w:pStyle w:val="a3"/>
        <w:ind w:left="480" w:firstLine="480"/>
      </w:pPr>
      <w:r>
        <w:t>（</w:t>
      </w:r>
      <w:r>
        <w:t>1</w:t>
      </w:r>
      <w:r>
        <w:t>）本研究选用的七期遥感影像数据，相互之间可能存在一定的系统差异：不同时期影像的传感器参数设置并不完全一致，而且影像获取的时间也未能做到完全统一。尽管这种时间和传感器上的差异不会对研究结论的总体趋势产生根本性的影响，但有可能对各期生态环境质量指数（</w:t>
      </w:r>
      <w:r>
        <w:t>RSEI</w:t>
      </w:r>
      <w:r>
        <w:t>）的绝对精度带来一定程度的偏差。为了把研究结果的准确性和可比性再往上提一步，建议后续研究优先选用同源卫星（比如全部采用</w:t>
      </w:r>
      <w:r>
        <w:t>Landsat 8</w:t>
      </w:r>
      <w:r>
        <w:t>或者</w:t>
      </w:r>
      <w:r>
        <w:t>Sentinel-2</w:t>
      </w:r>
      <w:r>
        <w:t>系列）且获取时间也比较相近（比如都选择植被生长旺季的</w:t>
      </w:r>
      <w:r>
        <w:t>7—8</w:t>
      </w:r>
      <w:r>
        <w:t>月）的影像数据，这样能把因数据源差异而造成的系统误差降到最低。</w:t>
      </w:r>
    </w:p>
    <w:p w14:paraId="1E6D6BE8" w14:textId="77777777" w:rsidR="00D46586" w:rsidRDefault="00000000">
      <w:pPr>
        <w:pStyle w:val="a3"/>
        <w:ind w:left="480" w:firstLine="480"/>
      </w:pPr>
      <w:r>
        <w:t>（</w:t>
      </w:r>
      <w:r>
        <w:t>2</w:t>
      </w:r>
      <w:r>
        <w:t>）本研究采用的是基于遥感数据的生态环境质量评价方法（</w:t>
      </w:r>
      <w:r>
        <w:t>RSEI</w:t>
      </w:r>
      <w:r>
        <w:t>），跟《生态环境状况评价技术规范》里的</w:t>
      </w:r>
      <w:r>
        <w:t>EI</w:t>
      </w:r>
      <w:r>
        <w:t>指数比起来，这种方法在数据获取上更方便、时效性也更强，它的全部指标（绿度、湿度、干度、热度）都可以通过遥感手段快速提取出来。不过，</w:t>
      </w:r>
      <w:r>
        <w:t>RSEI</w:t>
      </w:r>
      <w:r>
        <w:t>指数在评价维度上比起</w:t>
      </w:r>
      <w:r>
        <w:t>EI</w:t>
      </w:r>
      <w:r>
        <w:t>指数还是有所局限的，没能把地面观测指标全部都涵盖进来。今后的研究打算把</w:t>
      </w:r>
      <w:r>
        <w:t>RSEI</w:t>
      </w:r>
      <w:r>
        <w:t>与</w:t>
      </w:r>
      <w:r>
        <w:t>EI</w:t>
      </w:r>
      <w:r>
        <w:t>指数进行有机结合，争取实现对区域生态环境质量更加全面和精准的动态监测与评估，这样一种改进的方案既能保留住遥感评价的高效优势，又能把单纯遥感评价的不足给弥补上，为生态环境管理提供出更加系统的决策依据。</w:t>
      </w:r>
    </w:p>
    <w:p w14:paraId="66D1552E" w14:textId="77777777" w:rsidR="00D46586" w:rsidRDefault="00000000">
      <w:pPr>
        <w:pStyle w:val="a3"/>
        <w:ind w:left="480" w:firstLine="480"/>
      </w:pPr>
      <w:r>
        <w:lastRenderedPageBreak/>
        <w:t>（</w:t>
      </w:r>
      <w:r>
        <w:rPr>
          <w:rFonts w:hint="eastAsia"/>
        </w:rPr>
        <w:t>3</w:t>
      </w:r>
      <w:r>
        <w:t>）本研究基于遥感生态指数（</w:t>
      </w:r>
      <w:r>
        <w:t>RSEI</w:t>
      </w:r>
      <w:r>
        <w:t>）对吉林省东北防护林建设区的生态环境质量进行了定量评价，得到的结果虽然能够比较客观地反映出区域生态质量的时空变化特征，但仍然存在着一定的局限性。需要指出来的是，生态环境质量的演变从来都不是单方面因素作用的结果，而是自然因素与人文因素共同交织、一起推动的，除了遥感能监测到的植被、地表温度等指标以外，还与区域的城市化进程、经济发展水平、地理环境特征等要素有着密切的关联。本研究发现</w:t>
      </w:r>
      <w:r>
        <w:t>RSEI</w:t>
      </w:r>
      <w:r>
        <w:t>均值在</w:t>
      </w:r>
      <w:r>
        <w:t>2000—2005</w:t>
      </w:r>
      <w:r>
        <w:t>年冲到了高峰之后就开始回落、</w:t>
      </w:r>
      <w:r>
        <w:t>WET</w:t>
      </w:r>
      <w:r>
        <w:t>持续下降而</w:t>
      </w:r>
      <w:r>
        <w:t>LST</w:t>
      </w:r>
      <w:r>
        <w:t>却略有上升等现象，这些现象背后的驱动机制是很值得往深了去探究的。因此，建议后续研究搭建起一个多学科融合的分析框架：一方面结合</w:t>
      </w:r>
      <w:r>
        <w:t>GIS</w:t>
      </w:r>
      <w:r>
        <w:t>空间分析技术，把人口密度、</w:t>
      </w:r>
      <w:r>
        <w:t>GDP</w:t>
      </w:r>
      <w:r>
        <w:t>、土地利用等社会经济数据整合进来；另一方面引入生态学模型，将历史气候数据和文化保护要素也耦合进去，从而建立起一套更加全面的</w:t>
      </w:r>
      <w:r>
        <w:t>"</w:t>
      </w:r>
      <w:r>
        <w:t>自然</w:t>
      </w:r>
      <w:r>
        <w:t>-</w:t>
      </w:r>
      <w:r>
        <w:t>社会</w:t>
      </w:r>
      <w:r>
        <w:t>"</w:t>
      </w:r>
      <w:r>
        <w:t>耦合评价体系，为三北防护林工程的可持续发展提供出更有力的科学决策支撑。</w:t>
      </w:r>
    </w:p>
    <w:p w14:paraId="07BDC4DE" w14:textId="77777777" w:rsidR="00D46586" w:rsidRDefault="00D46586">
      <w:pPr>
        <w:spacing w:before="40" w:after="40" w:line="288" w:lineRule="auto"/>
        <w:ind w:left="480"/>
        <w:rPr>
          <w:rFonts w:asciiTheme="majorEastAsia" w:hAnsiTheme="majorEastAsia" w:cstheme="majorEastAsia" w:hint="eastAsia"/>
        </w:rPr>
      </w:pPr>
    </w:p>
    <w:p w14:paraId="1636357E" w14:textId="77777777" w:rsidR="00D46586" w:rsidRDefault="00D46586">
      <w:pPr>
        <w:spacing w:before="40" w:after="40" w:line="288" w:lineRule="auto"/>
        <w:ind w:left="480"/>
        <w:outlineLvl w:val="2"/>
        <w:rPr>
          <w:rFonts w:asciiTheme="majorEastAsia" w:hAnsiTheme="majorEastAsia" w:cstheme="majorEastAsia" w:hint="eastAsia"/>
        </w:rPr>
        <w:sectPr w:rsidR="00D46586">
          <w:pgSz w:w="11906" w:h="16838"/>
          <w:pgMar w:top="1440" w:right="1800" w:bottom="1440" w:left="1800" w:header="851" w:footer="992" w:gutter="0"/>
          <w:cols w:space="425"/>
          <w:docGrid w:type="lines" w:linePitch="312"/>
        </w:sectPr>
      </w:pPr>
    </w:p>
    <w:p w14:paraId="38AEE922" w14:textId="77777777" w:rsidR="00D46586" w:rsidRDefault="00000000">
      <w:pPr>
        <w:pStyle w:val="af8"/>
        <w:ind w:left="480"/>
      </w:pPr>
      <w:bookmarkStart w:id="177" w:name="_Toc14898"/>
      <w:bookmarkStart w:id="178" w:name="_Toc230693515"/>
      <w:bookmarkStart w:id="179" w:name="_Toc199366314"/>
      <w:bookmarkStart w:id="180" w:name="_Toc230815699"/>
      <w:r>
        <w:lastRenderedPageBreak/>
        <w:t>致谢</w:t>
      </w:r>
      <w:bookmarkEnd w:id="177"/>
      <w:bookmarkEnd w:id="178"/>
      <w:bookmarkEnd w:id="179"/>
      <w:bookmarkEnd w:id="180"/>
    </w:p>
    <w:p w14:paraId="29328655" w14:textId="77777777" w:rsidR="00D46586" w:rsidRDefault="00000000">
      <w:pPr>
        <w:pStyle w:val="a3"/>
        <w:ind w:left="480" w:firstLine="480"/>
      </w:pPr>
      <w:r>
        <w:t>行文至此，论文即将付梓。回首在吉林省东北防护林建设区开展研究的日夜，心中感慨万千。回首来看，这四年时光漫长又短暂，从最初面对七期遥感影像的茫然，到逐步掌握辐射校正、几何校正等预处理流程；从反复推敲主成分分析中</w:t>
      </w:r>
      <w:r>
        <w:t>NDVI</w:t>
      </w:r>
      <w:r>
        <w:t>、</w:t>
      </w:r>
      <w:r>
        <w:t>WET</w:t>
      </w:r>
      <w:r>
        <w:t>、</w:t>
      </w:r>
      <w:r>
        <w:t>NDBSI</w:t>
      </w:r>
      <w:r>
        <w:t>、</w:t>
      </w:r>
      <w:r>
        <w:t>LST</w:t>
      </w:r>
      <w:r>
        <w:t>四个指标的符号方向，到最终构建起覆盖</w:t>
      </w:r>
      <w:r>
        <w:t>1985</w:t>
      </w:r>
      <w:r>
        <w:t>年至</w:t>
      </w:r>
      <w:r>
        <w:t>2020</w:t>
      </w:r>
      <w:r>
        <w:t>年长达</w:t>
      </w:r>
      <w:r>
        <w:t>35</w:t>
      </w:r>
      <w:r>
        <w:t>年的遥感生态指数评价体系</w:t>
      </w:r>
      <w:r>
        <w:t>——</w:t>
      </w:r>
      <w:r>
        <w:t>每一步前行，都凝聚着太多人的关心与帮助。</w:t>
      </w:r>
    </w:p>
    <w:p w14:paraId="12584193" w14:textId="77777777" w:rsidR="00D46586" w:rsidRDefault="00000000">
      <w:pPr>
        <w:pStyle w:val="a3"/>
        <w:ind w:left="480" w:firstLine="480"/>
      </w:pPr>
      <w:r>
        <w:t>衷心感谢我的指导老师</w:t>
      </w:r>
      <w:r>
        <w:rPr>
          <w:rFonts w:hint="eastAsia"/>
        </w:rPr>
        <w:t>张兴，</w:t>
      </w:r>
      <w:r>
        <w:t>从论文选题之初，老师便以开阔的学术视野引导我将目光投向这一兼具生态价值与现实意义的研究区域。那些共同处理影像的深夜，那些围绕</w:t>
      </w:r>
      <w:r>
        <w:t>NDBSI</w:t>
      </w:r>
      <w:r>
        <w:t>骤降现象展开的讨论，那些反复查阅文献验证推测的时光，都已凝结为青春岁月里珍贵的记忆</w:t>
      </w:r>
      <w:r>
        <w:rPr>
          <w:rFonts w:hint="eastAsia"/>
        </w:rPr>
        <w:t>，</w:t>
      </w:r>
      <w:r>
        <w:rPr>
          <w:rFonts w:asciiTheme="minorEastAsia" w:hAnsiTheme="minorEastAsia" w:cs="Times New Roman" w:hint="eastAsia"/>
        </w:rPr>
        <w:t>让我对论文的主旨有了更深层次的了解。</w:t>
      </w:r>
      <w:r>
        <w:t>由衷感恩我的父母和家人。多年来你们以最朴素的方式默默支持我的求学之路。在我为论文进展焦虑时，是你们的理解与包容给予我继续前行的勇气。</w:t>
      </w:r>
    </w:p>
    <w:p w14:paraId="5ED85DF2" w14:textId="77777777" w:rsidR="00D46586" w:rsidRDefault="00000000">
      <w:pPr>
        <w:pStyle w:val="a3"/>
        <w:ind w:left="480" w:firstLine="480"/>
      </w:pPr>
      <w:r>
        <w:t>这篇论文不仅是研究生阶段学术探索的总结，更是对我多年成长的一次回望。回首这段路</w:t>
      </w:r>
      <w:r>
        <w:rPr>
          <w:rFonts w:hint="eastAsia"/>
        </w:rPr>
        <w:t>。</w:t>
      </w:r>
      <w:r>
        <w:t>学术训练赋予我的，不仅是遥感技术与地理信息的专业能力，更是在困惑面前不逃避、在挫折之中汲取向上的思维品格。</w:t>
      </w:r>
      <w:r>
        <w:rPr>
          <w:rFonts w:hint="eastAsia"/>
        </w:rPr>
        <w:t>大学四年也该告一段落了，这段岁月铸就了我</w:t>
      </w:r>
      <w:proofErr w:type="gramStart"/>
      <w:r>
        <w:rPr>
          <w:rFonts w:hint="eastAsia"/>
        </w:rPr>
        <w:t>坚韧不拔</w:t>
      </w:r>
      <w:proofErr w:type="gramEnd"/>
      <w:r>
        <w:rPr>
          <w:rFonts w:hint="eastAsia"/>
        </w:rPr>
        <w:t>的品格，善于思考的优良品质，感谢四年遇到的所有人，感谢四年的经历，祝各位人生一帆风顺，也祝我开启人生新阶段</w:t>
      </w:r>
    </w:p>
    <w:p w14:paraId="2D98F9F0" w14:textId="77777777" w:rsidR="00D46586" w:rsidRDefault="00D46586">
      <w:pPr>
        <w:pStyle w:val="a3"/>
        <w:ind w:left="480" w:firstLine="480"/>
      </w:pPr>
    </w:p>
    <w:p w14:paraId="60B92AAD" w14:textId="77777777" w:rsidR="00D46586" w:rsidRDefault="00D46586">
      <w:pPr>
        <w:spacing w:before="40" w:after="40" w:line="288" w:lineRule="auto"/>
        <w:ind w:left="480"/>
        <w:rPr>
          <w:rFonts w:asciiTheme="majorEastAsia" w:hAnsiTheme="majorEastAsia" w:cstheme="majorEastAsia" w:hint="eastAsia"/>
        </w:rPr>
        <w:sectPr w:rsidR="00D46586">
          <w:pgSz w:w="11906" w:h="16838"/>
          <w:pgMar w:top="1440" w:right="1800" w:bottom="1440" w:left="1800" w:header="851" w:footer="992" w:gutter="0"/>
          <w:cols w:space="425"/>
          <w:docGrid w:type="lines" w:linePitch="312"/>
        </w:sectPr>
      </w:pPr>
    </w:p>
    <w:p w14:paraId="3AA71B6B" w14:textId="77777777" w:rsidR="00D46586" w:rsidRDefault="00000000">
      <w:pPr>
        <w:pStyle w:val="af8"/>
        <w:ind w:left="480"/>
      </w:pPr>
      <w:bookmarkStart w:id="181" w:name="_Toc230693516"/>
      <w:bookmarkStart w:id="182" w:name="_Toc199366315"/>
      <w:bookmarkStart w:id="183" w:name="_Toc19589"/>
      <w:bookmarkStart w:id="184" w:name="_Toc230815700"/>
      <w:r>
        <w:lastRenderedPageBreak/>
        <w:t>参考文献</w:t>
      </w:r>
      <w:bookmarkEnd w:id="181"/>
      <w:bookmarkEnd w:id="182"/>
      <w:bookmarkEnd w:id="183"/>
      <w:bookmarkEnd w:id="184"/>
    </w:p>
    <w:p w14:paraId="37D3B947"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185" w:name="_Ref27823"/>
      <w:bookmarkStart w:id="186" w:name="_Ref199152396"/>
      <w:bookmarkStart w:id="187" w:name="_Ref22028"/>
      <w:bookmarkStart w:id="188" w:name="_Ref23272"/>
      <w:r>
        <w:rPr>
          <w:rFonts w:ascii="宋体" w:hAnsi="宋体" w:cs="宋体" w:hint="eastAsia"/>
        </w:rPr>
        <w:t>吴宁子,乔永平.生态文明建设中政府的角色定位[J].中国集体经济,2019(5):48-</w:t>
      </w:r>
      <w:proofErr w:type="gramStart"/>
      <w:r>
        <w:rPr>
          <w:rFonts w:ascii="宋体" w:hAnsi="宋体" w:cs="宋体" w:hint="eastAsia"/>
        </w:rPr>
        <w:t>49.WU</w:t>
      </w:r>
      <w:proofErr w:type="gramEnd"/>
      <w:r>
        <w:rPr>
          <w:rFonts w:ascii="宋体" w:hAnsi="宋体" w:cs="宋体" w:hint="eastAsia"/>
        </w:rPr>
        <w:t xml:space="preserve"> </w:t>
      </w:r>
      <w:proofErr w:type="spellStart"/>
      <w:proofErr w:type="gramStart"/>
      <w:r>
        <w:rPr>
          <w:rFonts w:ascii="宋体" w:hAnsi="宋体" w:cs="宋体" w:hint="eastAsia"/>
        </w:rPr>
        <w:t>Ningzi,QIAO</w:t>
      </w:r>
      <w:proofErr w:type="spellEnd"/>
      <w:proofErr w:type="gramEnd"/>
      <w:r>
        <w:rPr>
          <w:rFonts w:ascii="宋体" w:hAnsi="宋体" w:cs="宋体" w:hint="eastAsia"/>
        </w:rPr>
        <w:t xml:space="preserve"> </w:t>
      </w:r>
      <w:proofErr w:type="spellStart"/>
      <w:r>
        <w:rPr>
          <w:rFonts w:ascii="宋体" w:hAnsi="宋体" w:cs="宋体" w:hint="eastAsia"/>
        </w:rPr>
        <w:t>Yongping.The</w:t>
      </w:r>
      <w:proofErr w:type="spellEnd"/>
      <w:r>
        <w:rPr>
          <w:rFonts w:ascii="宋体" w:hAnsi="宋体" w:cs="宋体" w:hint="eastAsia"/>
        </w:rPr>
        <w:t xml:space="preserve"> Role of the Government in </w:t>
      </w:r>
      <w:proofErr w:type="gramStart"/>
      <w:r>
        <w:rPr>
          <w:rFonts w:ascii="宋体" w:hAnsi="宋体" w:cs="宋体" w:hint="eastAsia"/>
        </w:rPr>
        <w:t>the  Construction</w:t>
      </w:r>
      <w:proofErr w:type="gramEnd"/>
      <w:r>
        <w:rPr>
          <w:rFonts w:ascii="宋体" w:hAnsi="宋体" w:cs="宋体" w:hint="eastAsia"/>
        </w:rPr>
        <w:t xml:space="preserve"> of Ecological Civilization[J</w:t>
      </w:r>
      <w:proofErr w:type="gramStart"/>
      <w:r>
        <w:rPr>
          <w:rFonts w:ascii="宋体" w:hAnsi="宋体" w:cs="宋体" w:hint="eastAsia"/>
        </w:rPr>
        <w:t>].China</w:t>
      </w:r>
      <w:proofErr w:type="gramEnd"/>
      <w:r>
        <w:rPr>
          <w:rFonts w:ascii="宋体" w:hAnsi="宋体" w:cs="宋体" w:hint="eastAsia"/>
        </w:rPr>
        <w:t xml:space="preserve"> Collective Economy,2019(5):48-49.</w:t>
      </w:r>
      <w:bookmarkEnd w:id="185"/>
    </w:p>
    <w:p w14:paraId="5077B7BA"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189" w:name="_Ref27872"/>
      <w:r>
        <w:rPr>
          <w:rFonts w:ascii="宋体" w:hAnsi="宋体" w:cs="宋体" w:hint="eastAsia"/>
        </w:rPr>
        <w:t>赵子夜.中国共产党“三北”防护林工程建设的历史考察[D].吉林大学,2018.</w:t>
      </w:r>
      <w:bookmarkEnd w:id="189"/>
    </w:p>
    <w:p w14:paraId="1BD039BB"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190" w:name="_Ref230787152"/>
      <w:bookmarkStart w:id="191" w:name="_Ref27902"/>
      <w:r>
        <w:rPr>
          <w:rFonts w:ascii="宋体" w:hAnsi="宋体" w:cs="宋体" w:hint="eastAsia"/>
        </w:rPr>
        <w:t>North China launches research academy on Three-North Shelterbelt Forest Program 新华通讯社</w:t>
      </w:r>
      <w:bookmarkEnd w:id="186"/>
      <w:bookmarkEnd w:id="190"/>
      <w:r>
        <w:rPr>
          <w:rFonts w:ascii="宋体" w:hAnsi="宋体" w:cs="宋体" w:hint="eastAsia"/>
        </w:rPr>
        <w:t> </w:t>
      </w:r>
      <w:bookmarkEnd w:id="187"/>
      <w:bookmarkEnd w:id="191"/>
    </w:p>
    <w:p w14:paraId="1E4388A3"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192" w:name="_Ref199152441"/>
      <w:r>
        <w:rPr>
          <w:rFonts w:ascii="宋体" w:hAnsi="宋体" w:cs="宋体" w:hint="eastAsia"/>
        </w:rPr>
        <w:t xml:space="preserve">SHAN </w:t>
      </w:r>
      <w:proofErr w:type="spellStart"/>
      <w:proofErr w:type="gramStart"/>
      <w:r>
        <w:rPr>
          <w:rFonts w:ascii="宋体" w:hAnsi="宋体" w:cs="宋体" w:hint="eastAsia"/>
        </w:rPr>
        <w:t>W.Ecological</w:t>
      </w:r>
      <w:proofErr w:type="spellEnd"/>
      <w:proofErr w:type="gramEnd"/>
      <w:r>
        <w:rPr>
          <w:rFonts w:ascii="宋体" w:hAnsi="宋体" w:cs="宋体" w:hint="eastAsia"/>
        </w:rPr>
        <w:t xml:space="preserve"> environment quality assessment based on remote sensing data for land consolidation[J</w:t>
      </w:r>
      <w:proofErr w:type="gramStart"/>
      <w:r>
        <w:rPr>
          <w:rFonts w:ascii="宋体" w:hAnsi="宋体" w:cs="宋体" w:hint="eastAsia"/>
        </w:rPr>
        <w:t>].Journal</w:t>
      </w:r>
      <w:proofErr w:type="gramEnd"/>
      <w:r>
        <w:rPr>
          <w:rFonts w:ascii="宋体" w:hAnsi="宋体" w:cs="宋体" w:hint="eastAsia"/>
        </w:rPr>
        <w:t xml:space="preserve"> of Cleaner Production,2019,23(9):118-126.</w:t>
      </w:r>
      <w:bookmarkEnd w:id="188"/>
      <w:bookmarkEnd w:id="192"/>
    </w:p>
    <w:p w14:paraId="1FDD968E"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193" w:name="_Ref25009"/>
      <w:proofErr w:type="gramStart"/>
      <w:r>
        <w:rPr>
          <w:rFonts w:ascii="宋体" w:hAnsi="宋体" w:cs="宋体" w:hint="eastAsia"/>
        </w:rPr>
        <w:t>王新驰</w:t>
      </w:r>
      <w:proofErr w:type="gramEnd"/>
      <w:r>
        <w:rPr>
          <w:rFonts w:ascii="宋体" w:hAnsi="宋体" w:cs="宋体" w:hint="eastAsia"/>
        </w:rPr>
        <w:t xml:space="preserve">,鲁铁定,龚循强,等.基于改进遥感生态指数的南昌市生态环境质量监测与评价[J].科学技术与工程, 2023,23(35):15319-15327.Wang Xinchi, Lu </w:t>
      </w:r>
      <w:proofErr w:type="spellStart"/>
      <w:r>
        <w:rPr>
          <w:rFonts w:ascii="宋体" w:hAnsi="宋体" w:cs="宋体" w:hint="eastAsia"/>
        </w:rPr>
        <w:t>Tieding</w:t>
      </w:r>
      <w:proofErr w:type="spellEnd"/>
      <w:r>
        <w:rPr>
          <w:rFonts w:ascii="宋体" w:hAnsi="宋体" w:cs="宋体" w:hint="eastAsia"/>
        </w:rPr>
        <w:t>, Gong Xunqiang, et al. Ecological environment quality monitoring and evaluation in Nanchang City based on improved remote sensing ecological index[J</w:t>
      </w:r>
      <w:proofErr w:type="gramStart"/>
      <w:r>
        <w:rPr>
          <w:rFonts w:ascii="宋体" w:hAnsi="宋体" w:cs="宋体" w:hint="eastAsia"/>
        </w:rPr>
        <w:t>].Science</w:t>
      </w:r>
      <w:proofErr w:type="gramEnd"/>
      <w:r>
        <w:rPr>
          <w:rFonts w:ascii="宋体" w:hAnsi="宋体" w:cs="宋体" w:hint="eastAsia"/>
        </w:rPr>
        <w:t xml:space="preserve"> Technology and Engineering, 2023,23(35):15319-15327.</w:t>
      </w:r>
      <w:bookmarkEnd w:id="193"/>
    </w:p>
    <w:p w14:paraId="12E5880D"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194" w:name="_Ref25672"/>
      <w:r>
        <w:rPr>
          <w:rFonts w:ascii="宋体" w:hAnsi="宋体" w:cs="宋体" w:hint="eastAsia"/>
        </w:rPr>
        <w:t>辛尚珍,黄思洁,连海峰.福建省城市生态环境质量障碍因子及提升路径研究[J].环境科学与管理, 2024,49(4):11-</w:t>
      </w:r>
      <w:proofErr w:type="gramStart"/>
      <w:r>
        <w:rPr>
          <w:rFonts w:ascii="宋体" w:hAnsi="宋体" w:cs="宋体" w:hint="eastAsia"/>
        </w:rPr>
        <w:t>16.Xin</w:t>
      </w:r>
      <w:proofErr w:type="gramEnd"/>
      <w:r>
        <w:rPr>
          <w:rFonts w:ascii="宋体" w:hAnsi="宋体" w:cs="宋体" w:hint="eastAsia"/>
        </w:rPr>
        <w:t xml:space="preserve"> Shangzhen, Huang Sijie, Lian Haifeng. Obstacle factors and improvement paths of urban ecological environment quality in Fujian Province[J]. Environmental Science and Management, 2024,49(4):11-16.</w:t>
      </w:r>
      <w:bookmarkEnd w:id="194"/>
    </w:p>
    <w:p w14:paraId="0AA1129F"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195" w:name="_Ref25897"/>
      <w:proofErr w:type="gramStart"/>
      <w:r>
        <w:rPr>
          <w:rFonts w:ascii="宋体" w:hAnsi="宋体" w:cs="宋体" w:hint="eastAsia"/>
        </w:rPr>
        <w:t>王锦东</w:t>
      </w:r>
      <w:proofErr w:type="gramEnd"/>
      <w:r>
        <w:rPr>
          <w:rFonts w:ascii="宋体" w:hAnsi="宋体" w:cs="宋体" w:hint="eastAsia"/>
        </w:rPr>
        <w:t xml:space="preserve">,苏海磊,李会仙,等.典型流域生态完整性评价和应用研究进展[J].环境工程, 2022,40(10):233-241.Wang Jindong, Su Hailei, Li </w:t>
      </w:r>
      <w:proofErr w:type="spellStart"/>
      <w:r>
        <w:rPr>
          <w:rFonts w:ascii="宋体" w:hAnsi="宋体" w:cs="宋体" w:hint="eastAsia"/>
        </w:rPr>
        <w:t>Huixian</w:t>
      </w:r>
      <w:proofErr w:type="spellEnd"/>
      <w:r>
        <w:rPr>
          <w:rFonts w:ascii="宋体" w:hAnsi="宋体" w:cs="宋体" w:hint="eastAsia"/>
        </w:rPr>
        <w:t>, et al. Research progress on ecological integrity evaluation and application of typical river basins[J]. Environmental Engineering, 2022, 40(10):233-241.</w:t>
      </w:r>
      <w:bookmarkEnd w:id="195"/>
    </w:p>
    <w:p w14:paraId="60542491"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196" w:name="_Ref26586"/>
      <w:proofErr w:type="gramStart"/>
      <w:r>
        <w:rPr>
          <w:rFonts w:ascii="宋体" w:hAnsi="宋体" w:cs="宋体" w:hint="eastAsia"/>
        </w:rPr>
        <w:t>徐涵秋</w:t>
      </w:r>
      <w:proofErr w:type="gramEnd"/>
      <w:r>
        <w:rPr>
          <w:rFonts w:ascii="宋体" w:hAnsi="宋体" w:cs="宋体" w:hint="eastAsia"/>
        </w:rPr>
        <w:t>.区域生态环境变化的遥感评价指数[J].中国环境科学,2013,33(5):889-897.</w:t>
      </w:r>
      <w:bookmarkEnd w:id="196"/>
    </w:p>
    <w:p w14:paraId="170BC178"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197" w:name="_Ref23991"/>
      <w:r>
        <w:rPr>
          <w:rFonts w:ascii="宋体" w:hAnsi="宋体" w:cs="宋体" w:hint="eastAsia"/>
        </w:rPr>
        <w:t xml:space="preserve">XU </w:t>
      </w:r>
      <w:proofErr w:type="spellStart"/>
      <w:r>
        <w:rPr>
          <w:rFonts w:ascii="宋体" w:hAnsi="宋体" w:cs="宋体" w:hint="eastAsia"/>
        </w:rPr>
        <w:t>Hanqiu.A</w:t>
      </w:r>
      <w:proofErr w:type="spellEnd"/>
      <w:r>
        <w:rPr>
          <w:rFonts w:ascii="宋体" w:hAnsi="宋体" w:cs="宋体" w:hint="eastAsia"/>
        </w:rPr>
        <w:t xml:space="preserve"> remote sensing Urban Ecological Index and its application[J].Acta </w:t>
      </w:r>
      <w:proofErr w:type="spellStart"/>
      <w:r>
        <w:rPr>
          <w:rFonts w:ascii="宋体" w:hAnsi="宋体" w:cs="宋体" w:hint="eastAsia"/>
        </w:rPr>
        <w:t>Ecologica</w:t>
      </w:r>
      <w:proofErr w:type="spellEnd"/>
      <w:r>
        <w:rPr>
          <w:rFonts w:ascii="宋体" w:hAnsi="宋体" w:cs="宋体" w:hint="eastAsia"/>
        </w:rPr>
        <w:t xml:space="preserve"> Sinica,2013,33 (24):7853-7862.[徐</w:t>
      </w:r>
      <w:r>
        <w:rPr>
          <w:rFonts w:ascii="宋体" w:hAnsi="宋体" w:cs="宋体" w:hint="eastAsia"/>
        </w:rPr>
        <w:lastRenderedPageBreak/>
        <w:t>涵秋.城市遥感生态指数的创建及其应用[J].生态学报,2013,33(24):7853-7862.]</w:t>
      </w:r>
      <w:bookmarkEnd w:id="197"/>
    </w:p>
    <w:p w14:paraId="3909D68F"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198" w:name="_Ref18218"/>
      <w:r>
        <w:rPr>
          <w:rFonts w:ascii="宋体" w:hAnsi="宋体" w:cs="宋体" w:hint="eastAsia"/>
        </w:rPr>
        <w:t xml:space="preserve">高志强, </w:t>
      </w:r>
      <w:proofErr w:type="gramStart"/>
      <w:r>
        <w:rPr>
          <w:rFonts w:ascii="宋体" w:hAnsi="宋体" w:cs="宋体" w:hint="eastAsia"/>
        </w:rPr>
        <w:t>刘纪远</w:t>
      </w:r>
      <w:proofErr w:type="gramEnd"/>
      <w:r>
        <w:rPr>
          <w:rFonts w:ascii="宋体" w:hAnsi="宋体" w:cs="宋体" w:hint="eastAsia"/>
        </w:rPr>
        <w:t>, 庄大方. 中国土地资源生态环境质量状况分析[J]. 自然资源学报,1999,14(01):94-97.</w:t>
      </w:r>
      <w:bookmarkEnd w:id="198"/>
    </w:p>
    <w:p w14:paraId="49790E1B"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199" w:name="_Ref16438"/>
      <w:r>
        <w:rPr>
          <w:rFonts w:ascii="宋体" w:hAnsi="宋体" w:cs="宋体" w:hint="eastAsia"/>
        </w:rPr>
        <w:t>叶亚平, 刘鲁君. 中国省域生态环境质量评价指标体系研究[J]. 环境科学研究,2000,13(03):33-36.</w:t>
      </w:r>
      <w:bookmarkEnd w:id="199"/>
    </w:p>
    <w:p w14:paraId="441EF9B3"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200" w:name="_Ref18684"/>
      <w:proofErr w:type="gramStart"/>
      <w:r>
        <w:rPr>
          <w:rFonts w:ascii="宋体" w:hAnsi="宋体" w:cs="宋体" w:hint="eastAsia"/>
        </w:rPr>
        <w:t>查勇</w:t>
      </w:r>
      <w:proofErr w:type="gramEnd"/>
      <w:r>
        <w:rPr>
          <w:rFonts w:ascii="宋体" w:hAnsi="宋体" w:cs="宋体" w:hint="eastAsia"/>
        </w:rPr>
        <w:t>, 倪绍祥, 杨山. 一种利用TM图像自动提取城镇用地信息的有效方法[J]. 遥感学报,2003,7(01):37-40.</w:t>
      </w:r>
      <w:bookmarkEnd w:id="200"/>
    </w:p>
    <w:p w14:paraId="735E2456"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201" w:name="_Ref21398"/>
      <w:r>
        <w:rPr>
          <w:rFonts w:ascii="宋体" w:hAnsi="宋体" w:cs="宋体" w:hint="eastAsia"/>
        </w:rPr>
        <w:t>徐涵秋. 利用改进的归一化差异水体指数(MNDWI)提取水体信息的研究[J]. 遥感学报, 2005,9(05):589-595.</w:t>
      </w:r>
      <w:bookmarkEnd w:id="201"/>
    </w:p>
    <w:p w14:paraId="7DA4EF0D"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202" w:name="_Ref23139"/>
      <w:proofErr w:type="gramStart"/>
      <w:r>
        <w:rPr>
          <w:rFonts w:ascii="宋体" w:hAnsi="宋体" w:cs="宋体" w:hint="eastAsia"/>
        </w:rPr>
        <w:t>李洪义</w:t>
      </w:r>
      <w:proofErr w:type="gramEnd"/>
      <w:r>
        <w:rPr>
          <w:rFonts w:ascii="宋体" w:hAnsi="宋体" w:cs="宋体" w:hint="eastAsia"/>
        </w:rPr>
        <w:t xml:space="preserve">, </w:t>
      </w:r>
      <w:proofErr w:type="gramStart"/>
      <w:r>
        <w:rPr>
          <w:rFonts w:ascii="宋体" w:hAnsi="宋体" w:cs="宋体" w:hint="eastAsia"/>
        </w:rPr>
        <w:t>史舟</w:t>
      </w:r>
      <w:proofErr w:type="gramEnd"/>
      <w:r>
        <w:rPr>
          <w:rFonts w:ascii="宋体" w:hAnsi="宋体" w:cs="宋体" w:hint="eastAsia"/>
        </w:rPr>
        <w:t>, 郭亚东, 等. 基于遥感与GIS技术的福建省生态环境质量评价[J]. 遥感技术与应用, 2006,21(01):49-54.</w:t>
      </w:r>
      <w:bookmarkEnd w:id="202"/>
    </w:p>
    <w:p w14:paraId="3B73B0A5"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203" w:name="_Ref23351"/>
      <w:r>
        <w:rPr>
          <w:rFonts w:ascii="宋体" w:hAnsi="宋体" w:cs="宋体" w:hint="eastAsia"/>
        </w:rPr>
        <w:t>岳文泽, 徐建华, 徐丽华. 基于遥感影像的城市土地利用生态环境效应研究—以城市热环境和植被指数为例[J]. 生态学报, 2006,26(05):1450-1460.</w:t>
      </w:r>
      <w:bookmarkEnd w:id="203"/>
    </w:p>
    <w:p w14:paraId="604C8B92"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204" w:name="_Ref24017"/>
      <w:r>
        <w:rPr>
          <w:rFonts w:ascii="宋体" w:hAnsi="宋体" w:cs="宋体" w:hint="eastAsia"/>
        </w:rPr>
        <w:t>Hu X, Xu H. A New Remote Sensing Index for Assessing the Spatial Heterogeneity in Urban Ecological Quality: A Case from Fuzhou City, China[J]. Ecological Indicators, 2018,89:11-21.</w:t>
      </w:r>
      <w:bookmarkEnd w:id="204"/>
    </w:p>
    <w:p w14:paraId="739353E0"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205" w:name="_Ref24301"/>
      <w:r>
        <w:rPr>
          <w:rFonts w:ascii="宋体" w:hAnsi="宋体" w:cs="宋体" w:hint="eastAsia"/>
        </w:rPr>
        <w:t xml:space="preserve">CHEN </w:t>
      </w:r>
      <w:proofErr w:type="spellStart"/>
      <w:r>
        <w:rPr>
          <w:rFonts w:ascii="宋体" w:hAnsi="宋体" w:cs="宋体" w:hint="eastAsia"/>
        </w:rPr>
        <w:t>Yujun,WANG</w:t>
      </w:r>
      <w:proofErr w:type="spellEnd"/>
      <w:r>
        <w:rPr>
          <w:rFonts w:ascii="宋体" w:hAnsi="宋体" w:cs="宋体" w:hint="eastAsia"/>
        </w:rPr>
        <w:t xml:space="preserve"> </w:t>
      </w:r>
      <w:proofErr w:type="spellStart"/>
      <w:r>
        <w:rPr>
          <w:rFonts w:ascii="宋体" w:hAnsi="宋体" w:cs="宋体" w:hint="eastAsia"/>
        </w:rPr>
        <w:t>Lingyu,LI</w:t>
      </w:r>
      <w:proofErr w:type="spellEnd"/>
      <w:r>
        <w:rPr>
          <w:rFonts w:ascii="宋体" w:hAnsi="宋体" w:cs="宋体" w:hint="eastAsia"/>
        </w:rPr>
        <w:t xml:space="preserve"> </w:t>
      </w:r>
      <w:proofErr w:type="spellStart"/>
      <w:r>
        <w:rPr>
          <w:rFonts w:ascii="宋体" w:hAnsi="宋体" w:cs="宋体" w:hint="eastAsia"/>
        </w:rPr>
        <w:t>yue,et</w:t>
      </w:r>
      <w:proofErr w:type="spellEnd"/>
      <w:r>
        <w:rPr>
          <w:rFonts w:ascii="宋体" w:hAnsi="宋体" w:cs="宋体" w:hint="eastAsia"/>
        </w:rPr>
        <w:t xml:space="preserve"> </w:t>
      </w:r>
      <w:proofErr w:type="spellStart"/>
      <w:r>
        <w:rPr>
          <w:rFonts w:ascii="宋体" w:hAnsi="宋体" w:cs="宋体" w:hint="eastAsia"/>
        </w:rPr>
        <w:t>al.Dynamic</w:t>
      </w:r>
      <w:proofErr w:type="spellEnd"/>
      <w:r>
        <w:rPr>
          <w:rFonts w:ascii="宋体" w:hAnsi="宋体" w:cs="宋体" w:hint="eastAsia"/>
        </w:rPr>
        <w:t xml:space="preserve"> monitor‐</w:t>
      </w:r>
      <w:proofErr w:type="spellStart"/>
      <w:r>
        <w:rPr>
          <w:rFonts w:ascii="宋体" w:hAnsi="宋体" w:cs="宋体" w:hint="eastAsia"/>
        </w:rPr>
        <w:t>ing</w:t>
      </w:r>
      <w:proofErr w:type="spellEnd"/>
      <w:r>
        <w:rPr>
          <w:rFonts w:ascii="宋体" w:hAnsi="宋体" w:cs="宋体" w:hint="eastAsia"/>
        </w:rPr>
        <w:t xml:space="preserve"> of ecological quality for Hangzhou Great‐er Bay Area and its response to land use cover change using remote sensing based ecological index[J].Remote Sensing Technology and Application,2024,39(3):764-776.[陈宇骏,王凌宇,李悦,等.基于遥感生态指数的杭州湾大湾区生态质量演化监测及其对土地利用响应分析[J].遥感技术与应用,2024,39(3):764-776.]</w:t>
      </w:r>
      <w:bookmarkEnd w:id="205"/>
    </w:p>
    <w:p w14:paraId="7605B188"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206" w:name="_Ref24527"/>
      <w:r>
        <w:rPr>
          <w:rFonts w:ascii="宋体" w:hAnsi="宋体" w:cs="宋体" w:hint="eastAsia"/>
        </w:rPr>
        <w:t xml:space="preserve">SONG </w:t>
      </w:r>
      <w:proofErr w:type="spellStart"/>
      <w:r>
        <w:rPr>
          <w:rFonts w:ascii="宋体" w:hAnsi="宋体" w:cs="宋体" w:hint="eastAsia"/>
        </w:rPr>
        <w:t>Ke,WANG</w:t>
      </w:r>
      <w:proofErr w:type="spellEnd"/>
      <w:r>
        <w:rPr>
          <w:rFonts w:ascii="宋体" w:hAnsi="宋体" w:cs="宋体" w:hint="eastAsia"/>
        </w:rPr>
        <w:t xml:space="preserve"> </w:t>
      </w:r>
      <w:proofErr w:type="spellStart"/>
      <w:r>
        <w:rPr>
          <w:rFonts w:ascii="宋体" w:hAnsi="宋体" w:cs="宋体" w:hint="eastAsia"/>
        </w:rPr>
        <w:t>Yujun,LI</w:t>
      </w:r>
      <w:proofErr w:type="spellEnd"/>
      <w:r>
        <w:rPr>
          <w:rFonts w:ascii="宋体" w:hAnsi="宋体" w:cs="宋体" w:hint="eastAsia"/>
        </w:rPr>
        <w:t xml:space="preserve"> </w:t>
      </w:r>
      <w:proofErr w:type="spellStart"/>
      <w:r>
        <w:rPr>
          <w:rFonts w:ascii="宋体" w:hAnsi="宋体" w:cs="宋体" w:hint="eastAsia"/>
        </w:rPr>
        <w:t>Yin.Monitoring</w:t>
      </w:r>
      <w:proofErr w:type="spellEnd"/>
      <w:r>
        <w:rPr>
          <w:rFonts w:ascii="宋体" w:hAnsi="宋体" w:cs="宋体" w:hint="eastAsia"/>
        </w:rPr>
        <w:t xml:space="preserve"> of ecological environment changes in the Yangtze River Economic Belt (Ji‐</w:t>
      </w:r>
      <w:proofErr w:type="spellStart"/>
      <w:r>
        <w:rPr>
          <w:rFonts w:ascii="宋体" w:hAnsi="宋体" w:cs="宋体" w:hint="eastAsia"/>
        </w:rPr>
        <w:t>angsu</w:t>
      </w:r>
      <w:proofErr w:type="spellEnd"/>
      <w:r>
        <w:rPr>
          <w:rFonts w:ascii="宋体" w:hAnsi="宋体" w:cs="宋体" w:hint="eastAsia"/>
        </w:rPr>
        <w:t xml:space="preserve"> province) from 1999 to 2020 and analysis of the driving‐forces of human activities[J].Bulletin of Surveying and Map‐ping,2021(2):7-12.[宋珂,王玉军,李胤.1999-2020年长江经济带(江苏段)生态环境变化监测及人类活动驱动分析[J].测绘通报,2021(2):7-12.]</w:t>
      </w:r>
      <w:bookmarkEnd w:id="206"/>
    </w:p>
    <w:p w14:paraId="5378A3AB"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207" w:name="_Ref25490"/>
      <w:r>
        <w:rPr>
          <w:rFonts w:ascii="宋体" w:hAnsi="宋体" w:cs="宋体" w:hint="eastAsia"/>
        </w:rPr>
        <w:t xml:space="preserve">ZHU </w:t>
      </w:r>
      <w:proofErr w:type="spellStart"/>
      <w:r>
        <w:rPr>
          <w:rFonts w:ascii="宋体" w:hAnsi="宋体" w:cs="宋体" w:hint="eastAsia"/>
        </w:rPr>
        <w:t>Xiang,WANG</w:t>
      </w:r>
      <w:proofErr w:type="spellEnd"/>
      <w:r>
        <w:rPr>
          <w:rFonts w:ascii="宋体" w:hAnsi="宋体" w:cs="宋体" w:hint="eastAsia"/>
        </w:rPr>
        <w:t xml:space="preserve"> </w:t>
      </w:r>
      <w:proofErr w:type="spellStart"/>
      <w:r>
        <w:rPr>
          <w:rFonts w:ascii="宋体" w:hAnsi="宋体" w:cs="宋体" w:hint="eastAsia"/>
        </w:rPr>
        <w:t>Hui,WU</w:t>
      </w:r>
      <w:proofErr w:type="spellEnd"/>
      <w:r>
        <w:rPr>
          <w:rFonts w:ascii="宋体" w:hAnsi="宋体" w:cs="宋体" w:hint="eastAsia"/>
        </w:rPr>
        <w:t xml:space="preserve"> </w:t>
      </w:r>
      <w:proofErr w:type="spellStart"/>
      <w:r>
        <w:rPr>
          <w:rFonts w:ascii="宋体" w:hAnsi="宋体" w:cs="宋体" w:hint="eastAsia"/>
        </w:rPr>
        <w:t>Yijun,et</w:t>
      </w:r>
      <w:proofErr w:type="spellEnd"/>
      <w:r>
        <w:rPr>
          <w:rFonts w:ascii="宋体" w:hAnsi="宋体" w:cs="宋体" w:hint="eastAsia"/>
        </w:rPr>
        <w:t xml:space="preserve"> </w:t>
      </w:r>
      <w:proofErr w:type="spellStart"/>
      <w:r>
        <w:rPr>
          <w:rFonts w:ascii="宋体" w:hAnsi="宋体" w:cs="宋体" w:hint="eastAsia"/>
        </w:rPr>
        <w:t>al.Research</w:t>
      </w:r>
      <w:proofErr w:type="spellEnd"/>
      <w:r>
        <w:rPr>
          <w:rFonts w:ascii="宋体" w:hAnsi="宋体" w:cs="宋体" w:hint="eastAsia"/>
        </w:rPr>
        <w:t xml:space="preserve"> on the coupling coordination degree of urbanization and eco-environ‐</w:t>
      </w:r>
      <w:proofErr w:type="spellStart"/>
      <w:r>
        <w:rPr>
          <w:rFonts w:ascii="宋体" w:hAnsi="宋体" w:cs="宋体" w:hint="eastAsia"/>
        </w:rPr>
        <w:t>ment</w:t>
      </w:r>
      <w:proofErr w:type="spellEnd"/>
      <w:r>
        <w:rPr>
          <w:rFonts w:ascii="宋体" w:hAnsi="宋体" w:cs="宋体" w:hint="eastAsia"/>
        </w:rPr>
        <w:t xml:space="preserve"> of the urban agglomeration in the Middle Reaches of the Yangtze Ri</w:t>
      </w:r>
      <w:r>
        <w:rPr>
          <w:rFonts w:ascii="宋体" w:hAnsi="宋体" w:cs="宋体" w:hint="eastAsia"/>
        </w:rPr>
        <w:lastRenderedPageBreak/>
        <w:t>ver based on Google Earth Engine[J].Resources and Environment in the Yangtze Basin,2022,31(12):2706-2717.[朱翔,王晖,吴宜进,等.基于Google Earth Engine的长江中游城市群城镇化与生态环境耦合协调研究[J].长江流域资源与环境,2022,31(12):2706-2717.]</w:t>
      </w:r>
      <w:bookmarkEnd w:id="207"/>
    </w:p>
    <w:p w14:paraId="562BBB4D"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208" w:name="_Ref25572"/>
      <w:r>
        <w:rPr>
          <w:rFonts w:ascii="宋体" w:hAnsi="宋体" w:cs="宋体" w:hint="eastAsia"/>
        </w:rPr>
        <w:t xml:space="preserve">ZHOU </w:t>
      </w:r>
      <w:proofErr w:type="spellStart"/>
      <w:r>
        <w:rPr>
          <w:rFonts w:ascii="宋体" w:hAnsi="宋体" w:cs="宋体" w:hint="eastAsia"/>
        </w:rPr>
        <w:t>Quanping,ZHANG</w:t>
      </w:r>
      <w:proofErr w:type="spellEnd"/>
      <w:r>
        <w:rPr>
          <w:rFonts w:ascii="宋体" w:hAnsi="宋体" w:cs="宋体" w:hint="eastAsia"/>
        </w:rPr>
        <w:t xml:space="preserve"> </w:t>
      </w:r>
      <w:proofErr w:type="spellStart"/>
      <w:r>
        <w:rPr>
          <w:rFonts w:ascii="宋体" w:hAnsi="宋体" w:cs="宋体" w:hint="eastAsia"/>
        </w:rPr>
        <w:t>Pengbin,XUE</w:t>
      </w:r>
      <w:proofErr w:type="spellEnd"/>
      <w:r>
        <w:rPr>
          <w:rFonts w:ascii="宋体" w:hAnsi="宋体" w:cs="宋体" w:hint="eastAsia"/>
        </w:rPr>
        <w:t xml:space="preserve"> </w:t>
      </w:r>
      <w:proofErr w:type="spellStart"/>
      <w:r>
        <w:rPr>
          <w:rFonts w:ascii="宋体" w:hAnsi="宋体" w:cs="宋体" w:hint="eastAsia"/>
        </w:rPr>
        <w:t>Tengfei,et</w:t>
      </w:r>
      <w:proofErr w:type="spellEnd"/>
      <w:r>
        <w:rPr>
          <w:rFonts w:ascii="宋体" w:hAnsi="宋体" w:cs="宋体" w:hint="eastAsia"/>
        </w:rPr>
        <w:t xml:space="preserve"> </w:t>
      </w:r>
      <w:proofErr w:type="spellStart"/>
      <w:r>
        <w:rPr>
          <w:rFonts w:ascii="宋体" w:hAnsi="宋体" w:cs="宋体" w:hint="eastAsia"/>
        </w:rPr>
        <w:t>al.Eco</w:t>
      </w:r>
      <w:proofErr w:type="spellEnd"/>
      <w:r>
        <w:rPr>
          <w:rFonts w:ascii="宋体" w:hAnsi="宋体" w:cs="宋体" w:hint="eastAsia"/>
        </w:rPr>
        <w:t>‐logical environment changes in Yangtze River Economic Zone in recent 20 years[J].Geology in China,2021,48(4):1127-1141.[周权平,张澎彬,</w:t>
      </w:r>
      <w:proofErr w:type="gramStart"/>
      <w:r>
        <w:rPr>
          <w:rFonts w:ascii="宋体" w:hAnsi="宋体" w:cs="宋体" w:hint="eastAsia"/>
        </w:rPr>
        <w:t>薛</w:t>
      </w:r>
      <w:proofErr w:type="gramEnd"/>
      <w:r>
        <w:rPr>
          <w:rFonts w:ascii="宋体" w:hAnsi="宋体" w:cs="宋体" w:hint="eastAsia"/>
        </w:rPr>
        <w:t>腾飞,等.近20年来长江经济带生态环境变化[J].中国地质,2021,48(4):1127-1141.]</w:t>
      </w:r>
      <w:bookmarkEnd w:id="208"/>
    </w:p>
    <w:p w14:paraId="66BD4D31"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209" w:name="_Ref28346"/>
      <w:r>
        <w:rPr>
          <w:rFonts w:ascii="宋体" w:hAnsi="宋体" w:cs="宋体" w:hint="eastAsia"/>
        </w:rPr>
        <w:t>陈宜欣,宁晓刚,张翰超,等.遥感生态指数(RSEI)模型及应用综述[J].自然资源遥感,2024,36(03):28-40.</w:t>
      </w:r>
      <w:bookmarkEnd w:id="209"/>
    </w:p>
    <w:p w14:paraId="074730F0"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210" w:name="_Ref28362"/>
      <w:proofErr w:type="gramStart"/>
      <w:r>
        <w:rPr>
          <w:rFonts w:ascii="宋体" w:hAnsi="宋体" w:cs="宋体" w:hint="eastAsia"/>
        </w:rPr>
        <w:t>桓</w:t>
      </w:r>
      <w:proofErr w:type="gramEnd"/>
      <w:r>
        <w:rPr>
          <w:rFonts w:ascii="宋体" w:hAnsi="宋体" w:cs="宋体" w:hint="eastAsia"/>
        </w:rPr>
        <w:t>荣兴,高伟.基于改进型遥感生态指数的宁夏生态环境质量时空变化及驱动因素分析[J/OL].大气与环境光学学报,1-19[2026-04-23].https://link.cnki.net/urlid/34.1298.O4.20250508.1101.002.</w:t>
      </w:r>
      <w:bookmarkEnd w:id="210"/>
    </w:p>
    <w:p w14:paraId="512D1C63" w14:textId="77777777" w:rsidR="00D46586" w:rsidRDefault="00000000">
      <w:pPr>
        <w:numPr>
          <w:ilvl w:val="0"/>
          <w:numId w:val="2"/>
        </w:numPr>
        <w:wordWrap w:val="0"/>
        <w:autoSpaceDE w:val="0"/>
        <w:spacing w:line="400" w:lineRule="exact"/>
        <w:ind w:left="960" w:hangingChars="200" w:hanging="480"/>
        <w:rPr>
          <w:rFonts w:ascii="宋体" w:hAnsi="宋体" w:cs="宋体" w:hint="eastAsia"/>
        </w:rPr>
      </w:pPr>
      <w:bookmarkStart w:id="211" w:name="_Ref28372"/>
      <w:r>
        <w:rPr>
          <w:rFonts w:ascii="宋体" w:hAnsi="宋体" w:cs="宋体" w:hint="eastAsia"/>
        </w:rPr>
        <w:t xml:space="preserve">Liu CL, LiY </w:t>
      </w:r>
      <w:proofErr w:type="spellStart"/>
      <w:proofErr w:type="gramStart"/>
      <w:r>
        <w:rPr>
          <w:rFonts w:ascii="宋体" w:hAnsi="宋体" w:cs="宋体" w:hint="eastAsia"/>
        </w:rPr>
        <w:t>N,He</w:t>
      </w:r>
      <w:proofErr w:type="spellEnd"/>
      <w:proofErr w:type="gramEnd"/>
      <w:r>
        <w:rPr>
          <w:rFonts w:ascii="宋体" w:hAnsi="宋体" w:cs="宋体" w:hint="eastAsia"/>
        </w:rPr>
        <w:t xml:space="preserve"> D M, Deng B W, </w:t>
      </w:r>
      <w:proofErr w:type="spellStart"/>
      <w:r>
        <w:rPr>
          <w:rFonts w:ascii="宋体" w:hAnsi="宋体" w:cs="宋体" w:hint="eastAsia"/>
        </w:rPr>
        <w:t>ZhangE</w:t>
      </w:r>
      <w:proofErr w:type="spellEnd"/>
      <w:r>
        <w:rPr>
          <w:rFonts w:ascii="宋体" w:hAnsi="宋体" w:cs="宋体" w:hint="eastAsia"/>
        </w:rPr>
        <w:t xml:space="preserve"> W, Weis Z, </w:t>
      </w:r>
      <w:proofErr w:type="spellStart"/>
      <w:r>
        <w:rPr>
          <w:rFonts w:ascii="宋体" w:hAnsi="宋体" w:cs="宋体" w:hint="eastAsia"/>
        </w:rPr>
        <w:t>DuanX</w:t>
      </w:r>
      <w:proofErr w:type="spellEnd"/>
      <w:r>
        <w:rPr>
          <w:rFonts w:ascii="宋体" w:hAnsi="宋体" w:cs="宋体" w:hint="eastAsia"/>
        </w:rPr>
        <w:t xml:space="preserve"> W. </w:t>
      </w:r>
      <w:proofErr w:type="spellStart"/>
      <w:r>
        <w:rPr>
          <w:rFonts w:ascii="宋体" w:hAnsi="宋体" w:cs="宋体" w:hint="eastAsia"/>
        </w:rPr>
        <w:t>Dynamidc</w:t>
      </w:r>
      <w:proofErr w:type="spellEnd"/>
      <w:r>
        <w:rPr>
          <w:rFonts w:ascii="宋体" w:hAnsi="宋体" w:cs="宋体" w:hint="eastAsia"/>
        </w:rPr>
        <w:t xml:space="preserve"> monitoring of eco-</w:t>
      </w:r>
      <w:proofErr w:type="spellStart"/>
      <w:r>
        <w:rPr>
          <w:rFonts w:ascii="宋体" w:hAnsi="宋体" w:cs="宋体" w:hint="eastAsia"/>
        </w:rPr>
        <w:t>envifonmental</w:t>
      </w:r>
      <w:proofErr w:type="spellEnd"/>
      <w:r>
        <w:rPr>
          <w:rFonts w:ascii="宋体" w:hAnsi="宋体" w:cs="宋体" w:hint="eastAsia"/>
        </w:rPr>
        <w:t xml:space="preserve"> quality in the Greater Mekong Subregion: Evolutionary characteristics and country </w:t>
      </w:r>
      <w:proofErr w:type="spellStart"/>
      <w:r>
        <w:rPr>
          <w:rFonts w:ascii="宋体" w:hAnsi="宋体" w:cs="宋体" w:hint="eastAsia"/>
        </w:rPr>
        <w:t>diferences</w:t>
      </w:r>
      <w:proofErr w:type="spellEnd"/>
      <w:r>
        <w:rPr>
          <w:rFonts w:ascii="宋体" w:hAnsi="宋体" w:cs="宋体" w:hint="eastAsia"/>
        </w:rPr>
        <w:t xml:space="preserve">. Environmental Impact </w:t>
      </w:r>
      <w:proofErr w:type="spellStart"/>
      <w:r>
        <w:rPr>
          <w:rFonts w:ascii="宋体" w:hAnsi="宋体" w:cs="宋体" w:hint="eastAsia"/>
        </w:rPr>
        <w:t>Asesment</w:t>
      </w:r>
      <w:proofErr w:type="spellEnd"/>
      <w:r>
        <w:rPr>
          <w:rFonts w:ascii="宋体" w:hAnsi="宋体" w:cs="宋体" w:hint="eastAsia"/>
        </w:rPr>
        <w:t xml:space="preserve"> Review, 2025, 110: 107700.</w:t>
      </w:r>
      <w:bookmarkEnd w:id="211"/>
    </w:p>
    <w:p w14:paraId="4AA6DA74" w14:textId="77777777" w:rsidR="00D46586" w:rsidRDefault="00000000">
      <w:pPr>
        <w:numPr>
          <w:ilvl w:val="0"/>
          <w:numId w:val="2"/>
        </w:numPr>
        <w:wordWrap w:val="0"/>
        <w:autoSpaceDE w:val="0"/>
        <w:spacing w:line="400" w:lineRule="exact"/>
        <w:ind w:left="960" w:hangingChars="200" w:hanging="480"/>
        <w:rPr>
          <w:rFonts w:asciiTheme="majorEastAsia" w:hAnsiTheme="majorEastAsia" w:cstheme="majorEastAsia" w:hint="eastAsia"/>
        </w:rPr>
      </w:pPr>
      <w:bookmarkStart w:id="212" w:name="_Ref28405"/>
      <w:r>
        <w:rPr>
          <w:rFonts w:ascii="宋体" w:hAnsi="宋体" w:cs="宋体" w:hint="eastAsia"/>
        </w:rPr>
        <w:t>孙晓雨,杨金明,张家豪,王鹏,李凤仪,五合山风景名胜区土地利用变化及其对生境质量的影响.自然保护地,2024,4(2):124-140</w:t>
      </w:r>
      <w:bookmarkEnd w:id="212"/>
    </w:p>
    <w:p w14:paraId="7E1781D5"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13" w:name="_Ref28418"/>
      <w:r>
        <w:rPr>
          <w:rFonts w:asciiTheme="majorEastAsia" w:hAnsiTheme="majorEastAsia" w:cstheme="majorEastAsia" w:hint="eastAsia"/>
        </w:rPr>
        <w:t>陈宜欣,宁晓刚,张翰超,等.遥感生态指数(RSEI)模型及应用综述[J].自然资源遥感,2024,36(03):28-40.</w:t>
      </w:r>
      <w:bookmarkEnd w:id="213"/>
    </w:p>
    <w:p w14:paraId="66DCC595"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14" w:name="_Ref28434"/>
      <w:r>
        <w:rPr>
          <w:rFonts w:asciiTheme="majorEastAsia" w:hAnsiTheme="majorEastAsia" w:cstheme="majorEastAsia" w:hint="eastAsia"/>
        </w:rPr>
        <w:t xml:space="preserve">Yue </w:t>
      </w:r>
      <w:proofErr w:type="gramStart"/>
      <w:r>
        <w:rPr>
          <w:rFonts w:asciiTheme="majorEastAsia" w:hAnsiTheme="majorEastAsia" w:cstheme="majorEastAsia" w:hint="eastAsia"/>
        </w:rPr>
        <w:t>H ,Liu</w:t>
      </w:r>
      <w:proofErr w:type="gramEnd"/>
      <w:r>
        <w:rPr>
          <w:rFonts w:asciiTheme="majorEastAsia" w:hAnsiTheme="majorEastAsia" w:cstheme="majorEastAsia" w:hint="eastAsia"/>
        </w:rPr>
        <w:t xml:space="preserve"> </w:t>
      </w:r>
      <w:proofErr w:type="gramStart"/>
      <w:r>
        <w:rPr>
          <w:rFonts w:asciiTheme="majorEastAsia" w:hAnsiTheme="majorEastAsia" w:cstheme="majorEastAsia" w:hint="eastAsia"/>
        </w:rPr>
        <w:t>Y ,Li</w:t>
      </w:r>
      <w:proofErr w:type="gramEnd"/>
      <w:r>
        <w:rPr>
          <w:rFonts w:asciiTheme="majorEastAsia" w:hAnsiTheme="majorEastAsia" w:cstheme="majorEastAsia" w:hint="eastAsia"/>
        </w:rPr>
        <w:t xml:space="preserve"> </w:t>
      </w:r>
      <w:proofErr w:type="gramStart"/>
      <w:r>
        <w:rPr>
          <w:rFonts w:asciiTheme="majorEastAsia" w:hAnsiTheme="majorEastAsia" w:cstheme="majorEastAsia" w:hint="eastAsia"/>
        </w:rPr>
        <w:t>Y ,</w:t>
      </w:r>
      <w:proofErr w:type="gramEnd"/>
      <w:r>
        <w:rPr>
          <w:rFonts w:asciiTheme="majorEastAsia" w:hAnsiTheme="majorEastAsia" w:cstheme="majorEastAsia" w:hint="eastAsia"/>
        </w:rPr>
        <w:t xml:space="preserve"> et </w:t>
      </w:r>
      <w:proofErr w:type="spellStart"/>
      <w:proofErr w:type="gramStart"/>
      <w:r>
        <w:rPr>
          <w:rFonts w:asciiTheme="majorEastAsia" w:hAnsiTheme="majorEastAsia" w:cstheme="majorEastAsia" w:hint="eastAsia"/>
        </w:rPr>
        <w:t>al.Eco</w:t>
      </w:r>
      <w:proofErr w:type="spellEnd"/>
      <w:proofErr w:type="gramEnd"/>
      <w:r>
        <w:rPr>
          <w:rFonts w:asciiTheme="majorEastAsia" w:hAnsiTheme="majorEastAsia" w:cstheme="majorEastAsia" w:hint="eastAsia"/>
        </w:rPr>
        <w:t xml:space="preserve">-Environmental Quality Assessment in China's 35 Major Cities Based </w:t>
      </w:r>
      <w:proofErr w:type="gramStart"/>
      <w:r>
        <w:rPr>
          <w:rFonts w:asciiTheme="majorEastAsia" w:hAnsiTheme="majorEastAsia" w:cstheme="majorEastAsia" w:hint="eastAsia"/>
        </w:rPr>
        <w:t>On</w:t>
      </w:r>
      <w:proofErr w:type="gramEnd"/>
      <w:r>
        <w:rPr>
          <w:rFonts w:asciiTheme="majorEastAsia" w:hAnsiTheme="majorEastAsia" w:cstheme="majorEastAsia" w:hint="eastAsia"/>
        </w:rPr>
        <w:t xml:space="preserve"> Remote Sensing Ecological </w:t>
      </w:r>
      <w:proofErr w:type="gramStart"/>
      <w:r>
        <w:rPr>
          <w:rFonts w:asciiTheme="majorEastAsia" w:hAnsiTheme="majorEastAsia" w:cstheme="majorEastAsia" w:hint="eastAsia"/>
        </w:rPr>
        <w:t>Index.[</w:t>
      </w:r>
      <w:proofErr w:type="gramEnd"/>
      <w:r>
        <w:rPr>
          <w:rFonts w:asciiTheme="majorEastAsia" w:hAnsiTheme="majorEastAsia" w:cstheme="majorEastAsia" w:hint="eastAsia"/>
        </w:rPr>
        <w:t>J</w:t>
      </w:r>
      <w:proofErr w:type="gramStart"/>
      <w:r>
        <w:rPr>
          <w:rFonts w:asciiTheme="majorEastAsia" w:hAnsiTheme="majorEastAsia" w:cstheme="majorEastAsia" w:hint="eastAsia"/>
        </w:rPr>
        <w:t>].IEEE</w:t>
      </w:r>
      <w:proofErr w:type="gramEnd"/>
      <w:r>
        <w:rPr>
          <w:rFonts w:asciiTheme="majorEastAsia" w:hAnsiTheme="majorEastAsia" w:cstheme="majorEastAsia" w:hint="eastAsia"/>
        </w:rPr>
        <w:t xml:space="preserve"> Access,2019,751295-51311.</w:t>
      </w:r>
      <w:bookmarkEnd w:id="214"/>
    </w:p>
    <w:p w14:paraId="3E94D30D"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15" w:name="_Ref28444"/>
      <w:r>
        <w:rPr>
          <w:rFonts w:asciiTheme="majorEastAsia" w:hAnsiTheme="majorEastAsia" w:cstheme="majorEastAsia" w:hint="eastAsia"/>
        </w:rPr>
        <w:t xml:space="preserve">Engineering; New Engineering Data Have Been Reported by Researchers at Xi'an University of Science and Technology (Eco-environmental Quality Assessment </w:t>
      </w:r>
      <w:proofErr w:type="gramStart"/>
      <w:r>
        <w:rPr>
          <w:rFonts w:asciiTheme="majorEastAsia" w:hAnsiTheme="majorEastAsia" w:cstheme="majorEastAsia" w:hint="eastAsia"/>
        </w:rPr>
        <w:t>In</w:t>
      </w:r>
      <w:proofErr w:type="gramEnd"/>
      <w:r>
        <w:rPr>
          <w:rFonts w:asciiTheme="majorEastAsia" w:hAnsiTheme="majorEastAsia" w:cstheme="majorEastAsia" w:hint="eastAsia"/>
        </w:rPr>
        <w:t xml:space="preserve"> China's 35 Major Cities Based </w:t>
      </w:r>
      <w:proofErr w:type="gramStart"/>
      <w:r>
        <w:rPr>
          <w:rFonts w:asciiTheme="majorEastAsia" w:hAnsiTheme="majorEastAsia" w:cstheme="majorEastAsia" w:hint="eastAsia"/>
        </w:rPr>
        <w:t>On</w:t>
      </w:r>
      <w:proofErr w:type="gramEnd"/>
      <w:r>
        <w:rPr>
          <w:rFonts w:asciiTheme="majorEastAsia" w:hAnsiTheme="majorEastAsia" w:cstheme="majorEastAsia" w:hint="eastAsia"/>
        </w:rPr>
        <w:t xml:space="preserve"> Remote Sensing Ecological </w:t>
      </w:r>
      <w:proofErr w:type="gramStart"/>
      <w:r>
        <w:rPr>
          <w:rFonts w:asciiTheme="majorEastAsia" w:hAnsiTheme="majorEastAsia" w:cstheme="majorEastAsia" w:hint="eastAsia"/>
        </w:rPr>
        <w:t>Index)[</w:t>
      </w:r>
      <w:proofErr w:type="gramEnd"/>
      <w:r>
        <w:rPr>
          <w:rFonts w:asciiTheme="majorEastAsia" w:hAnsiTheme="majorEastAsia" w:cstheme="majorEastAsia" w:hint="eastAsia"/>
        </w:rPr>
        <w:t>J</w:t>
      </w:r>
      <w:proofErr w:type="gramStart"/>
      <w:r>
        <w:rPr>
          <w:rFonts w:asciiTheme="majorEastAsia" w:hAnsiTheme="majorEastAsia" w:cstheme="majorEastAsia" w:hint="eastAsia"/>
        </w:rPr>
        <w:t>].Technology</w:t>
      </w:r>
      <w:proofErr w:type="gramEnd"/>
      <w:r>
        <w:rPr>
          <w:rFonts w:asciiTheme="majorEastAsia" w:hAnsiTheme="majorEastAsia" w:cstheme="majorEastAsia" w:hint="eastAsia"/>
        </w:rPr>
        <w:t xml:space="preserve"> News Focus,2019,</w:t>
      </w:r>
      <w:bookmarkEnd w:id="215"/>
    </w:p>
    <w:p w14:paraId="6E715F1B"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16" w:name="_Ref28463"/>
      <w:r>
        <w:rPr>
          <w:rFonts w:asciiTheme="majorEastAsia" w:hAnsiTheme="majorEastAsia" w:cstheme="majorEastAsia" w:hint="eastAsia"/>
        </w:rPr>
        <w:t xml:space="preserve">Mohammad F </w:t>
      </w:r>
      <w:proofErr w:type="gramStart"/>
      <w:r>
        <w:rPr>
          <w:rFonts w:asciiTheme="majorEastAsia" w:hAnsiTheme="majorEastAsia" w:cstheme="majorEastAsia" w:hint="eastAsia"/>
        </w:rPr>
        <w:t>K ,Solmaz</w:t>
      </w:r>
      <w:proofErr w:type="gramEnd"/>
      <w:r>
        <w:rPr>
          <w:rFonts w:asciiTheme="majorEastAsia" w:hAnsiTheme="majorEastAsia" w:cstheme="majorEastAsia" w:hint="eastAsia"/>
        </w:rPr>
        <w:t xml:space="preserve"> </w:t>
      </w:r>
      <w:proofErr w:type="gramStart"/>
      <w:r>
        <w:rPr>
          <w:rFonts w:asciiTheme="majorEastAsia" w:hAnsiTheme="majorEastAsia" w:cstheme="majorEastAsia" w:hint="eastAsia"/>
        </w:rPr>
        <w:t>F ,Majid</w:t>
      </w:r>
      <w:proofErr w:type="gramEnd"/>
      <w:r>
        <w:rPr>
          <w:rFonts w:asciiTheme="majorEastAsia" w:hAnsiTheme="majorEastAsia" w:cstheme="majorEastAsia" w:hint="eastAsia"/>
        </w:rPr>
        <w:t xml:space="preserve"> </w:t>
      </w:r>
      <w:proofErr w:type="gramStart"/>
      <w:r>
        <w:rPr>
          <w:rFonts w:asciiTheme="majorEastAsia" w:hAnsiTheme="majorEastAsia" w:cstheme="majorEastAsia" w:hint="eastAsia"/>
        </w:rPr>
        <w:t>K ,</w:t>
      </w:r>
      <w:proofErr w:type="gramEnd"/>
      <w:r>
        <w:rPr>
          <w:rFonts w:asciiTheme="majorEastAsia" w:hAnsiTheme="majorEastAsia" w:cstheme="majorEastAsia" w:hint="eastAsia"/>
        </w:rPr>
        <w:t xml:space="preserve"> et </w:t>
      </w:r>
      <w:proofErr w:type="spellStart"/>
      <w:proofErr w:type="gramStart"/>
      <w:r>
        <w:rPr>
          <w:rFonts w:asciiTheme="majorEastAsia" w:hAnsiTheme="majorEastAsia" w:cstheme="majorEastAsia" w:hint="eastAsia"/>
        </w:rPr>
        <w:t>al.Land</w:t>
      </w:r>
      <w:proofErr w:type="spellEnd"/>
      <w:proofErr w:type="gramEnd"/>
      <w:r>
        <w:rPr>
          <w:rFonts w:asciiTheme="majorEastAsia" w:hAnsiTheme="majorEastAsia" w:cstheme="majorEastAsia" w:hint="eastAsia"/>
        </w:rPr>
        <w:t xml:space="preserve"> Surface Ecological Status Composition Index (LSESCI): A novel remote sensing-based technique for modeling land surface ecological status</w:t>
      </w:r>
      <w:r>
        <w:rPr>
          <w:rFonts w:asciiTheme="majorEastAsia" w:hAnsiTheme="majorEastAsia" w:cstheme="majorEastAsia" w:hint="eastAsia"/>
        </w:rPr>
        <w:lastRenderedPageBreak/>
        <w:t>[J</w:t>
      </w:r>
      <w:proofErr w:type="gramStart"/>
      <w:r>
        <w:rPr>
          <w:rFonts w:asciiTheme="majorEastAsia" w:hAnsiTheme="majorEastAsia" w:cstheme="majorEastAsia" w:hint="eastAsia"/>
        </w:rPr>
        <w:t>].Ecological</w:t>
      </w:r>
      <w:proofErr w:type="gramEnd"/>
      <w:r>
        <w:rPr>
          <w:rFonts w:asciiTheme="majorEastAsia" w:hAnsiTheme="majorEastAsia" w:cstheme="majorEastAsia" w:hint="eastAsia"/>
        </w:rPr>
        <w:t xml:space="preserve"> Indicators,2021,123</w:t>
      </w:r>
      <w:proofErr w:type="gramStart"/>
      <w:r>
        <w:rPr>
          <w:rFonts w:asciiTheme="majorEastAsia" w:hAnsiTheme="majorEastAsia" w:cstheme="majorEastAsia" w:hint="eastAsia"/>
        </w:rPr>
        <w:t>DOI:10.1016/J.ECOLIND</w:t>
      </w:r>
      <w:proofErr w:type="gramEnd"/>
      <w:r>
        <w:rPr>
          <w:rFonts w:asciiTheme="majorEastAsia" w:hAnsiTheme="majorEastAsia" w:cstheme="majorEastAsia" w:hint="eastAsia"/>
        </w:rPr>
        <w:t>.2021.107375.</w:t>
      </w:r>
      <w:bookmarkEnd w:id="216"/>
    </w:p>
    <w:p w14:paraId="0E5A704B"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17" w:name="_Ref28489"/>
      <w:r>
        <w:rPr>
          <w:rFonts w:asciiTheme="majorEastAsia" w:hAnsiTheme="majorEastAsia" w:cstheme="majorEastAsia" w:hint="eastAsia"/>
        </w:rPr>
        <w:t xml:space="preserve">Karimi M </w:t>
      </w:r>
      <w:proofErr w:type="gramStart"/>
      <w:r>
        <w:rPr>
          <w:rFonts w:asciiTheme="majorEastAsia" w:hAnsiTheme="majorEastAsia" w:cstheme="majorEastAsia" w:hint="eastAsia"/>
        </w:rPr>
        <w:t>F ,Majid</w:t>
      </w:r>
      <w:proofErr w:type="gramEnd"/>
      <w:r>
        <w:rPr>
          <w:rFonts w:asciiTheme="majorEastAsia" w:hAnsiTheme="majorEastAsia" w:cstheme="majorEastAsia" w:hint="eastAsia"/>
        </w:rPr>
        <w:t xml:space="preserve"> </w:t>
      </w:r>
      <w:proofErr w:type="gramStart"/>
      <w:r>
        <w:rPr>
          <w:rFonts w:asciiTheme="majorEastAsia" w:hAnsiTheme="majorEastAsia" w:cstheme="majorEastAsia" w:hint="eastAsia"/>
        </w:rPr>
        <w:t>K ,Mehdi</w:t>
      </w:r>
      <w:proofErr w:type="gramEnd"/>
      <w:r>
        <w:rPr>
          <w:rFonts w:asciiTheme="majorEastAsia" w:hAnsiTheme="majorEastAsia" w:cstheme="majorEastAsia" w:hint="eastAsia"/>
        </w:rPr>
        <w:t xml:space="preserve"> </w:t>
      </w:r>
      <w:proofErr w:type="gramStart"/>
      <w:r>
        <w:rPr>
          <w:rFonts w:asciiTheme="majorEastAsia" w:hAnsiTheme="majorEastAsia" w:cstheme="majorEastAsia" w:hint="eastAsia"/>
        </w:rPr>
        <w:t>H ,</w:t>
      </w:r>
      <w:proofErr w:type="gramEnd"/>
      <w:r>
        <w:rPr>
          <w:rFonts w:asciiTheme="majorEastAsia" w:hAnsiTheme="majorEastAsia" w:cstheme="majorEastAsia" w:hint="eastAsia"/>
        </w:rPr>
        <w:t xml:space="preserve"> et </w:t>
      </w:r>
      <w:proofErr w:type="spellStart"/>
      <w:proofErr w:type="gramStart"/>
      <w:r>
        <w:rPr>
          <w:rFonts w:asciiTheme="majorEastAsia" w:hAnsiTheme="majorEastAsia" w:cstheme="majorEastAsia" w:hint="eastAsia"/>
        </w:rPr>
        <w:t>al.A</w:t>
      </w:r>
      <w:proofErr w:type="spellEnd"/>
      <w:proofErr w:type="gramEnd"/>
      <w:r>
        <w:rPr>
          <w:rFonts w:asciiTheme="majorEastAsia" w:hAnsiTheme="majorEastAsia" w:cstheme="majorEastAsia" w:hint="eastAsia"/>
        </w:rPr>
        <w:t xml:space="preserve"> novel method to quantify urban surface ecological poorness zone: A case study of several European cities[J</w:t>
      </w:r>
      <w:proofErr w:type="gramStart"/>
      <w:r>
        <w:rPr>
          <w:rFonts w:asciiTheme="majorEastAsia" w:hAnsiTheme="majorEastAsia" w:cstheme="majorEastAsia" w:hint="eastAsia"/>
        </w:rPr>
        <w:t>].Science</w:t>
      </w:r>
      <w:proofErr w:type="gramEnd"/>
      <w:r>
        <w:rPr>
          <w:rFonts w:asciiTheme="majorEastAsia" w:hAnsiTheme="majorEastAsia" w:cstheme="majorEastAsia" w:hint="eastAsia"/>
        </w:rPr>
        <w:t xml:space="preserve"> of the Total Environment,</w:t>
      </w:r>
      <w:proofErr w:type="gramStart"/>
      <w:r>
        <w:rPr>
          <w:rFonts w:asciiTheme="majorEastAsia" w:hAnsiTheme="majorEastAsia" w:cstheme="majorEastAsia" w:hint="eastAsia"/>
        </w:rPr>
        <w:t>2021,757143755-.DOI</w:t>
      </w:r>
      <w:proofErr w:type="gramEnd"/>
      <w:r>
        <w:rPr>
          <w:rFonts w:asciiTheme="majorEastAsia" w:hAnsiTheme="majorEastAsia" w:cstheme="majorEastAsia" w:hint="eastAsia"/>
        </w:rPr>
        <w:t>:10.1016/j.scitotenv.2020.143755.</w:t>
      </w:r>
      <w:bookmarkEnd w:id="217"/>
    </w:p>
    <w:p w14:paraId="3E92ACDC"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18" w:name="_Ref28506"/>
      <w:proofErr w:type="spellStart"/>
      <w:r>
        <w:rPr>
          <w:rFonts w:asciiTheme="majorEastAsia" w:hAnsiTheme="majorEastAsia" w:cstheme="majorEastAsia" w:hint="eastAsia"/>
        </w:rPr>
        <w:t>Muhadaisi</w:t>
      </w:r>
      <w:proofErr w:type="spellEnd"/>
      <w:r>
        <w:rPr>
          <w:rFonts w:asciiTheme="majorEastAsia" w:hAnsiTheme="majorEastAsia" w:cstheme="majorEastAsia" w:hint="eastAsia"/>
        </w:rPr>
        <w:t xml:space="preserve"> </w:t>
      </w:r>
      <w:proofErr w:type="gramStart"/>
      <w:r>
        <w:rPr>
          <w:rFonts w:asciiTheme="majorEastAsia" w:hAnsiTheme="majorEastAsia" w:cstheme="majorEastAsia" w:hint="eastAsia"/>
        </w:rPr>
        <w:t>A ,Fei</w:t>
      </w:r>
      <w:proofErr w:type="gramEnd"/>
      <w:r>
        <w:rPr>
          <w:rFonts w:asciiTheme="majorEastAsia" w:hAnsiTheme="majorEastAsia" w:cstheme="majorEastAsia" w:hint="eastAsia"/>
        </w:rPr>
        <w:t xml:space="preserve"> </w:t>
      </w:r>
      <w:proofErr w:type="gramStart"/>
      <w:r>
        <w:rPr>
          <w:rFonts w:asciiTheme="majorEastAsia" w:hAnsiTheme="majorEastAsia" w:cstheme="majorEastAsia" w:hint="eastAsia"/>
        </w:rPr>
        <w:t>Z ,Kang</w:t>
      </w:r>
      <w:proofErr w:type="gramEnd"/>
      <w:r>
        <w:rPr>
          <w:rFonts w:asciiTheme="majorEastAsia" w:hAnsiTheme="majorEastAsia" w:cstheme="majorEastAsia" w:hint="eastAsia"/>
        </w:rPr>
        <w:t xml:space="preserve"> </w:t>
      </w:r>
      <w:proofErr w:type="gramStart"/>
      <w:r>
        <w:rPr>
          <w:rFonts w:asciiTheme="majorEastAsia" w:hAnsiTheme="majorEastAsia" w:cstheme="majorEastAsia" w:hint="eastAsia"/>
        </w:rPr>
        <w:t>L ,</w:t>
      </w:r>
      <w:proofErr w:type="gramEnd"/>
      <w:r>
        <w:rPr>
          <w:rFonts w:asciiTheme="majorEastAsia" w:hAnsiTheme="majorEastAsia" w:cstheme="majorEastAsia" w:hint="eastAsia"/>
        </w:rPr>
        <w:t xml:space="preserve"> et </w:t>
      </w:r>
      <w:proofErr w:type="spellStart"/>
      <w:proofErr w:type="gramStart"/>
      <w:r>
        <w:rPr>
          <w:rFonts w:asciiTheme="majorEastAsia" w:hAnsiTheme="majorEastAsia" w:cstheme="majorEastAsia" w:hint="eastAsia"/>
        </w:rPr>
        <w:t>al.Coupling</w:t>
      </w:r>
      <w:proofErr w:type="spellEnd"/>
      <w:proofErr w:type="gramEnd"/>
      <w:r>
        <w:rPr>
          <w:rFonts w:asciiTheme="majorEastAsia" w:hAnsiTheme="majorEastAsia" w:cstheme="majorEastAsia" w:hint="eastAsia"/>
        </w:rPr>
        <w:t xml:space="preserve"> coordination analysis of urbanization and eco-environment in Yanqi Basin based on multi-source remote sensing data[J</w:t>
      </w:r>
      <w:proofErr w:type="gramStart"/>
      <w:r>
        <w:rPr>
          <w:rFonts w:asciiTheme="majorEastAsia" w:hAnsiTheme="majorEastAsia" w:cstheme="majorEastAsia" w:hint="eastAsia"/>
        </w:rPr>
        <w:t>].Ecological</w:t>
      </w:r>
      <w:proofErr w:type="gramEnd"/>
      <w:r>
        <w:rPr>
          <w:rFonts w:asciiTheme="majorEastAsia" w:hAnsiTheme="majorEastAsia" w:cstheme="majorEastAsia" w:hint="eastAsia"/>
        </w:rPr>
        <w:t xml:space="preserve"> Indicators,</w:t>
      </w:r>
      <w:proofErr w:type="gramStart"/>
      <w:r>
        <w:rPr>
          <w:rFonts w:asciiTheme="majorEastAsia" w:hAnsiTheme="majorEastAsia" w:cstheme="majorEastAsia" w:hint="eastAsia"/>
        </w:rPr>
        <w:t>2020,114106331-106331.DOI</w:t>
      </w:r>
      <w:proofErr w:type="gramEnd"/>
      <w:r>
        <w:rPr>
          <w:rFonts w:asciiTheme="majorEastAsia" w:hAnsiTheme="majorEastAsia" w:cstheme="majorEastAsia" w:hint="eastAsia"/>
        </w:rPr>
        <w:t>:10.1016/j.ecolind.2020.106331.</w:t>
      </w:r>
      <w:bookmarkEnd w:id="218"/>
    </w:p>
    <w:p w14:paraId="1BFE55EE"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19" w:name="_Ref28519"/>
      <w:r>
        <w:rPr>
          <w:rFonts w:asciiTheme="majorEastAsia" w:hAnsiTheme="majorEastAsia" w:cstheme="majorEastAsia" w:hint="eastAsia"/>
        </w:rPr>
        <w:t xml:space="preserve">Ecology - Wetland Ecology; Findings from F. Zhang and Co-Researchers Provides New Data on Wetland Ecology (Analysis of land cover and landscape change patterns in </w:t>
      </w:r>
      <w:proofErr w:type="spellStart"/>
      <w:r>
        <w:rPr>
          <w:rFonts w:asciiTheme="majorEastAsia" w:hAnsiTheme="majorEastAsia" w:cstheme="majorEastAsia" w:hint="eastAsia"/>
        </w:rPr>
        <w:t>Ebinur</w:t>
      </w:r>
      <w:proofErr w:type="spellEnd"/>
      <w:r>
        <w:rPr>
          <w:rFonts w:asciiTheme="majorEastAsia" w:hAnsiTheme="majorEastAsia" w:cstheme="majorEastAsia" w:hint="eastAsia"/>
        </w:rPr>
        <w:t xml:space="preserve"> Lake Wetland National Nature Reserve, China from 1972 to </w:t>
      </w:r>
      <w:proofErr w:type="gramStart"/>
      <w:r>
        <w:rPr>
          <w:rFonts w:asciiTheme="majorEastAsia" w:hAnsiTheme="majorEastAsia" w:cstheme="majorEastAsia" w:hint="eastAsia"/>
        </w:rPr>
        <w:t>2013)[</w:t>
      </w:r>
      <w:proofErr w:type="gramEnd"/>
      <w:r>
        <w:rPr>
          <w:rFonts w:asciiTheme="majorEastAsia" w:hAnsiTheme="majorEastAsia" w:cstheme="majorEastAsia" w:hint="eastAsia"/>
        </w:rPr>
        <w:t>J</w:t>
      </w:r>
      <w:proofErr w:type="gramStart"/>
      <w:r>
        <w:rPr>
          <w:rFonts w:asciiTheme="majorEastAsia" w:hAnsiTheme="majorEastAsia" w:cstheme="majorEastAsia" w:hint="eastAsia"/>
        </w:rPr>
        <w:t>].Energy</w:t>
      </w:r>
      <w:proofErr w:type="gramEnd"/>
      <w:r>
        <w:rPr>
          <w:rFonts w:asciiTheme="majorEastAsia" w:hAnsiTheme="majorEastAsia" w:cstheme="majorEastAsia" w:hint="eastAsia"/>
        </w:rPr>
        <w:t xml:space="preserve"> &amp; Ecology,2017,305-.</w:t>
      </w:r>
      <w:bookmarkEnd w:id="219"/>
    </w:p>
    <w:p w14:paraId="0733556B"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20" w:name="_Ref28535"/>
      <w:r>
        <w:rPr>
          <w:rFonts w:asciiTheme="majorEastAsia" w:hAnsiTheme="majorEastAsia" w:cstheme="majorEastAsia" w:hint="eastAsia"/>
        </w:rPr>
        <w:t xml:space="preserve">Yang </w:t>
      </w:r>
      <w:proofErr w:type="gramStart"/>
      <w:r>
        <w:rPr>
          <w:rFonts w:asciiTheme="majorEastAsia" w:hAnsiTheme="majorEastAsia" w:cstheme="majorEastAsia" w:hint="eastAsia"/>
        </w:rPr>
        <w:t>C ,Zhang</w:t>
      </w:r>
      <w:proofErr w:type="gramEnd"/>
      <w:r>
        <w:rPr>
          <w:rFonts w:asciiTheme="majorEastAsia" w:hAnsiTheme="majorEastAsia" w:cstheme="majorEastAsia" w:hint="eastAsia"/>
        </w:rPr>
        <w:t xml:space="preserve"> </w:t>
      </w:r>
      <w:proofErr w:type="gramStart"/>
      <w:r>
        <w:rPr>
          <w:rFonts w:asciiTheme="majorEastAsia" w:hAnsiTheme="majorEastAsia" w:cstheme="majorEastAsia" w:hint="eastAsia"/>
        </w:rPr>
        <w:t>C ,Li</w:t>
      </w:r>
      <w:proofErr w:type="gramEnd"/>
      <w:r>
        <w:rPr>
          <w:rFonts w:asciiTheme="majorEastAsia" w:hAnsiTheme="majorEastAsia" w:cstheme="majorEastAsia" w:hint="eastAsia"/>
        </w:rPr>
        <w:t xml:space="preserve"> </w:t>
      </w:r>
      <w:proofErr w:type="gramStart"/>
      <w:r>
        <w:rPr>
          <w:rFonts w:asciiTheme="majorEastAsia" w:hAnsiTheme="majorEastAsia" w:cstheme="majorEastAsia" w:hint="eastAsia"/>
        </w:rPr>
        <w:t>Q ,</w:t>
      </w:r>
      <w:proofErr w:type="gramEnd"/>
      <w:r>
        <w:rPr>
          <w:rFonts w:asciiTheme="majorEastAsia" w:hAnsiTheme="majorEastAsia" w:cstheme="majorEastAsia" w:hint="eastAsia"/>
        </w:rPr>
        <w:t xml:space="preserve"> et </w:t>
      </w:r>
      <w:proofErr w:type="spellStart"/>
      <w:proofErr w:type="gramStart"/>
      <w:r>
        <w:rPr>
          <w:rFonts w:asciiTheme="majorEastAsia" w:hAnsiTheme="majorEastAsia" w:cstheme="majorEastAsia" w:hint="eastAsia"/>
        </w:rPr>
        <w:t>al.Rapid</w:t>
      </w:r>
      <w:proofErr w:type="spellEnd"/>
      <w:proofErr w:type="gramEnd"/>
      <w:r>
        <w:rPr>
          <w:rFonts w:asciiTheme="majorEastAsia" w:hAnsiTheme="majorEastAsia" w:cstheme="majorEastAsia" w:hint="eastAsia"/>
        </w:rPr>
        <w:t xml:space="preserve"> urbanization and policy variation greatly drive ecological quality evolution in Guangdong-Hong Kong-Macau Greater Bay Area of China: A remote sensing perspective[J</w:t>
      </w:r>
      <w:proofErr w:type="gramStart"/>
      <w:r>
        <w:rPr>
          <w:rFonts w:asciiTheme="majorEastAsia" w:hAnsiTheme="majorEastAsia" w:cstheme="majorEastAsia" w:hint="eastAsia"/>
        </w:rPr>
        <w:t>].Ecological</w:t>
      </w:r>
      <w:proofErr w:type="gramEnd"/>
      <w:r>
        <w:rPr>
          <w:rFonts w:asciiTheme="majorEastAsia" w:hAnsiTheme="majorEastAsia" w:cstheme="majorEastAsia" w:hint="eastAsia"/>
        </w:rPr>
        <w:t xml:space="preserve"> Indicators,2020,115</w:t>
      </w:r>
      <w:proofErr w:type="gramStart"/>
      <w:r>
        <w:rPr>
          <w:rFonts w:asciiTheme="majorEastAsia" w:hAnsiTheme="majorEastAsia" w:cstheme="majorEastAsia" w:hint="eastAsia"/>
        </w:rPr>
        <w:t>DOI:10.1016/j.ecolind</w:t>
      </w:r>
      <w:proofErr w:type="gramEnd"/>
      <w:r>
        <w:rPr>
          <w:rFonts w:asciiTheme="majorEastAsia" w:hAnsiTheme="majorEastAsia" w:cstheme="majorEastAsia" w:hint="eastAsia"/>
        </w:rPr>
        <w:t>.2020.106373.</w:t>
      </w:r>
      <w:bookmarkEnd w:id="220"/>
    </w:p>
    <w:p w14:paraId="5760A80F"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21" w:name="_Ref28542"/>
      <w:r>
        <w:rPr>
          <w:rFonts w:asciiTheme="majorEastAsia" w:hAnsiTheme="majorEastAsia" w:cstheme="majorEastAsia" w:hint="eastAsia"/>
        </w:rPr>
        <w:t xml:space="preserve">Sajjad S </w:t>
      </w:r>
      <w:proofErr w:type="gramStart"/>
      <w:r>
        <w:rPr>
          <w:rFonts w:asciiTheme="majorEastAsia" w:hAnsiTheme="majorEastAsia" w:cstheme="majorEastAsia" w:hint="eastAsia"/>
        </w:rPr>
        <w:t>K ,Solmaz</w:t>
      </w:r>
      <w:proofErr w:type="gramEnd"/>
      <w:r>
        <w:rPr>
          <w:rFonts w:asciiTheme="majorEastAsia" w:hAnsiTheme="majorEastAsia" w:cstheme="majorEastAsia" w:hint="eastAsia"/>
        </w:rPr>
        <w:t xml:space="preserve"> </w:t>
      </w:r>
      <w:proofErr w:type="gramStart"/>
      <w:r>
        <w:rPr>
          <w:rFonts w:asciiTheme="majorEastAsia" w:hAnsiTheme="majorEastAsia" w:cstheme="majorEastAsia" w:hint="eastAsia"/>
        </w:rPr>
        <w:t>A ,Mostafa</w:t>
      </w:r>
      <w:proofErr w:type="gramEnd"/>
      <w:r>
        <w:rPr>
          <w:rFonts w:asciiTheme="majorEastAsia" w:hAnsiTheme="majorEastAsia" w:cstheme="majorEastAsia" w:hint="eastAsia"/>
        </w:rPr>
        <w:t xml:space="preserve"> </w:t>
      </w:r>
      <w:proofErr w:type="gramStart"/>
      <w:r>
        <w:rPr>
          <w:rFonts w:asciiTheme="majorEastAsia" w:hAnsiTheme="majorEastAsia" w:cstheme="majorEastAsia" w:hint="eastAsia"/>
        </w:rPr>
        <w:t>G .Spatiotemporal</w:t>
      </w:r>
      <w:proofErr w:type="gramEnd"/>
      <w:r>
        <w:rPr>
          <w:rFonts w:asciiTheme="majorEastAsia" w:hAnsiTheme="majorEastAsia" w:cstheme="majorEastAsia" w:hint="eastAsia"/>
        </w:rPr>
        <w:t xml:space="preserve"> ecological quality assessment of metropolitan cities: a case study of central Iran[J</w:t>
      </w:r>
      <w:proofErr w:type="gramStart"/>
      <w:r>
        <w:rPr>
          <w:rFonts w:asciiTheme="majorEastAsia" w:hAnsiTheme="majorEastAsia" w:cstheme="majorEastAsia" w:hint="eastAsia"/>
        </w:rPr>
        <w:t>].Environmental</w:t>
      </w:r>
      <w:proofErr w:type="gramEnd"/>
      <w:r>
        <w:rPr>
          <w:rFonts w:asciiTheme="majorEastAsia" w:hAnsiTheme="majorEastAsia" w:cstheme="majorEastAsia" w:hint="eastAsia"/>
        </w:rPr>
        <w:t xml:space="preserve"> Monitoring and Assessment,2021,193(5</w:t>
      </w:r>
      <w:proofErr w:type="gramStart"/>
      <w:r>
        <w:rPr>
          <w:rFonts w:asciiTheme="majorEastAsia" w:hAnsiTheme="majorEastAsia" w:cstheme="majorEastAsia" w:hint="eastAsia"/>
        </w:rPr>
        <w:t>):305-305.DOI</w:t>
      </w:r>
      <w:proofErr w:type="gramEnd"/>
      <w:r>
        <w:rPr>
          <w:rFonts w:asciiTheme="majorEastAsia" w:hAnsiTheme="majorEastAsia" w:cstheme="majorEastAsia" w:hint="eastAsia"/>
        </w:rPr>
        <w:t>:10.1007/S10661-021-09082-2.</w:t>
      </w:r>
      <w:bookmarkEnd w:id="221"/>
    </w:p>
    <w:p w14:paraId="321C3E83"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22" w:name="_Ref28568"/>
      <w:proofErr w:type="spellStart"/>
      <w:r>
        <w:rPr>
          <w:rFonts w:asciiTheme="majorEastAsia" w:hAnsiTheme="majorEastAsia" w:cstheme="majorEastAsia" w:hint="eastAsia"/>
        </w:rPr>
        <w:t>Tamiminia</w:t>
      </w:r>
      <w:proofErr w:type="spellEnd"/>
      <w:r>
        <w:rPr>
          <w:rFonts w:asciiTheme="majorEastAsia" w:hAnsiTheme="majorEastAsia" w:cstheme="majorEastAsia" w:hint="eastAsia"/>
        </w:rPr>
        <w:t xml:space="preserve"> </w:t>
      </w:r>
      <w:proofErr w:type="gramStart"/>
      <w:r>
        <w:rPr>
          <w:rFonts w:asciiTheme="majorEastAsia" w:hAnsiTheme="majorEastAsia" w:cstheme="majorEastAsia" w:hint="eastAsia"/>
        </w:rPr>
        <w:t>H ,Salehi</w:t>
      </w:r>
      <w:proofErr w:type="gramEnd"/>
      <w:r>
        <w:rPr>
          <w:rFonts w:asciiTheme="majorEastAsia" w:hAnsiTheme="majorEastAsia" w:cstheme="majorEastAsia" w:hint="eastAsia"/>
        </w:rPr>
        <w:t xml:space="preserve"> </w:t>
      </w:r>
      <w:proofErr w:type="gramStart"/>
      <w:r>
        <w:rPr>
          <w:rFonts w:asciiTheme="majorEastAsia" w:hAnsiTheme="majorEastAsia" w:cstheme="majorEastAsia" w:hint="eastAsia"/>
        </w:rPr>
        <w:t>B ,</w:t>
      </w:r>
      <w:proofErr w:type="spellStart"/>
      <w:r>
        <w:rPr>
          <w:rFonts w:asciiTheme="majorEastAsia" w:hAnsiTheme="majorEastAsia" w:cstheme="majorEastAsia" w:hint="eastAsia"/>
        </w:rPr>
        <w:t>Mahdianpari</w:t>
      </w:r>
      <w:proofErr w:type="spellEnd"/>
      <w:proofErr w:type="gramEnd"/>
      <w:r>
        <w:rPr>
          <w:rFonts w:asciiTheme="majorEastAsia" w:hAnsiTheme="majorEastAsia" w:cstheme="majorEastAsia" w:hint="eastAsia"/>
        </w:rPr>
        <w:t xml:space="preserve"> </w:t>
      </w:r>
      <w:proofErr w:type="gramStart"/>
      <w:r>
        <w:rPr>
          <w:rFonts w:asciiTheme="majorEastAsia" w:hAnsiTheme="majorEastAsia" w:cstheme="majorEastAsia" w:hint="eastAsia"/>
        </w:rPr>
        <w:t>M ,</w:t>
      </w:r>
      <w:proofErr w:type="gramEnd"/>
      <w:r>
        <w:rPr>
          <w:rFonts w:asciiTheme="majorEastAsia" w:hAnsiTheme="majorEastAsia" w:cstheme="majorEastAsia" w:hint="eastAsia"/>
        </w:rPr>
        <w:t xml:space="preserve"> et </w:t>
      </w:r>
      <w:proofErr w:type="spellStart"/>
      <w:proofErr w:type="gramStart"/>
      <w:r>
        <w:rPr>
          <w:rFonts w:asciiTheme="majorEastAsia" w:hAnsiTheme="majorEastAsia" w:cstheme="majorEastAsia" w:hint="eastAsia"/>
        </w:rPr>
        <w:t>al.Google</w:t>
      </w:r>
      <w:proofErr w:type="spellEnd"/>
      <w:proofErr w:type="gramEnd"/>
      <w:r>
        <w:rPr>
          <w:rFonts w:asciiTheme="majorEastAsia" w:hAnsiTheme="majorEastAsia" w:cstheme="majorEastAsia" w:hint="eastAsia"/>
        </w:rPr>
        <w:t xml:space="preserve"> Earth Engine for geo-big data applications: A meta-analysis and systematic review[J</w:t>
      </w:r>
      <w:proofErr w:type="gramStart"/>
      <w:r>
        <w:rPr>
          <w:rFonts w:asciiTheme="majorEastAsia" w:hAnsiTheme="majorEastAsia" w:cstheme="majorEastAsia" w:hint="eastAsia"/>
        </w:rPr>
        <w:t>].ISPRS</w:t>
      </w:r>
      <w:proofErr w:type="gramEnd"/>
      <w:r>
        <w:rPr>
          <w:rFonts w:asciiTheme="majorEastAsia" w:hAnsiTheme="majorEastAsia" w:cstheme="majorEastAsia" w:hint="eastAsia"/>
        </w:rPr>
        <w:t xml:space="preserve"> Journal of Photogrammetry and Remote Sensing,</w:t>
      </w:r>
      <w:proofErr w:type="gramStart"/>
      <w:r>
        <w:rPr>
          <w:rFonts w:asciiTheme="majorEastAsia" w:hAnsiTheme="majorEastAsia" w:cstheme="majorEastAsia" w:hint="eastAsia"/>
        </w:rPr>
        <w:t>2020,164152-170.DOI</w:t>
      </w:r>
      <w:proofErr w:type="gramEnd"/>
      <w:r>
        <w:rPr>
          <w:rFonts w:asciiTheme="majorEastAsia" w:hAnsiTheme="majorEastAsia" w:cstheme="majorEastAsia" w:hint="eastAsia"/>
        </w:rPr>
        <w:t>:10.1016/j.isprsjprs.2020.04.001.</w:t>
      </w:r>
      <w:bookmarkEnd w:id="222"/>
    </w:p>
    <w:p w14:paraId="0096F31F"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23" w:name="_Ref28650"/>
      <w:r>
        <w:rPr>
          <w:rFonts w:asciiTheme="majorEastAsia" w:hAnsiTheme="majorEastAsia" w:cstheme="majorEastAsia" w:hint="eastAsia"/>
        </w:rPr>
        <w:t>郑勇.基于TM数据的生态环境指数提取及变化分析[D].南京林业大学,2014.</w:t>
      </w:r>
      <w:bookmarkEnd w:id="223"/>
    </w:p>
    <w:p w14:paraId="39F9A356"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24" w:name="_Ref28640"/>
      <w:r>
        <w:rPr>
          <w:rFonts w:asciiTheme="majorEastAsia" w:hAnsiTheme="majorEastAsia" w:cstheme="majorEastAsia" w:hint="eastAsia"/>
        </w:rPr>
        <w:t>徐建军.基于GIS和RS的生态环境影响评价研究[D].华中师范大学,2008.</w:t>
      </w:r>
      <w:bookmarkEnd w:id="224"/>
    </w:p>
    <w:p w14:paraId="38FBE120"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25" w:name="_Ref28800"/>
      <w:r>
        <w:rPr>
          <w:rFonts w:asciiTheme="majorEastAsia" w:hAnsiTheme="majorEastAsia" w:cstheme="majorEastAsia" w:hint="eastAsia"/>
        </w:rPr>
        <w:t>田艳芳,</w:t>
      </w:r>
      <w:proofErr w:type="gramStart"/>
      <w:r>
        <w:rPr>
          <w:rFonts w:asciiTheme="majorEastAsia" w:hAnsiTheme="majorEastAsia" w:cstheme="majorEastAsia" w:hint="eastAsia"/>
        </w:rPr>
        <w:t>周虹宏</w:t>
      </w:r>
      <w:proofErr w:type="gramEnd"/>
      <w:r>
        <w:rPr>
          <w:rFonts w:asciiTheme="majorEastAsia" w:hAnsiTheme="majorEastAsia" w:cstheme="majorEastAsia" w:hint="eastAsia"/>
        </w:rPr>
        <w:t>.上海市城市生态环境质量综合评价[J].生态经济,2021,37(06):185-192.</w:t>
      </w:r>
      <w:bookmarkEnd w:id="225"/>
    </w:p>
    <w:p w14:paraId="31F8677C"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26" w:name="_Ref28705"/>
      <w:r>
        <w:rPr>
          <w:rFonts w:asciiTheme="majorEastAsia" w:hAnsiTheme="majorEastAsia" w:cstheme="majorEastAsia" w:hint="eastAsia"/>
        </w:rPr>
        <w:t xml:space="preserve">Bohdan </w:t>
      </w:r>
      <w:proofErr w:type="gramStart"/>
      <w:r>
        <w:rPr>
          <w:rFonts w:asciiTheme="majorEastAsia" w:hAnsiTheme="majorEastAsia" w:cstheme="majorEastAsia" w:hint="eastAsia"/>
        </w:rPr>
        <w:t>R ,Olga</w:t>
      </w:r>
      <w:proofErr w:type="gramEnd"/>
      <w:r>
        <w:rPr>
          <w:rFonts w:asciiTheme="majorEastAsia" w:hAnsiTheme="majorEastAsia" w:cstheme="majorEastAsia" w:hint="eastAsia"/>
        </w:rPr>
        <w:t xml:space="preserve"> </w:t>
      </w:r>
      <w:proofErr w:type="gramStart"/>
      <w:r>
        <w:rPr>
          <w:rFonts w:asciiTheme="majorEastAsia" w:hAnsiTheme="majorEastAsia" w:cstheme="majorEastAsia" w:hint="eastAsia"/>
        </w:rPr>
        <w:t>A ,Mykola</w:t>
      </w:r>
      <w:proofErr w:type="gramEnd"/>
      <w:r>
        <w:rPr>
          <w:rFonts w:asciiTheme="majorEastAsia" w:hAnsiTheme="majorEastAsia" w:cstheme="majorEastAsia" w:hint="eastAsia"/>
        </w:rPr>
        <w:t xml:space="preserve"> </w:t>
      </w:r>
      <w:proofErr w:type="gramStart"/>
      <w:r>
        <w:rPr>
          <w:rFonts w:asciiTheme="majorEastAsia" w:hAnsiTheme="majorEastAsia" w:cstheme="majorEastAsia" w:hint="eastAsia"/>
        </w:rPr>
        <w:t>K ,</w:t>
      </w:r>
      <w:proofErr w:type="gramEnd"/>
      <w:r>
        <w:rPr>
          <w:rFonts w:asciiTheme="majorEastAsia" w:hAnsiTheme="majorEastAsia" w:cstheme="majorEastAsia" w:hint="eastAsia"/>
        </w:rPr>
        <w:t xml:space="preserve"> et </w:t>
      </w:r>
      <w:proofErr w:type="spellStart"/>
      <w:proofErr w:type="gramStart"/>
      <w:r>
        <w:rPr>
          <w:rFonts w:asciiTheme="majorEastAsia" w:hAnsiTheme="majorEastAsia" w:cstheme="majorEastAsia" w:hint="eastAsia"/>
        </w:rPr>
        <w:t>al.Analytical</w:t>
      </w:r>
      <w:proofErr w:type="spellEnd"/>
      <w:proofErr w:type="gramEnd"/>
      <w:r>
        <w:rPr>
          <w:rFonts w:asciiTheme="majorEastAsia" w:hAnsiTheme="majorEastAsia" w:cstheme="majorEastAsia" w:hint="eastAsia"/>
        </w:rPr>
        <w:t xml:space="preserve"> Hierarchy Metho</w:t>
      </w:r>
      <w:r>
        <w:rPr>
          <w:rFonts w:asciiTheme="majorEastAsia" w:hAnsiTheme="majorEastAsia" w:cstheme="majorEastAsia" w:hint="eastAsia"/>
        </w:rPr>
        <w:lastRenderedPageBreak/>
        <w:t>d for Evaluating the Environmental Sustainability in the Context of Ecosystem Services Enhancing: A Case Study of the Biosphere Reserve, Ukraine[J</w:t>
      </w:r>
      <w:proofErr w:type="gramStart"/>
      <w:r>
        <w:rPr>
          <w:rFonts w:asciiTheme="majorEastAsia" w:hAnsiTheme="majorEastAsia" w:cstheme="majorEastAsia" w:hint="eastAsia"/>
        </w:rPr>
        <w:t>].Environmental</w:t>
      </w:r>
      <w:proofErr w:type="gramEnd"/>
      <w:r>
        <w:rPr>
          <w:rFonts w:asciiTheme="majorEastAsia" w:hAnsiTheme="majorEastAsia" w:cstheme="majorEastAsia" w:hint="eastAsia"/>
        </w:rPr>
        <w:t xml:space="preserve"> and Climate Technologies,2023,27(1</w:t>
      </w:r>
      <w:proofErr w:type="gramStart"/>
      <w:r>
        <w:rPr>
          <w:rFonts w:asciiTheme="majorEastAsia" w:hAnsiTheme="majorEastAsia" w:cstheme="majorEastAsia" w:hint="eastAsia"/>
        </w:rPr>
        <w:t>):912-927.DOI</w:t>
      </w:r>
      <w:proofErr w:type="gramEnd"/>
      <w:r>
        <w:rPr>
          <w:rFonts w:asciiTheme="majorEastAsia" w:hAnsiTheme="majorEastAsia" w:cstheme="majorEastAsia" w:hint="eastAsia"/>
        </w:rPr>
        <w:t>:10.2478/RTUECT-2023-0067.</w:t>
      </w:r>
      <w:bookmarkEnd w:id="226"/>
    </w:p>
    <w:p w14:paraId="21A6D83D"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27" w:name="_Ref28721"/>
      <w:r>
        <w:rPr>
          <w:rFonts w:asciiTheme="majorEastAsia" w:hAnsiTheme="majorEastAsia" w:cstheme="majorEastAsia" w:hint="eastAsia"/>
        </w:rPr>
        <w:t xml:space="preserve">Li </w:t>
      </w:r>
      <w:proofErr w:type="gramStart"/>
      <w:r>
        <w:rPr>
          <w:rFonts w:asciiTheme="majorEastAsia" w:hAnsiTheme="majorEastAsia" w:cstheme="majorEastAsia" w:hint="eastAsia"/>
        </w:rPr>
        <w:t>L ,Shi</w:t>
      </w:r>
      <w:proofErr w:type="gramEnd"/>
      <w:r>
        <w:rPr>
          <w:rFonts w:asciiTheme="majorEastAsia" w:hAnsiTheme="majorEastAsia" w:cstheme="majorEastAsia" w:hint="eastAsia"/>
        </w:rPr>
        <w:t xml:space="preserve"> </w:t>
      </w:r>
      <w:proofErr w:type="gramStart"/>
      <w:r>
        <w:rPr>
          <w:rFonts w:asciiTheme="majorEastAsia" w:hAnsiTheme="majorEastAsia" w:cstheme="majorEastAsia" w:hint="eastAsia"/>
        </w:rPr>
        <w:t>Z ,Yin</w:t>
      </w:r>
      <w:proofErr w:type="gramEnd"/>
      <w:r>
        <w:rPr>
          <w:rFonts w:asciiTheme="majorEastAsia" w:hAnsiTheme="majorEastAsia" w:cstheme="majorEastAsia" w:hint="eastAsia"/>
        </w:rPr>
        <w:t xml:space="preserve"> </w:t>
      </w:r>
      <w:proofErr w:type="gramStart"/>
      <w:r>
        <w:rPr>
          <w:rFonts w:asciiTheme="majorEastAsia" w:hAnsiTheme="majorEastAsia" w:cstheme="majorEastAsia" w:hint="eastAsia"/>
        </w:rPr>
        <w:t>W ,</w:t>
      </w:r>
      <w:proofErr w:type="gramEnd"/>
      <w:r>
        <w:rPr>
          <w:rFonts w:asciiTheme="majorEastAsia" w:hAnsiTheme="majorEastAsia" w:cstheme="majorEastAsia" w:hint="eastAsia"/>
        </w:rPr>
        <w:t xml:space="preserve"> et </w:t>
      </w:r>
      <w:proofErr w:type="spellStart"/>
      <w:proofErr w:type="gramStart"/>
      <w:r>
        <w:rPr>
          <w:rFonts w:asciiTheme="majorEastAsia" w:hAnsiTheme="majorEastAsia" w:cstheme="majorEastAsia" w:hint="eastAsia"/>
        </w:rPr>
        <w:t>al.A</w:t>
      </w:r>
      <w:proofErr w:type="spellEnd"/>
      <w:proofErr w:type="gramEnd"/>
      <w:r>
        <w:rPr>
          <w:rFonts w:asciiTheme="majorEastAsia" w:hAnsiTheme="majorEastAsia" w:cstheme="majorEastAsia" w:hint="eastAsia"/>
        </w:rPr>
        <w:t xml:space="preserve"> fuzzy analytic hierarchy process (FAHP) approach to eco-environmental vulnerability assessment for the </w:t>
      </w:r>
      <w:proofErr w:type="spellStart"/>
      <w:r>
        <w:rPr>
          <w:rFonts w:asciiTheme="majorEastAsia" w:hAnsiTheme="majorEastAsia" w:cstheme="majorEastAsia" w:hint="eastAsia"/>
        </w:rPr>
        <w:t>danjiangkou</w:t>
      </w:r>
      <w:proofErr w:type="spellEnd"/>
      <w:r>
        <w:rPr>
          <w:rFonts w:asciiTheme="majorEastAsia" w:hAnsiTheme="majorEastAsia" w:cstheme="majorEastAsia" w:hint="eastAsia"/>
        </w:rPr>
        <w:t xml:space="preserve"> reservoir area, China[J</w:t>
      </w:r>
      <w:proofErr w:type="gramStart"/>
      <w:r>
        <w:rPr>
          <w:rFonts w:asciiTheme="majorEastAsia" w:hAnsiTheme="majorEastAsia" w:cstheme="majorEastAsia" w:hint="eastAsia"/>
        </w:rPr>
        <w:t>].Ecological</w:t>
      </w:r>
      <w:proofErr w:type="gramEnd"/>
      <w:r>
        <w:rPr>
          <w:rFonts w:asciiTheme="majorEastAsia" w:hAnsiTheme="majorEastAsia" w:cstheme="majorEastAsia" w:hint="eastAsia"/>
        </w:rPr>
        <w:t xml:space="preserve"> Modelling,2009,220(23</w:t>
      </w:r>
      <w:proofErr w:type="gramStart"/>
      <w:r>
        <w:rPr>
          <w:rFonts w:asciiTheme="majorEastAsia" w:hAnsiTheme="majorEastAsia" w:cstheme="majorEastAsia" w:hint="eastAsia"/>
        </w:rPr>
        <w:t>):3439-3447.DOI</w:t>
      </w:r>
      <w:proofErr w:type="gramEnd"/>
      <w:r>
        <w:rPr>
          <w:rFonts w:asciiTheme="majorEastAsia" w:hAnsiTheme="majorEastAsia" w:cstheme="majorEastAsia" w:hint="eastAsia"/>
        </w:rPr>
        <w:t>:10.1016/j.ecolmodel.2009.09.005.</w:t>
      </w:r>
      <w:bookmarkEnd w:id="227"/>
    </w:p>
    <w:p w14:paraId="18C26DFC"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28" w:name="_Ref28744"/>
      <w:r>
        <w:rPr>
          <w:rFonts w:asciiTheme="majorEastAsia" w:hAnsiTheme="majorEastAsia" w:cstheme="majorEastAsia" w:hint="eastAsia"/>
        </w:rPr>
        <w:t>李祚泳,</w:t>
      </w:r>
      <w:proofErr w:type="gramStart"/>
      <w:r>
        <w:rPr>
          <w:rFonts w:asciiTheme="majorEastAsia" w:hAnsiTheme="majorEastAsia" w:cstheme="majorEastAsia" w:hint="eastAsia"/>
        </w:rPr>
        <w:t>邓</w:t>
      </w:r>
      <w:proofErr w:type="gramEnd"/>
      <w:r>
        <w:rPr>
          <w:rFonts w:asciiTheme="majorEastAsia" w:hAnsiTheme="majorEastAsia" w:cstheme="majorEastAsia" w:hint="eastAsia"/>
        </w:rPr>
        <w:t>新民.基于B-P网络的大气环境质量评价[J].干旱环境监测,1997,(01):11-13+62-63.</w:t>
      </w:r>
      <w:bookmarkEnd w:id="228"/>
    </w:p>
    <w:p w14:paraId="76021D82"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29" w:name="_Ref28757"/>
      <w:r>
        <w:rPr>
          <w:rFonts w:asciiTheme="majorEastAsia" w:hAnsiTheme="majorEastAsia" w:cstheme="majorEastAsia" w:hint="eastAsia"/>
        </w:rPr>
        <w:t xml:space="preserve">Fan </w:t>
      </w:r>
      <w:proofErr w:type="gramStart"/>
      <w:r>
        <w:rPr>
          <w:rFonts w:asciiTheme="majorEastAsia" w:hAnsiTheme="majorEastAsia" w:cstheme="majorEastAsia" w:hint="eastAsia"/>
        </w:rPr>
        <w:t>Y .Research</w:t>
      </w:r>
      <w:proofErr w:type="gramEnd"/>
      <w:r>
        <w:rPr>
          <w:rFonts w:asciiTheme="majorEastAsia" w:hAnsiTheme="majorEastAsia" w:cstheme="majorEastAsia" w:hint="eastAsia"/>
        </w:rPr>
        <w:t xml:space="preserve"> on Data Asset Feature Analysis and Value Evaluation Strategy Based on Random Forest and B-P Neural Network[J</w:t>
      </w:r>
      <w:proofErr w:type="gramStart"/>
      <w:r>
        <w:rPr>
          <w:rFonts w:asciiTheme="majorEastAsia" w:hAnsiTheme="majorEastAsia" w:cstheme="majorEastAsia" w:hint="eastAsia"/>
        </w:rPr>
        <w:t>].Academic</w:t>
      </w:r>
      <w:proofErr w:type="gramEnd"/>
      <w:r>
        <w:rPr>
          <w:rFonts w:asciiTheme="majorEastAsia" w:hAnsiTheme="majorEastAsia" w:cstheme="majorEastAsia" w:hint="eastAsia"/>
        </w:rPr>
        <w:t xml:space="preserve"> Journal of Business &amp; Management,2024,6(11</w:t>
      </w:r>
      <w:proofErr w:type="gramStart"/>
      <w:r>
        <w:rPr>
          <w:rFonts w:asciiTheme="majorEastAsia" w:hAnsiTheme="majorEastAsia" w:cstheme="majorEastAsia" w:hint="eastAsia"/>
        </w:rPr>
        <w:t>):DOI</w:t>
      </w:r>
      <w:proofErr w:type="gramEnd"/>
      <w:r>
        <w:rPr>
          <w:rFonts w:asciiTheme="majorEastAsia" w:hAnsiTheme="majorEastAsia" w:cstheme="majorEastAsia" w:hint="eastAsia"/>
        </w:rPr>
        <w:t>:10.25236/AJBM.2024.061107.</w:t>
      </w:r>
      <w:bookmarkEnd w:id="229"/>
    </w:p>
    <w:p w14:paraId="4A32F093"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30" w:name="_Ref28970"/>
      <w:r>
        <w:rPr>
          <w:rFonts w:asciiTheme="majorEastAsia" w:hAnsiTheme="majorEastAsia" w:cstheme="majorEastAsia" w:hint="eastAsia"/>
        </w:rPr>
        <w:t>徐涵秋.城市遥感生态指数的创建及其应用[J].生态学报,2013,33(24):7853-7862.</w:t>
      </w:r>
      <w:bookmarkEnd w:id="230"/>
    </w:p>
    <w:p w14:paraId="1F44040E"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31" w:name="_Ref29048"/>
      <w:r>
        <w:rPr>
          <w:rFonts w:asciiTheme="majorEastAsia" w:hAnsiTheme="majorEastAsia" w:cstheme="majorEastAsia" w:hint="eastAsia"/>
        </w:rPr>
        <w:t>唐育林,肖列.基于Sentinel-2的缨帽变换系数湿度分量的研究[J].国土资源导刊,2026,23(01):155-164.</w:t>
      </w:r>
      <w:bookmarkEnd w:id="231"/>
    </w:p>
    <w:p w14:paraId="0F5C5FF6"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32" w:name="_Ref29074"/>
      <w:proofErr w:type="gramStart"/>
      <w:r>
        <w:rPr>
          <w:rFonts w:asciiTheme="majorEastAsia" w:hAnsiTheme="majorEastAsia" w:cstheme="majorEastAsia" w:hint="eastAsia"/>
        </w:rPr>
        <w:t>王劲峰</w:t>
      </w:r>
      <w:proofErr w:type="gramEnd"/>
      <w:r>
        <w:rPr>
          <w:rFonts w:asciiTheme="majorEastAsia" w:hAnsiTheme="majorEastAsia" w:cstheme="majorEastAsia" w:hint="eastAsia"/>
        </w:rPr>
        <w:t>,徐成东.地理探测器:原理与展望[J].地理学报,2017,72(01):116-134.</w:t>
      </w:r>
      <w:bookmarkEnd w:id="232"/>
    </w:p>
    <w:p w14:paraId="65DA0FCB"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33" w:name="_Ref29087"/>
      <w:r>
        <w:rPr>
          <w:rFonts w:asciiTheme="majorEastAsia" w:hAnsiTheme="majorEastAsia" w:cstheme="majorEastAsia" w:hint="eastAsia"/>
        </w:rPr>
        <w:t>汤赫,尤钦,李鹏飞.基于Landsat长春市1984—2023年地表温度反演及其变化趋势[J].吉林建筑大学学报,2025,42(04):</w:t>
      </w:r>
      <w:proofErr w:type="gramStart"/>
      <w:r>
        <w:rPr>
          <w:rFonts w:asciiTheme="majorEastAsia" w:hAnsiTheme="majorEastAsia" w:cstheme="majorEastAsia" w:hint="eastAsia"/>
        </w:rPr>
        <w:t>64-71.DOI:10.20203/j.cnki</w:t>
      </w:r>
      <w:proofErr w:type="gramEnd"/>
      <w:r>
        <w:rPr>
          <w:rFonts w:asciiTheme="majorEastAsia" w:hAnsiTheme="majorEastAsia" w:cstheme="majorEastAsia" w:hint="eastAsia"/>
        </w:rPr>
        <w:t>.2095-8919.2025.04.008.</w:t>
      </w:r>
      <w:bookmarkEnd w:id="233"/>
    </w:p>
    <w:p w14:paraId="799CDE1F"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34" w:name="_Ref28849"/>
      <w:proofErr w:type="gramStart"/>
      <w:r>
        <w:rPr>
          <w:rFonts w:asciiTheme="majorEastAsia" w:hAnsiTheme="majorEastAsia" w:cstheme="majorEastAsia" w:hint="eastAsia"/>
        </w:rPr>
        <w:t>苏键</w:t>
      </w:r>
      <w:proofErr w:type="gramEnd"/>
      <w:r>
        <w:rPr>
          <w:rFonts w:asciiTheme="majorEastAsia" w:hAnsiTheme="majorEastAsia" w:cstheme="majorEastAsia" w:hint="eastAsia"/>
        </w:rPr>
        <w:t>,陈军,何洁.主成分分析法及其应用[J].轻工科技,2012,28(09):12-13+16.</w:t>
      </w:r>
      <w:bookmarkEnd w:id="234"/>
    </w:p>
    <w:p w14:paraId="12024360" w14:textId="77777777" w:rsidR="00D46586" w:rsidRDefault="00000000">
      <w:pPr>
        <w:numPr>
          <w:ilvl w:val="0"/>
          <w:numId w:val="2"/>
        </w:numPr>
        <w:wordWrap w:val="0"/>
        <w:autoSpaceDE w:val="0"/>
        <w:spacing w:before="40" w:after="40" w:line="288" w:lineRule="auto"/>
        <w:ind w:left="960" w:hangingChars="200" w:hanging="480"/>
        <w:rPr>
          <w:rFonts w:asciiTheme="majorEastAsia" w:hAnsiTheme="majorEastAsia" w:cstheme="majorEastAsia" w:hint="eastAsia"/>
        </w:rPr>
      </w:pPr>
      <w:bookmarkStart w:id="235" w:name="_Ref29162"/>
      <w:proofErr w:type="gramStart"/>
      <w:r>
        <w:rPr>
          <w:rFonts w:asciiTheme="majorEastAsia" w:hAnsiTheme="majorEastAsia" w:cstheme="majorEastAsia" w:hint="eastAsia"/>
        </w:rPr>
        <w:t>王劲峰</w:t>
      </w:r>
      <w:proofErr w:type="gramEnd"/>
      <w:r>
        <w:rPr>
          <w:rFonts w:asciiTheme="majorEastAsia" w:hAnsiTheme="majorEastAsia" w:cstheme="majorEastAsia" w:hint="eastAsia"/>
        </w:rPr>
        <w:t>,徐成东.地理探测器:原理与展望[J].地理学报,2017,72(01):116-134.</w:t>
      </w:r>
      <w:bookmarkEnd w:id="235"/>
    </w:p>
    <w:sectPr w:rsidR="00D4658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A87F0" w14:textId="77777777" w:rsidR="00A8792D" w:rsidRDefault="00A8792D">
      <w:pPr>
        <w:spacing w:line="240" w:lineRule="auto"/>
        <w:ind w:left="480"/>
      </w:pPr>
      <w:r>
        <w:separator/>
      </w:r>
    </w:p>
  </w:endnote>
  <w:endnote w:type="continuationSeparator" w:id="0">
    <w:p w14:paraId="5AC34EFB" w14:textId="77777777" w:rsidR="00A8792D" w:rsidRDefault="00A8792D">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2610E" w14:textId="77777777" w:rsidR="00D46586" w:rsidRDefault="00D46586">
    <w:pPr>
      <w:pStyle w:val="ab"/>
      <w:ind w:left="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9C9C" w14:textId="77777777" w:rsidR="00D46586" w:rsidRDefault="00000000">
    <w:pPr>
      <w:pStyle w:val="ab"/>
      <w:ind w:left="480"/>
      <w:jc w:val="center"/>
      <w:rPr>
        <w:sz w:val="24"/>
      </w:rPr>
    </w:pPr>
    <w:r>
      <w:rPr>
        <w:rFonts w:hint="eastAsia"/>
        <w:sz w:val="24"/>
      </w:rPr>
      <w:t xml:space="preserve"> </w:t>
    </w:r>
  </w:p>
  <w:p w14:paraId="288C08AE" w14:textId="77777777" w:rsidR="00D46586" w:rsidRDefault="00D46586">
    <w:pPr>
      <w:pStyle w:val="ab"/>
      <w:ind w:left="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2530" w14:textId="77777777" w:rsidR="00D46586" w:rsidRDefault="00D46586">
    <w:pPr>
      <w:pStyle w:val="ab"/>
      <w:ind w:left="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8EE44" w14:textId="77777777" w:rsidR="00D46586" w:rsidRDefault="00D46586">
    <w:pPr>
      <w:pStyle w:val="ab"/>
      <w:ind w:left="480"/>
      <w:rPr>
        <w:sz w:val="24"/>
      </w:rPr>
    </w:pPr>
  </w:p>
  <w:p w14:paraId="48599872" w14:textId="77777777" w:rsidR="00D46586" w:rsidRDefault="00D46586">
    <w:pPr>
      <w:pStyle w:val="ab"/>
      <w:ind w:left="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9EC25" w14:textId="77777777" w:rsidR="00A8792D" w:rsidRDefault="00A8792D">
      <w:pPr>
        <w:ind w:left="480"/>
      </w:pPr>
      <w:r>
        <w:separator/>
      </w:r>
    </w:p>
  </w:footnote>
  <w:footnote w:type="continuationSeparator" w:id="0">
    <w:p w14:paraId="3AD826AF" w14:textId="77777777" w:rsidR="00A8792D" w:rsidRDefault="00A8792D">
      <w:pPr>
        <w:ind w:left="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9D2A" w14:textId="77777777" w:rsidR="00D46586" w:rsidRDefault="00D46586">
    <w:pPr>
      <w:pStyle w:val="ac"/>
      <w:ind w:left="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449BE" w14:textId="77777777" w:rsidR="00D46586" w:rsidRDefault="00000000">
    <w:pPr>
      <w:pBdr>
        <w:bottom w:val="thinThickMediumGap" w:sz="12" w:space="0" w:color="auto"/>
      </w:pBdr>
      <w:ind w:left="480"/>
      <w:jc w:val="center"/>
      <w:rPr>
        <w:b/>
        <w:bCs/>
        <w:sz w:val="30"/>
        <w:szCs w:val="30"/>
      </w:rPr>
    </w:pPr>
    <w:r>
      <w:rPr>
        <w:rFonts w:hint="eastAsia"/>
        <w:b/>
        <w:bCs/>
        <w:sz w:val="30"/>
        <w:szCs w:val="30"/>
      </w:rPr>
      <w:t>桂林理工大学本科毕业设计·论文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7BEBD" w14:textId="77777777" w:rsidR="00D46586" w:rsidRDefault="00D46586">
    <w:pPr>
      <w:pStyle w:val="ac"/>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74D54C"/>
    <w:multiLevelType w:val="singleLevel"/>
    <w:tmpl w:val="B974D54C"/>
    <w:lvl w:ilvl="0">
      <w:start w:val="1"/>
      <w:numFmt w:val="decimal"/>
      <w:lvlText w:val="[%1]"/>
      <w:lvlJc w:val="left"/>
      <w:pPr>
        <w:tabs>
          <w:tab w:val="left" w:pos="420"/>
        </w:tabs>
        <w:ind w:left="0" w:firstLine="0"/>
      </w:pPr>
      <w:rPr>
        <w:rFonts w:hint="default"/>
      </w:rPr>
    </w:lvl>
  </w:abstractNum>
  <w:abstractNum w:abstractNumId="1" w15:restartNumberingAfterBreak="0">
    <w:nsid w:val="542E40DA"/>
    <w:multiLevelType w:val="multilevel"/>
    <w:tmpl w:val="542E40DA"/>
    <w:lvl w:ilvl="0">
      <w:start w:val="1"/>
      <w:numFmt w:val="decimal"/>
      <w:lvlText w:val="(%1)"/>
      <w:lvlJc w:val="left"/>
      <w:pPr>
        <w:ind w:left="802" w:hanging="360"/>
      </w:pPr>
      <w:rPr>
        <w:rFonts w:hint="default"/>
      </w:rPr>
    </w:lvl>
    <w:lvl w:ilvl="1">
      <w:start w:val="1"/>
      <w:numFmt w:val="lowerLetter"/>
      <w:lvlText w:val="%2)"/>
      <w:lvlJc w:val="left"/>
      <w:pPr>
        <w:ind w:left="1322" w:hanging="440"/>
      </w:pPr>
    </w:lvl>
    <w:lvl w:ilvl="2">
      <w:start w:val="1"/>
      <w:numFmt w:val="lowerRoman"/>
      <w:lvlText w:val="%3."/>
      <w:lvlJc w:val="right"/>
      <w:pPr>
        <w:ind w:left="1762" w:hanging="440"/>
      </w:pPr>
    </w:lvl>
    <w:lvl w:ilvl="3">
      <w:start w:val="1"/>
      <w:numFmt w:val="decimal"/>
      <w:lvlText w:val="%4."/>
      <w:lvlJc w:val="left"/>
      <w:pPr>
        <w:ind w:left="2202" w:hanging="440"/>
      </w:pPr>
    </w:lvl>
    <w:lvl w:ilvl="4">
      <w:start w:val="1"/>
      <w:numFmt w:val="lowerLetter"/>
      <w:lvlText w:val="%5)"/>
      <w:lvlJc w:val="left"/>
      <w:pPr>
        <w:ind w:left="2642" w:hanging="440"/>
      </w:pPr>
    </w:lvl>
    <w:lvl w:ilvl="5">
      <w:start w:val="1"/>
      <w:numFmt w:val="lowerRoman"/>
      <w:lvlText w:val="%6."/>
      <w:lvlJc w:val="right"/>
      <w:pPr>
        <w:ind w:left="3082" w:hanging="440"/>
      </w:pPr>
    </w:lvl>
    <w:lvl w:ilvl="6">
      <w:start w:val="1"/>
      <w:numFmt w:val="decimal"/>
      <w:lvlText w:val="%7."/>
      <w:lvlJc w:val="left"/>
      <w:pPr>
        <w:ind w:left="3522" w:hanging="440"/>
      </w:pPr>
    </w:lvl>
    <w:lvl w:ilvl="7">
      <w:start w:val="1"/>
      <w:numFmt w:val="lowerLetter"/>
      <w:lvlText w:val="%8)"/>
      <w:lvlJc w:val="left"/>
      <w:pPr>
        <w:ind w:left="3962" w:hanging="440"/>
      </w:pPr>
    </w:lvl>
    <w:lvl w:ilvl="8">
      <w:start w:val="1"/>
      <w:numFmt w:val="lowerRoman"/>
      <w:lvlText w:val="%9."/>
      <w:lvlJc w:val="right"/>
      <w:pPr>
        <w:ind w:left="4402" w:hanging="440"/>
      </w:pPr>
    </w:lvl>
  </w:abstractNum>
  <w:num w:numId="1" w16cid:durableId="1616402625">
    <w:abstractNumId w:val="1"/>
  </w:num>
  <w:num w:numId="2" w16cid:durableId="1220097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B8F7D93"/>
    <w:rsid w:val="0004490B"/>
    <w:rsid w:val="00075FE0"/>
    <w:rsid w:val="00145509"/>
    <w:rsid w:val="001A6E16"/>
    <w:rsid w:val="001B49FA"/>
    <w:rsid w:val="00215F42"/>
    <w:rsid w:val="00215FA9"/>
    <w:rsid w:val="002504F8"/>
    <w:rsid w:val="002834DC"/>
    <w:rsid w:val="00290F15"/>
    <w:rsid w:val="002C2AE7"/>
    <w:rsid w:val="0035488F"/>
    <w:rsid w:val="003E22F0"/>
    <w:rsid w:val="003E4480"/>
    <w:rsid w:val="00413D4F"/>
    <w:rsid w:val="00426557"/>
    <w:rsid w:val="00435882"/>
    <w:rsid w:val="004411BE"/>
    <w:rsid w:val="004606CF"/>
    <w:rsid w:val="00565D9D"/>
    <w:rsid w:val="005C3BBC"/>
    <w:rsid w:val="005C4739"/>
    <w:rsid w:val="006424E6"/>
    <w:rsid w:val="00653B42"/>
    <w:rsid w:val="006674BF"/>
    <w:rsid w:val="006C23BD"/>
    <w:rsid w:val="007C6EE1"/>
    <w:rsid w:val="008303B9"/>
    <w:rsid w:val="00847044"/>
    <w:rsid w:val="00852C54"/>
    <w:rsid w:val="008A31DC"/>
    <w:rsid w:val="008F6DCF"/>
    <w:rsid w:val="00905735"/>
    <w:rsid w:val="00915FC7"/>
    <w:rsid w:val="0093718E"/>
    <w:rsid w:val="009651BB"/>
    <w:rsid w:val="00A10116"/>
    <w:rsid w:val="00A8048A"/>
    <w:rsid w:val="00A8792D"/>
    <w:rsid w:val="00AF1B97"/>
    <w:rsid w:val="00AF335F"/>
    <w:rsid w:val="00AF5392"/>
    <w:rsid w:val="00B308A0"/>
    <w:rsid w:val="00B31747"/>
    <w:rsid w:val="00B63D24"/>
    <w:rsid w:val="00C5078C"/>
    <w:rsid w:val="00C71693"/>
    <w:rsid w:val="00CC3CC4"/>
    <w:rsid w:val="00CD37D8"/>
    <w:rsid w:val="00D46586"/>
    <w:rsid w:val="00D921AC"/>
    <w:rsid w:val="00DD67EF"/>
    <w:rsid w:val="00DE03AC"/>
    <w:rsid w:val="00E5134B"/>
    <w:rsid w:val="00E8487F"/>
    <w:rsid w:val="00E9420F"/>
    <w:rsid w:val="00EA5EA3"/>
    <w:rsid w:val="00ED6681"/>
    <w:rsid w:val="00F52B7D"/>
    <w:rsid w:val="00F72672"/>
    <w:rsid w:val="00F95286"/>
    <w:rsid w:val="04CB44E0"/>
    <w:rsid w:val="053A1F50"/>
    <w:rsid w:val="07487DBA"/>
    <w:rsid w:val="0B457E5B"/>
    <w:rsid w:val="0D7D62E4"/>
    <w:rsid w:val="157F52EF"/>
    <w:rsid w:val="18496DE3"/>
    <w:rsid w:val="203023DC"/>
    <w:rsid w:val="22F8048F"/>
    <w:rsid w:val="299A404E"/>
    <w:rsid w:val="29BD7D3C"/>
    <w:rsid w:val="2B713084"/>
    <w:rsid w:val="2BD61589"/>
    <w:rsid w:val="2DB7509B"/>
    <w:rsid w:val="2F6A6270"/>
    <w:rsid w:val="36790ECF"/>
    <w:rsid w:val="37272C99"/>
    <w:rsid w:val="38BE295D"/>
    <w:rsid w:val="3A4A1178"/>
    <w:rsid w:val="3C630320"/>
    <w:rsid w:val="3EAF2908"/>
    <w:rsid w:val="3FBB6674"/>
    <w:rsid w:val="42417305"/>
    <w:rsid w:val="4391543F"/>
    <w:rsid w:val="4736031E"/>
    <w:rsid w:val="541F6D7A"/>
    <w:rsid w:val="568E1E0C"/>
    <w:rsid w:val="59541AF9"/>
    <w:rsid w:val="6B8F7D93"/>
    <w:rsid w:val="721E646B"/>
    <w:rsid w:val="749B1B9D"/>
    <w:rsid w:val="75647080"/>
    <w:rsid w:val="765A546D"/>
    <w:rsid w:val="766A518F"/>
    <w:rsid w:val="77AB4B44"/>
    <w:rsid w:val="78173196"/>
    <w:rsid w:val="79FA156C"/>
    <w:rsid w:val="7C9A2478"/>
    <w:rsid w:val="7CFC5D34"/>
    <w:rsid w:val="7E8542BE"/>
    <w:rsid w:val="7E990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13F717"/>
  <w15:docId w15:val="{392AD04B-042E-44B2-9971-11C5C0CD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endnote reference" w:qFormat="1"/>
    <w:lsdException w:name="Title" w:qFormat="1"/>
    <w:lsdException w:name="Default Paragraph Font" w:uiPriority="1" w:unhideWhenUsed="1"/>
    <w:lsdException w:name="Body Text" w:qFormat="1"/>
    <w:lsdException w:name="Body Text Indent"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leftChars="200" w:left="200"/>
      <w:jc w:val="both"/>
    </w:pPr>
    <w:rPr>
      <w:rFonts w:cstheme="minorBidi"/>
      <w:kern w:val="2"/>
      <w:sz w:val="24"/>
      <w:szCs w:val="24"/>
    </w:rPr>
  </w:style>
  <w:style w:type="paragraph" w:styleId="1">
    <w:name w:val="heading 1"/>
    <w:basedOn w:val="a"/>
    <w:next w:val="a"/>
    <w:qFormat/>
    <w:pPr>
      <w:keepNext/>
      <w:spacing w:beforeLines="100" w:before="100" w:afterLines="100" w:after="100"/>
      <w:jc w:val="left"/>
      <w:outlineLvl w:val="0"/>
    </w:pPr>
    <w:rPr>
      <w:rFonts w:cs="Times New Roman"/>
      <w:b/>
      <w:bCs/>
      <w:sz w:val="36"/>
    </w:rPr>
  </w:style>
  <w:style w:type="paragraph" w:styleId="2">
    <w:name w:val="heading 2"/>
    <w:basedOn w:val="a"/>
    <w:next w:val="a"/>
    <w:link w:val="20"/>
    <w:unhideWhenUsed/>
    <w:qFormat/>
    <w:pPr>
      <w:keepNext/>
      <w:keepLines/>
      <w:spacing w:beforeLines="50" w:before="50" w:afterLines="50" w:after="50"/>
      <w:outlineLvl w:val="1"/>
    </w:pPr>
    <w:rPr>
      <w:b/>
      <w:sz w:val="32"/>
    </w:rPr>
  </w:style>
  <w:style w:type="paragraph" w:styleId="3">
    <w:name w:val="heading 3"/>
    <w:basedOn w:val="a"/>
    <w:next w:val="a"/>
    <w:unhideWhenUsed/>
    <w:qFormat/>
    <w:pPr>
      <w:keepNext/>
      <w:keepLines/>
      <w:spacing w:beforeLines="25" w:before="25" w:afterLines="25" w:after="25"/>
      <w:outlineLvl w:val="2"/>
    </w:pPr>
    <w:rPr>
      <w:b/>
      <w:sz w:val="30"/>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qFormat/>
    <w:pPr>
      <w:ind w:firstLineChars="200" w:firstLine="420"/>
    </w:pPr>
  </w:style>
  <w:style w:type="paragraph" w:styleId="a5">
    <w:name w:val="caption"/>
    <w:basedOn w:val="a"/>
    <w:next w:val="a"/>
    <w:unhideWhenUsed/>
    <w:qFormat/>
    <w:rPr>
      <w:rFonts w:asciiTheme="majorHAnsi" w:eastAsia="黑体" w:hAnsiTheme="majorHAnsi" w:cstheme="majorBidi"/>
      <w:sz w:val="20"/>
      <w:szCs w:val="20"/>
    </w:rPr>
  </w:style>
  <w:style w:type="paragraph" w:styleId="a6">
    <w:name w:val="annotation text"/>
    <w:basedOn w:val="a"/>
    <w:link w:val="a7"/>
    <w:qFormat/>
    <w:pPr>
      <w:jc w:val="left"/>
    </w:pPr>
  </w:style>
  <w:style w:type="paragraph" w:styleId="a8">
    <w:name w:val="Body Text"/>
    <w:basedOn w:val="a"/>
    <w:link w:val="a9"/>
    <w:qFormat/>
    <w:pPr>
      <w:spacing w:after="120"/>
    </w:pPr>
  </w:style>
  <w:style w:type="paragraph" w:styleId="aa">
    <w:name w:val="Body Text Indent"/>
    <w:basedOn w:val="a"/>
    <w:qFormat/>
    <w:pPr>
      <w:ind w:firstLineChars="200" w:firstLine="560"/>
    </w:pPr>
    <w:rPr>
      <w:rFonts w:cs="Times New Roman"/>
      <w:sz w:val="28"/>
    </w:rPr>
  </w:style>
  <w:style w:type="paragraph" w:styleId="TOC3">
    <w:name w:val="toc 3"/>
    <w:basedOn w:val="a"/>
    <w:next w:val="a"/>
    <w:autoRedefine/>
    <w:uiPriority w:val="39"/>
    <w:qFormat/>
    <w:pPr>
      <w:ind w:leftChars="400" w:left="840"/>
    </w:pPr>
  </w:style>
  <w:style w:type="paragraph" w:styleId="ab">
    <w:name w:val="footer"/>
    <w:basedOn w:val="a"/>
    <w:uiPriority w:val="99"/>
    <w:qFormat/>
    <w:pPr>
      <w:tabs>
        <w:tab w:val="center" w:pos="4153"/>
        <w:tab w:val="right" w:pos="8306"/>
      </w:tabs>
      <w:snapToGrid w:val="0"/>
      <w:jc w:val="left"/>
    </w:pPr>
    <w:rPr>
      <w:sz w:val="18"/>
    </w:rPr>
  </w:style>
  <w:style w:type="paragraph" w:styleId="ac">
    <w:name w:val="header"/>
    <w:basedOn w:val="a"/>
    <w:link w:val="ad"/>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qFormat/>
  </w:style>
  <w:style w:type="paragraph" w:styleId="TOC2">
    <w:name w:val="toc 2"/>
    <w:basedOn w:val="a"/>
    <w:next w:val="a"/>
    <w:autoRedefine/>
    <w:uiPriority w:val="39"/>
    <w:qFormat/>
    <w:pPr>
      <w:ind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rPr>
  </w:style>
  <w:style w:type="paragraph" w:styleId="ae">
    <w:name w:val="Title"/>
    <w:basedOn w:val="a"/>
    <w:qFormat/>
    <w:pPr>
      <w:spacing w:before="240" w:after="60"/>
      <w:jc w:val="center"/>
      <w:outlineLvl w:val="0"/>
    </w:pPr>
    <w:rPr>
      <w:rFonts w:ascii="Arial" w:hAnsi="Arial"/>
      <w:b/>
      <w:sz w:val="32"/>
    </w:rPr>
  </w:style>
  <w:style w:type="paragraph" w:styleId="af">
    <w:name w:val="annotation subject"/>
    <w:basedOn w:val="a6"/>
    <w:next w:val="a6"/>
    <w:link w:val="af0"/>
    <w:qFormat/>
    <w:rPr>
      <w:b/>
      <w:bCs/>
    </w:rPr>
  </w:style>
  <w:style w:type="table" w:styleId="af1">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qFormat/>
    <w:rPr>
      <w:b/>
    </w:rPr>
  </w:style>
  <w:style w:type="character" w:styleId="af3">
    <w:name w:val="endnote reference"/>
    <w:basedOn w:val="a0"/>
    <w:qFormat/>
    <w:rPr>
      <w:vertAlign w:val="superscript"/>
    </w:rPr>
  </w:style>
  <w:style w:type="character" w:styleId="af4">
    <w:name w:val="page number"/>
    <w:basedOn w:val="a0"/>
    <w:qFormat/>
  </w:style>
  <w:style w:type="character" w:styleId="af5">
    <w:name w:val="Hyperlink"/>
    <w:basedOn w:val="a0"/>
    <w:uiPriority w:val="99"/>
    <w:unhideWhenUsed/>
    <w:qFormat/>
    <w:rPr>
      <w:color w:val="0026E5" w:themeColor="hyperlink"/>
      <w:u w:val="single"/>
    </w:rPr>
  </w:style>
  <w:style w:type="character" w:styleId="af6">
    <w:name w:val="annotation reference"/>
    <w:basedOn w:val="a0"/>
    <w:qFormat/>
    <w:rPr>
      <w:sz w:val="21"/>
      <w:szCs w:val="21"/>
    </w:rPr>
  </w:style>
  <w:style w:type="paragraph" w:customStyle="1" w:styleId="af7">
    <w:name w:val="大标题"/>
    <w:basedOn w:val="a"/>
    <w:next w:val="a"/>
    <w:qFormat/>
    <w:pPr>
      <w:keepNext/>
      <w:keepLines/>
      <w:spacing w:before="20" w:after="20"/>
      <w:jc w:val="left"/>
      <w:outlineLvl w:val="2"/>
    </w:pPr>
    <w:rPr>
      <w:b/>
    </w:rPr>
  </w:style>
  <w:style w:type="paragraph" w:customStyle="1" w:styleId="af8">
    <w:name w:val="摘要标题"/>
    <w:basedOn w:val="ae"/>
    <w:qFormat/>
    <w:pPr>
      <w:widowControl/>
      <w:shd w:val="clear" w:color="auto" w:fill="FFFFFF"/>
      <w:spacing w:before="192" w:after="192"/>
    </w:pPr>
    <w:rPr>
      <w:rFonts w:ascii="宋体" w:hAnsi="宋体" w:cs="宋体" w:hint="eastAsia"/>
      <w:bCs/>
      <w:color w:val="0F1115"/>
      <w:szCs w:val="32"/>
      <w:shd w:val="clear" w:color="auto" w:fill="FFFFFF"/>
    </w:rPr>
  </w:style>
  <w:style w:type="paragraph" w:customStyle="1" w:styleId="af9">
    <w:name w:val="亚标题"/>
    <w:basedOn w:val="a"/>
    <w:qFormat/>
    <w:pPr>
      <w:keepNext/>
      <w:keepLines/>
      <w:spacing w:before="30" w:after="30" w:line="240" w:lineRule="auto"/>
      <w:jc w:val="left"/>
      <w:outlineLvl w:val="2"/>
    </w:pPr>
    <w:rPr>
      <w:rFonts w:hint="eastAsia"/>
      <w:b/>
    </w:rPr>
  </w:style>
  <w:style w:type="paragraph" w:customStyle="1" w:styleId="afa">
    <w:name w:val="次标题"/>
    <w:basedOn w:val="a"/>
    <w:qFormat/>
    <w:pPr>
      <w:keepNext/>
      <w:keepLines/>
      <w:spacing w:before="20" w:after="20"/>
      <w:ind w:leftChars="400" w:left="888"/>
      <w:jc w:val="left"/>
      <w:outlineLvl w:val="2"/>
    </w:pPr>
    <w:rPr>
      <w:b/>
    </w:rPr>
  </w:style>
  <w:style w:type="paragraph" w:customStyle="1" w:styleId="TableParagraph">
    <w:name w:val="Table Paragraph"/>
    <w:basedOn w:val="a"/>
    <w:uiPriority w:val="1"/>
    <w:qFormat/>
    <w:rPr>
      <w:rFonts w:ascii="宋体" w:hAnsi="宋体" w:cs="宋体"/>
    </w:rPr>
  </w:style>
  <w:style w:type="paragraph" w:styleId="afb">
    <w:name w:val="List Paragraph"/>
    <w:basedOn w:val="a"/>
    <w:uiPriority w:val="99"/>
    <w:unhideWhenUsed/>
    <w:qFormat/>
    <w:pPr>
      <w:ind w:firstLineChars="200" w:firstLine="420"/>
    </w:pPr>
  </w:style>
  <w:style w:type="character" w:customStyle="1" w:styleId="a9">
    <w:name w:val="正文文本 字符"/>
    <w:basedOn w:val="a0"/>
    <w:link w:val="a8"/>
    <w:qFormat/>
    <w:rPr>
      <w:rFonts w:cstheme="minorBidi"/>
      <w:kern w:val="2"/>
      <w:sz w:val="24"/>
      <w:szCs w:val="24"/>
    </w:rPr>
  </w:style>
  <w:style w:type="character" w:customStyle="1" w:styleId="ad">
    <w:name w:val="页眉 字符"/>
    <w:basedOn w:val="a0"/>
    <w:link w:val="ac"/>
    <w:qFormat/>
    <w:rPr>
      <w:rFonts w:cstheme="minorBidi"/>
      <w:kern w:val="2"/>
      <w:sz w:val="18"/>
      <w:szCs w:val="18"/>
    </w:rPr>
  </w:style>
  <w:style w:type="character" w:styleId="afc">
    <w:name w:val="Placeholder Text"/>
    <w:basedOn w:val="a0"/>
    <w:uiPriority w:val="99"/>
    <w:unhideWhenUsed/>
    <w:qFormat/>
    <w:rPr>
      <w:color w:val="666666"/>
    </w:rPr>
  </w:style>
  <w:style w:type="table" w:customStyle="1" w:styleId="afd">
    <w:name w:val="三线表"/>
    <w:basedOn w:val="a1"/>
    <w:uiPriority w:val="99"/>
    <w:qFormat/>
    <w:tblPr>
      <w:tblBorders>
        <w:top w:val="single" w:sz="12" w:space="0" w:color="auto"/>
        <w:bottom w:val="single" w:sz="12" w:space="0" w:color="auto"/>
      </w:tblBorders>
    </w:tblPr>
    <w:tblStylePr w:type="firstRow">
      <w:tblPr/>
      <w:tcPr>
        <w:tcBorders>
          <w:bottom w:val="nil"/>
        </w:tcBorders>
      </w:tcPr>
    </w:tblStylePr>
  </w:style>
  <w:style w:type="table" w:customStyle="1" w:styleId="afe">
    <w:name w:val="三线表？？？？"/>
    <w:basedOn w:val="a1"/>
    <w:uiPriority w:val="99"/>
    <w:tblPr>
      <w:tblBorders>
        <w:top w:val="single" w:sz="12" w:space="0" w:color="auto"/>
        <w:bottom w:val="single" w:sz="12" w:space="0" w:color="auto"/>
      </w:tblBorders>
    </w:tblPr>
    <w:tblStylePr w:type="firstRow">
      <w:tblPr/>
      <w:tcPr>
        <w:tcBorders>
          <w:bottom w:val="nil"/>
        </w:tcBorders>
      </w:tcPr>
    </w:tblStylePr>
  </w:style>
  <w:style w:type="character" w:customStyle="1" w:styleId="a7">
    <w:name w:val="批注文字 字符"/>
    <w:basedOn w:val="a0"/>
    <w:link w:val="a6"/>
    <w:qFormat/>
    <w:rPr>
      <w:rFonts w:cstheme="minorBidi"/>
      <w:kern w:val="2"/>
      <w:sz w:val="24"/>
      <w:szCs w:val="24"/>
    </w:rPr>
  </w:style>
  <w:style w:type="character" w:customStyle="1" w:styleId="af0">
    <w:name w:val="批注主题 字符"/>
    <w:basedOn w:val="a7"/>
    <w:link w:val="af"/>
    <w:qFormat/>
    <w:rPr>
      <w:rFonts w:cstheme="minorBidi"/>
      <w:b/>
      <w:bCs/>
      <w:kern w:val="2"/>
      <w:sz w:val="24"/>
      <w:szCs w:val="24"/>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0" w:after="0" w:line="288" w:lineRule="auto"/>
      <w:ind w:left="0"/>
    </w:pPr>
    <w:rPr>
      <w:rFonts w:ascii="微软雅黑" w:eastAsia="微软雅黑" w:hAnsi="微软雅黑" w:cstheme="minorBidi"/>
      <w:bCs w:val="0"/>
      <w:color w:val="000000"/>
      <w:sz w:val="32"/>
    </w:rPr>
  </w:style>
  <w:style w:type="paragraph" w:customStyle="1" w:styleId="acbfdd8b-e11b-4d36-88ff-6049b138f862">
    <w:name w:val="acbfdd8b-e11b-4d36-88ff-6049b138f862"/>
    <w:basedOn w:val="a"/>
    <w:link w:val="acbfdd8b-e11b-4d36-88ff-6049b138f8620"/>
    <w:pPr>
      <w:adjustRightInd w:val="0"/>
      <w:spacing w:line="288" w:lineRule="auto"/>
      <w:ind w:left="0"/>
      <w:jc w:val="left"/>
    </w:pPr>
    <w:rPr>
      <w:rFonts w:ascii="微软雅黑" w:eastAsia="微软雅黑" w:hAnsi="微软雅黑"/>
      <w:bCs/>
      <w:color w:val="000000"/>
      <w:sz w:val="22"/>
    </w:rPr>
  </w:style>
  <w:style w:type="character" w:customStyle="1" w:styleId="a4">
    <w:name w:val="正文缩进 字符"/>
    <w:basedOn w:val="a0"/>
    <w:link w:val="a3"/>
    <w:rPr>
      <w:rFonts w:cstheme="minorBidi"/>
      <w:kern w:val="2"/>
      <w:sz w:val="24"/>
      <w:szCs w:val="24"/>
    </w:rPr>
  </w:style>
  <w:style w:type="character" w:customStyle="1" w:styleId="21bc9c4b-6a32-43e5-beaa-fd2d792c57350">
    <w:name w:val="21bc9c4b-6a32-43e5-beaa-fd2d792c5735 字符"/>
    <w:basedOn w:val="a4"/>
    <w:link w:val="21bc9c4b-6a32-43e5-beaa-fd2d792c5735"/>
    <w:qFormat/>
    <w:rPr>
      <w:rFonts w:ascii="微软雅黑" w:eastAsia="微软雅黑" w:hAnsi="微软雅黑" w:cstheme="minorBidi"/>
      <w:b/>
      <w:color w:val="000000"/>
      <w:kern w:val="2"/>
      <w:sz w:val="32"/>
      <w:szCs w:val="24"/>
    </w:rPr>
  </w:style>
  <w:style w:type="character" w:customStyle="1" w:styleId="acbfdd8b-e11b-4d36-88ff-6049b138f8620">
    <w:name w:val="acbfdd8b-e11b-4d36-88ff-6049b138f862 字符"/>
    <w:basedOn w:val="a4"/>
    <w:link w:val="acbfdd8b-e11b-4d36-88ff-6049b138f862"/>
    <w:qFormat/>
    <w:rPr>
      <w:rFonts w:ascii="微软雅黑" w:eastAsia="微软雅黑" w:hAnsi="微软雅黑" w:cstheme="minorBidi"/>
      <w:bCs/>
      <w:color w:val="000000"/>
      <w:kern w:val="2"/>
      <w:sz w:val="22"/>
      <w:szCs w:val="24"/>
    </w:rPr>
  </w:style>
  <w:style w:type="paragraph" w:customStyle="1" w:styleId="71e7dc79-1ff7-45e8-997d-0ebda3762b91">
    <w:name w:val="71e7dc79-1ff7-45e8-997d-0ebda3762b91"/>
    <w:basedOn w:val="2"/>
    <w:next w:val="acbfdd8b-e11b-4d36-88ff-6049b138f862"/>
    <w:link w:val="71e7dc79-1ff7-45e8-997d-0ebda3762b910"/>
    <w:pPr>
      <w:adjustRightInd w:val="0"/>
      <w:spacing w:before="0" w:after="0" w:line="288" w:lineRule="auto"/>
      <w:ind w:left="0"/>
      <w:jc w:val="left"/>
    </w:pPr>
    <w:rPr>
      <w:rFonts w:ascii="微软雅黑" w:eastAsia="微软雅黑" w:hAnsi="微软雅黑"/>
      <w:color w:val="000000"/>
      <w:sz w:val="28"/>
    </w:rPr>
  </w:style>
  <w:style w:type="character" w:customStyle="1" w:styleId="20">
    <w:name w:val="标题 2 字符"/>
    <w:basedOn w:val="a0"/>
    <w:link w:val="2"/>
    <w:qFormat/>
    <w:rPr>
      <w:rFonts w:cstheme="minorBidi"/>
      <w:b/>
      <w:kern w:val="2"/>
      <w:sz w:val="32"/>
      <w:szCs w:val="24"/>
    </w:rPr>
  </w:style>
  <w:style w:type="character" w:customStyle="1" w:styleId="71e7dc79-1ff7-45e8-997d-0ebda3762b910">
    <w:name w:val="71e7dc79-1ff7-45e8-997d-0ebda3762b91 字符"/>
    <w:basedOn w:val="20"/>
    <w:link w:val="71e7dc79-1ff7-45e8-997d-0ebda3762b91"/>
    <w:rPr>
      <w:rFonts w:ascii="微软雅黑" w:eastAsia="微软雅黑" w:hAnsi="微软雅黑" w:cstheme="minorBidi"/>
      <w:b/>
      <w:color w:val="000000"/>
      <w:kern w:val="2"/>
      <w:sz w:val="28"/>
      <w:szCs w:val="24"/>
    </w:rPr>
  </w:style>
  <w:style w:type="paragraph" w:customStyle="1" w:styleId="b63ee27f-4cf3-414c-9275-d88e3f90795e">
    <w:name w:val="b63ee27f-4cf3-414c-9275-d88e3f90795e"/>
    <w:basedOn w:val="3"/>
    <w:next w:val="acbfdd8b-e11b-4d36-88ff-6049b138f862"/>
    <w:link w:val="b63ee27f-4cf3-414c-9275-d88e3f90795e0"/>
    <w:pPr>
      <w:adjustRightInd w:val="0"/>
      <w:spacing w:before="0" w:after="0" w:line="288" w:lineRule="auto"/>
      <w:ind w:left="0"/>
      <w:jc w:val="left"/>
    </w:pPr>
    <w:rPr>
      <w:rFonts w:ascii="微软雅黑" w:eastAsia="微软雅黑" w:hAnsi="微软雅黑"/>
      <w:bCs/>
      <w:color w:val="000000"/>
      <w:sz w:val="26"/>
    </w:rPr>
  </w:style>
  <w:style w:type="character" w:customStyle="1" w:styleId="b63ee27f-4cf3-414c-9275-d88e3f90795e0">
    <w:name w:val="b63ee27f-4cf3-414c-9275-d88e3f90795e 字符"/>
    <w:basedOn w:val="a4"/>
    <w:link w:val="b63ee27f-4cf3-414c-9275-d88e3f90795e"/>
    <w:rPr>
      <w:rFonts w:ascii="微软雅黑" w:eastAsia="微软雅黑" w:hAnsi="微软雅黑" w:cstheme="minorBidi"/>
      <w:b/>
      <w:bCs/>
      <w:color w:val="000000"/>
      <w:kern w:val="2"/>
      <w:sz w:val="26"/>
      <w:szCs w:val="24"/>
    </w:rPr>
  </w:style>
  <w:style w:type="table" w:customStyle="1" w:styleId="10">
    <w:name w:val="网格型1"/>
    <w:basedOn w:val="a1"/>
    <w:uiPriority w:val="9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9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网格型3"/>
    <w:basedOn w:val="a1"/>
    <w:uiPriority w:val="9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uiPriority w:val="9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9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uiPriority w:val="9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uiPriority w:val="9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jpeg"/><Relationship Id="rId28" Type="http://schemas.openxmlformats.org/officeDocument/2006/relationships/image" Target="media/image14.jpeg"/><Relationship Id="rId10" Type="http://schemas.openxmlformats.org/officeDocument/2006/relationships/footer" Target="footer1.xml"/><Relationship Id="rId19" Type="http://schemas.openxmlformats.org/officeDocument/2006/relationships/image" Target="media/image5.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2404D-6820-4B50-95C1-ECF1DACA8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63</Pages>
  <Words>24633</Words>
  <Characters>34733</Characters>
  <Application>Microsoft Office Word</Application>
  <DocSecurity>0</DocSecurity>
  <Lines>1389</Lines>
  <Paragraphs>1006</Paragraphs>
  <ScaleCrop>false</ScaleCrop>
  <Company/>
  <LinksUpToDate>false</LinksUpToDate>
  <CharactersWithSpaces>58360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尘客将军</dc:creator>
  <cp:lastModifiedBy>1</cp:lastModifiedBy>
  <cp:revision>23</cp:revision>
  <dcterms:created xsi:type="dcterms:W3CDTF">2026-04-28T11:34:00Z</dcterms:created>
  <dcterms:modified xsi:type="dcterms:W3CDTF">2026-05-27T15:11:00Z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D3C7D7A18DBF49F8BCDAE42E2FD1B240_13</vt:lpwstr>
  </property>
  <property fmtid="{D5CDD505-2E9C-101B-9397-08002B2CF9AE}" pid="4" name="KSOTemplateDocerSaveRecord">
    <vt:lpwstr>eyJoZGlkIjoiYzIyNzYyMGRlZjcwZWMyODM3ZWMxNzQ4ZGFmOThhZTYiLCJ1c2VySWQiOiI2MjI4NTIzMjgifQ==</vt:lpwstr>
  </property>
</Properties>
</file>