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20" w:before="20" w:line="240" w:lineRule="auto"/>
        <w:ind w:left="720" w:hanging="720"/>
        <w:jc w:val="center"/>
        <w:rPr>
          <w:rFonts w:ascii="Garamond" w:cs="Garamond" w:eastAsia="Garamond" w:hAnsi="Garamond"/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CONSTANCIA DE RENDIMIENTO OPERATIVO 244/2026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20" w:before="2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Coordinación de Innovación y Desarrollo – DMT – VMT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0" w:before="20" w:line="24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" w:before="20" w:line="240" w:lineRule="auto"/>
        <w:jc w:val="both"/>
        <w:rPr>
          <w:rFonts w:ascii="Tahoma" w:cs="Tahoma" w:eastAsia="Tahoma" w:hAnsi="Tahoma"/>
          <w:color w:val="2b6cb0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CONSTE QUE LA EMPRESA OPERADORA DE TRANSPORTE [NOMBRE DE LA EMPRESA S.A. / S.R.L.]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DURANTE EL MES OPERATIVO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JULIO DE 2026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HA OPERADO CON LOS SIGUIENTES INDICADORES CONSOLIDADOS DE DESEMPEÑO OPERATIVO A NIVEL EMPRESA: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2385"/>
        <w:gridCol w:w="2280"/>
        <w:gridCol w:w="1920"/>
        <w:tblGridChange w:id="0">
          <w:tblGrid>
            <w:gridCol w:w="2775"/>
            <w:gridCol w:w="2385"/>
            <w:gridCol w:w="2280"/>
            <w:gridCol w:w="1920"/>
          </w:tblGrid>
        </w:tblGridChange>
      </w:tblGrid>
      <w:tr>
        <w:trPr>
          <w:cantSplit w:val="0"/>
          <w:trHeight w:val="751.6406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0" w:before="20" w:line="24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INDICADOR EVALUADO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0" w:before="20" w:line="24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UMBRAL MÍNIMO EXIGIDO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0" w:before="20" w:line="24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RESULTADO OBTENIDO (EOT)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0" w:before="20" w:line="240" w:lineRule="auto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EVALUACIÓN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0" w:before="20" w:line="24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Índice de Cumplimiento de Cantidad de Buses Distintos Mínimo Mensual (ICCBDM Mensual)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0" w:before="20" w:line="24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95.00%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0" w:before="20" w:line="240" w:lineRule="auto"/>
              <w:jc w:val="both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[XX.XX]%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0" w:before="20" w:line="240" w:lineRule="auto"/>
              <w:jc w:val="both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[CUMPLE / NO CUMPLE]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Visto los indicadores operativos que obran en el informe técnico y en base a los parámetros de cumplimiento vigentes, se concluye que la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EOT [NOMBRE DE LA EMPRESA]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en la operativa consolidada del mes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julio de 2026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[CUMPLE / NO CUMPLE]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con el Nivel de Servicio Mínimo establecido para la habilitación al cobro de subsidios.</w:t>
      </w:r>
    </w:p>
    <w:p w:rsidR="00000000" w:rsidDel="00000000" w:rsidP="00000000" w:rsidRDefault="00000000" w:rsidRPr="00000000" w14:paraId="0000000F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Los índices operativos que obran en el informe adjunto fueron calculados con base en la información transaccional y de monitoreo contenida en la base de datos de la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Central de Control y Monitoreo del Billetaje Electrónico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aplicando la metodología y parámetros del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Índice de Cumplimiento de Cantidad de Buses Distintos Mínimo Mensual (ICCBDM Mensual)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previstos en la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Resolución GVMT N° 120/2025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2"/>
          <w:szCs w:val="22"/>
          <w:rtl w:val="0"/>
        </w:rPr>
        <w:t xml:space="preserve">"POR LA CUAL SE ESTABLECEN NUEVOS INDICADORES DE DESEMPEÑO, NIVELES DE SERVICIO Y PARÁMETROS DE EVALUACIÓN DE RENDIMIENTO PARA EL SERVICIO DE TRANSPORTE PÚBLICO METROPOLITANO DE PASAJEROS Y SE IMPLEMENTA UN SISTEMA INTEGRAL DE CONTROL Y MONITOREO"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En atención a lo fijado en el Artículo 23 de la Resolución GVMT N° 120/2025 sobre el régimen de transición y entrada en vigor a partir del 1 de julio de 2026, esta medición global a nivel empresa sustituye al esquema de evaluación por troncales que disponía la abrogada Resolución GVMT N° 290/2021.-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El análisis técnico correspondiente a la operativa de la empresa en el mes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julio de 2026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se informa a la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Dirección Metropolitana de Transporte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adjunto al presente Memorándum, recomendándose su consideración para el procesamiento de solicitudes en el marco del régimen de subsidios establecido en el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Art. 9°, inciso i) del Decreto N° 710/2023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y la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Resolución MOPC N° 1901/2023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Asimismo, en concordancia con la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Resolución GVMT N° 166/2023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se remite en el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Memorándum CID N° [XXX]/2026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el resultado del análisis de los usos considerados como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2"/>
          <w:szCs w:val="22"/>
          <w:rtl w:val="0"/>
        </w:rPr>
        <w:t xml:space="preserve">"llamativos"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durante el mes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julio del año 2026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para los fines administrativos que correspondan.</w:t>
      </w:r>
    </w:p>
    <w:p w:rsidR="00000000" w:rsidDel="00000000" w:rsidP="00000000" w:rsidRDefault="00000000" w:rsidRPr="00000000" w14:paraId="00000017">
      <w:pPr>
        <w:widowControl w:val="0"/>
        <w:spacing w:after="20" w:before="20" w:line="240" w:lineRule="auto"/>
        <w:ind w:firstLine="720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0" w:before="20" w:line="240" w:lineRule="auto"/>
        <w:jc w:val="both"/>
        <w:rPr>
          <w:rFonts w:ascii="Tahoma" w:cs="Tahoma" w:eastAsia="Tahoma" w:hAnsi="Tahoma"/>
          <w:sz w:val="22"/>
          <w:szCs w:val="22"/>
        </w:rPr>
        <w:sectPr>
          <w:headerReference r:id="rId7" w:type="default"/>
          <w:footerReference r:id="rId8" w:type="default"/>
          <w:pgSz w:h="16838" w:w="11906" w:orient="portrait"/>
          <w:pgMar w:bottom="709" w:top="993" w:left="1531" w:right="1134" w:header="284" w:footer="284"/>
          <w:pgNumType w:start="1"/>
        </w:sect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Se emite la presente constancia a los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10 días del mes de agosto de 2026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para los fines a que hubiere lugar.-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="240" w:lineRule="auto"/>
        <w:ind w:left="0" w:firstLine="0"/>
        <w:jc w:val="both"/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709" w:top="993" w:left="1531" w:right="1134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Lucida Sans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tabs>
        <w:tab w:val="left" w:leader="none" w:pos="1842"/>
        <w:tab w:val="center" w:leader="none" w:pos="4782"/>
        <w:tab w:val="right" w:leader="none" w:pos="9214"/>
      </w:tabs>
      <w:rPr>
        <w:rFonts w:ascii="Arial" w:cs="Arial" w:eastAsia="Arial" w:hAnsi="Arial"/>
        <w:b w:val="1"/>
        <w:bCs w:val="1"/>
        <w:color w:val="000000"/>
        <w:sz w:val="12"/>
        <w:szCs w:val="12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000000"/>
        <w:sz w:val="12"/>
        <w:szCs w:val="12"/>
        <w:rtl w:val="0"/>
      </w:rPr>
      <w:tab/>
      <w:tab/>
      <w:tab/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2"/>
        <w:szCs w:val="12"/>
        <w:rtl w:val="0"/>
      </w:rPr>
      <w:t xml:space="preserve">Pág.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Bdr>
        <w:top w:color="000000" w:space="1" w:sz="12" w:val="single"/>
      </w:pBdr>
      <w:tabs>
        <w:tab w:val="left" w:leader="none" w:pos="1842"/>
        <w:tab w:val="center" w:leader="none" w:pos="4782"/>
      </w:tabs>
      <w:jc w:val="center"/>
      <w:rPr>
        <w:rFonts w:ascii="Arial" w:cs="Arial" w:eastAsia="Arial" w:hAnsi="Arial"/>
        <w:b w:val="1"/>
        <w:bCs w:val="1"/>
        <w:i w:val="1"/>
        <w:iCs w:val="1"/>
        <w:color w:val="000000"/>
        <w:sz w:val="12"/>
        <w:szCs w:val="12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Dirección: Presidente Hayes esq. Dr. Cayo Romero Pereira | Asunción, Paraguay | +595 21 220 435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color="000000" w:space="1" w:sz="12" w:val="single"/>
      </w:pBdr>
      <w:tabs>
        <w:tab w:val="left" w:leader="none" w:pos="1842"/>
        <w:tab w:val="center" w:leader="none" w:pos="4782"/>
      </w:tabs>
      <w:jc w:val="center"/>
      <w:rPr>
        <w:rFonts w:ascii="Arial" w:cs="Arial" w:eastAsia="Arial" w:hAnsi="Arial"/>
        <w:b w:val="1"/>
        <w:bCs w:val="1"/>
        <w:i w:val="1"/>
        <w:iCs w:val="1"/>
        <w:color w:val="000000"/>
        <w:sz w:val="12"/>
        <w:szCs w:val="1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tabs>
        <w:tab w:val="left" w:leader="none" w:pos="1842"/>
        <w:tab w:val="center" w:leader="none" w:pos="4782"/>
        <w:tab w:val="right" w:leader="none" w:pos="9214"/>
      </w:tabs>
      <w:rPr>
        <w:rFonts w:ascii="Arial" w:cs="Arial" w:eastAsia="Arial" w:hAnsi="Arial"/>
        <w:b w:val="1"/>
        <w:bCs w:val="1"/>
        <w:color w:val="000000"/>
        <w:sz w:val="12"/>
        <w:szCs w:val="12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color w:val="000000"/>
        <w:sz w:val="12"/>
        <w:szCs w:val="12"/>
        <w:rtl w:val="0"/>
      </w:rPr>
      <w:tab/>
      <w:tab/>
      <w:tab/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2"/>
        <w:szCs w:val="12"/>
        <w:rtl w:val="0"/>
      </w:rPr>
      <w:t xml:space="preserve">Pág.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Bdr>
        <w:top w:color="000000" w:space="1" w:sz="12" w:val="single"/>
      </w:pBdr>
      <w:tabs>
        <w:tab w:val="left" w:leader="none" w:pos="1842"/>
        <w:tab w:val="center" w:leader="none" w:pos="4782"/>
      </w:tabs>
      <w:jc w:val="center"/>
      <w:rPr>
        <w:rFonts w:ascii="Arial" w:cs="Arial" w:eastAsia="Arial" w:hAnsi="Arial"/>
        <w:b w:val="1"/>
        <w:bCs w:val="1"/>
        <w:i w:val="1"/>
        <w:iCs w:val="1"/>
        <w:color w:val="000000"/>
        <w:sz w:val="12"/>
        <w:szCs w:val="12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Dirección: Presidente Hayes esq. Dr. Cayo Romero Pereira | Asunción, Paraguay | +595 21 220 435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Bdr>
        <w:top w:color="000000" w:space="1" w:sz="12" w:val="single"/>
      </w:pBdr>
      <w:tabs>
        <w:tab w:val="left" w:leader="none" w:pos="1842"/>
        <w:tab w:val="center" w:leader="none" w:pos="4782"/>
      </w:tabs>
      <w:jc w:val="center"/>
      <w:rPr>
        <w:rFonts w:ascii="Arial" w:cs="Arial" w:eastAsia="Arial" w:hAnsi="Arial"/>
        <w:b w:val="1"/>
        <w:bCs w:val="1"/>
        <w:i w:val="1"/>
        <w:iCs w:val="1"/>
        <w:color w:val="000000"/>
        <w:sz w:val="12"/>
        <w:szCs w:val="1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tabs>
        <w:tab w:val="left" w:leader="none" w:pos="2120"/>
        <w:tab w:val="left" w:leader="none" w:pos="2715"/>
        <w:tab w:val="center" w:leader="none" w:pos="4421"/>
        <w:tab w:val="center" w:leader="none" w:pos="5128"/>
        <w:tab w:val="left" w:leader="none" w:pos="6510"/>
        <w:tab w:val="right" w:leader="none" w:pos="9212"/>
      </w:tabs>
      <w:spacing w:line="276" w:lineRule="auto"/>
      <w:ind w:right="-142"/>
      <w:rPr>
        <w:rFonts w:ascii="Lucida Sans" w:cs="Lucida Sans" w:eastAsia="Lucida Sans" w:hAnsi="Lucida Sans"/>
        <w:b w:val="1"/>
        <w:bCs w:val="1"/>
        <w:i w:val="1"/>
        <w:i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2381250</wp:posOffset>
          </wp:positionH>
          <wp:positionV relativeFrom="paragraph">
            <wp:posOffset>-31749</wp:posOffset>
          </wp:positionV>
          <wp:extent cx="1605915" cy="41211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5915" cy="4121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4458970</wp:posOffset>
          </wp:positionH>
          <wp:positionV relativeFrom="paragraph">
            <wp:posOffset>30480</wp:posOffset>
          </wp:positionV>
          <wp:extent cx="1224280" cy="349885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4280" cy="3498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542925</wp:posOffset>
          </wp:positionH>
          <wp:positionV relativeFrom="paragraph">
            <wp:posOffset>20320</wp:posOffset>
          </wp:positionV>
          <wp:extent cx="1198880" cy="311785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8880" cy="3117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pBdr>
        <w:bottom w:color="000000" w:space="1" w:sz="12" w:val="single"/>
      </w:pBdr>
      <w:tabs>
        <w:tab w:val="left" w:leader="none" w:pos="2120"/>
        <w:tab w:val="left" w:leader="none" w:pos="2715"/>
        <w:tab w:val="center" w:leader="none" w:pos="4421"/>
      </w:tabs>
      <w:spacing w:line="276" w:lineRule="auto"/>
      <w:jc w:val="center"/>
      <w:rPr>
        <w:rFonts w:ascii="Lucida Sans" w:cs="Lucida Sans" w:eastAsia="Lucida Sans" w:hAnsi="Lucida Sans"/>
        <w:b w:val="1"/>
        <w:bCs w:val="1"/>
        <w:i w:val="1"/>
        <w:i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tabs>
        <w:tab w:val="left" w:leader="none" w:pos="2120"/>
        <w:tab w:val="left" w:leader="none" w:pos="2715"/>
        <w:tab w:val="center" w:leader="none" w:pos="4421"/>
        <w:tab w:val="center" w:leader="none" w:pos="5128"/>
        <w:tab w:val="left" w:leader="none" w:pos="6510"/>
        <w:tab w:val="right" w:leader="none" w:pos="9212"/>
      </w:tabs>
      <w:spacing w:line="276" w:lineRule="auto"/>
      <w:ind w:right="-142"/>
      <w:rPr>
        <w:rFonts w:ascii="Lucida Sans" w:cs="Lucida Sans" w:eastAsia="Lucida Sans" w:hAnsi="Lucida Sans"/>
        <w:b w:val="1"/>
        <w:bCs w:val="1"/>
        <w:i w:val="1"/>
        <w:i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2381250</wp:posOffset>
          </wp:positionH>
          <wp:positionV relativeFrom="paragraph">
            <wp:posOffset>-31749</wp:posOffset>
          </wp:positionV>
          <wp:extent cx="1605915" cy="41211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5915" cy="4121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4458970</wp:posOffset>
          </wp:positionH>
          <wp:positionV relativeFrom="paragraph">
            <wp:posOffset>30480</wp:posOffset>
          </wp:positionV>
          <wp:extent cx="1224280" cy="34988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4280" cy="3498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542925</wp:posOffset>
          </wp:positionH>
          <wp:positionV relativeFrom="paragraph">
            <wp:posOffset>20320</wp:posOffset>
          </wp:positionV>
          <wp:extent cx="1198880" cy="311785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8880" cy="3117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pBdr>
        <w:bottom w:color="000000" w:space="1" w:sz="12" w:val="single"/>
      </w:pBdr>
      <w:tabs>
        <w:tab w:val="left" w:leader="none" w:pos="2120"/>
        <w:tab w:val="left" w:leader="none" w:pos="2715"/>
        <w:tab w:val="center" w:leader="none" w:pos="4421"/>
      </w:tabs>
      <w:spacing w:line="276" w:lineRule="auto"/>
      <w:jc w:val="center"/>
      <w:rPr>
        <w:rFonts w:ascii="Lucida Sans" w:cs="Lucida Sans" w:eastAsia="Lucida Sans" w:hAnsi="Lucida Sans"/>
        <w:b w:val="1"/>
        <w:bCs w:val="1"/>
        <w:i w:val="1"/>
        <w:i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tabs>
        <w:tab w:val="left" w:leader="none" w:pos="1152"/>
      </w:tabs>
      <w:spacing w:after="60" w:before="240" w:lineRule="auto"/>
      <w:ind w:left="1152" w:hanging="1152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8refYISc+ny8idih69FKZl9KBg==">CgMxLjA4AHIhMTJNQnlRam1waUZwYTNfRXRaOEh0TVN5SW9RZGJYSi1X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