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Rule="auto"/>
        <w:jc w:val="center"/>
        <w:rPr/>
      </w:pPr>
      <w:r w:rsidDel="00000000" w:rsidR="00000000" w:rsidRPr="00000000">
        <w:rPr>
          <w:rFonts w:ascii="Tahoma" w:cs="Tahoma" w:eastAsia="Tahoma" w:hAnsi="Tahoma"/>
          <w:b w:val="1"/>
          <w:bCs w:val="1"/>
          <w:sz w:val="24"/>
          <w:szCs w:val="24"/>
          <w:rtl w:val="0"/>
        </w:rPr>
        <w:t xml:space="preserve">CONSTANCIA DE RENDIMIENTO OPERATIVO N° 259 / 2026</w:t>
      </w:r>
      <w:r w:rsidDel="00000000" w:rsidR="00000000" w:rsidRPr="00000000">
        <w:rPr>
          <w:rtl w:val="0"/>
        </w:rPr>
      </w:r>
    </w:p>
    <w:p w:rsidR="00000000" w:rsidDel="00000000" w:rsidP="00000000" w:rsidRDefault="00000000" w:rsidRPr="00000000" w14:paraId="00000002">
      <w:pPr>
        <w:spacing w:after="150" w:lineRule="auto"/>
        <w:jc w:val="both"/>
        <w:rPr/>
      </w:pPr>
      <w:r w:rsidDel="00000000" w:rsidR="00000000" w:rsidRPr="00000000">
        <w:rPr>
          <w:rFonts w:ascii="Tahoma" w:cs="Tahoma" w:eastAsia="Tahoma" w:hAnsi="Tahoma"/>
          <w:b w:val="1"/>
          <w:bCs w:val="1"/>
          <w:sz w:val="22"/>
          <w:szCs w:val="22"/>
          <w:rtl w:val="0"/>
        </w:rPr>
        <w:t xml:space="preserve">CONSTE QUE:</w:t>
      </w:r>
      <w:r w:rsidDel="00000000" w:rsidR="00000000" w:rsidRPr="00000000">
        <w:rPr>
          <w:rtl w:val="0"/>
        </w:rPr>
      </w:r>
    </w:p>
    <w:p w:rsidR="00000000" w:rsidDel="00000000" w:rsidP="00000000" w:rsidRDefault="00000000" w:rsidRPr="00000000" w14:paraId="00000003">
      <w:pPr>
        <w:spacing w:after="200" w:lineRule="auto"/>
        <w:ind w:firstLine="720"/>
        <w:jc w:val="both"/>
        <w:rPr/>
      </w:pPr>
      <w:r w:rsidDel="00000000" w:rsidR="00000000" w:rsidRPr="00000000">
        <w:rPr>
          <w:rFonts w:ascii="Tahoma" w:cs="Tahoma" w:eastAsia="Tahoma" w:hAnsi="Tahoma"/>
          <w:sz w:val="22"/>
          <w:szCs w:val="22"/>
          <w:rtl w:val="0"/>
        </w:rPr>
        <w:t xml:space="preserve">La Empresa Operadora de Transporte (EOT) </w:t>
      </w:r>
      <w:r w:rsidDel="00000000" w:rsidR="00000000" w:rsidRPr="00000000">
        <w:rPr>
          <w:rFonts w:ascii="Tahoma" w:cs="Tahoma" w:eastAsia="Tahoma" w:hAnsi="Tahoma"/>
          <w:b w:val="1"/>
          <w:bCs w:val="1"/>
          <w:sz w:val="22"/>
          <w:szCs w:val="22"/>
          <w:rtl w:val="0"/>
        </w:rPr>
        <w:t xml:space="preserve">16 DE NOVIEMBRE SRL</w:t>
      </w:r>
      <w:r w:rsidDel="00000000" w:rsidR="00000000" w:rsidRPr="00000000">
        <w:rPr>
          <w:rFonts w:ascii="Tahoma" w:cs="Tahoma" w:eastAsia="Tahoma" w:hAnsi="Tahoma"/>
          <w:sz w:val="22"/>
          <w:szCs w:val="22"/>
          <w:rtl w:val="0"/>
        </w:rPr>
        <w:t xml:space="preserve">, prestadora del servicio metropolitano de transporte público en las líneas e itinerarios autorizados bajo su concesión, durante el mes operativo correspondiente a </w:t>
      </w:r>
      <w:r w:rsidDel="00000000" w:rsidR="00000000" w:rsidRPr="00000000">
        <w:rPr>
          <w:rFonts w:ascii="Tahoma" w:cs="Tahoma" w:eastAsia="Tahoma" w:hAnsi="Tahoma"/>
          <w:b w:val="1"/>
          <w:bCs w:val="1"/>
          <w:sz w:val="22"/>
          <w:szCs w:val="22"/>
          <w:rtl w:val="0"/>
        </w:rPr>
        <w:t xml:space="preserve">JULIO DE 2026</w:t>
      </w:r>
      <w:r w:rsidDel="00000000" w:rsidR="00000000" w:rsidRPr="00000000">
        <w:rPr>
          <w:rFonts w:ascii="Tahoma" w:cs="Tahoma" w:eastAsia="Tahoma" w:hAnsi="Tahoma"/>
          <w:sz w:val="22"/>
          <w:szCs w:val="22"/>
          <w:rtl w:val="0"/>
        </w:rPr>
        <w:t xml:space="preserve">, ha registrado en la base de datos de la Central de Control y Monitoreo(CCM) del Sistema Nacional de Billetaje Electrónico(SNBE) los siguientes indicadores consolidados de rendimiento a nivel empresa:</w:t>
      </w:r>
      <w:r w:rsidDel="00000000" w:rsidR="00000000" w:rsidRPr="00000000">
        <w:rPr>
          <w:rtl w:val="0"/>
        </w:rPr>
      </w:r>
    </w:p>
    <w:p w:rsidR="00000000" w:rsidDel="00000000" w:rsidP="00000000" w:rsidRDefault="00000000" w:rsidRPr="00000000" w14:paraId="00000004">
      <w:pPr>
        <w:spacing w:after="150" w:before="200" w:lineRule="auto"/>
        <w:jc w:val="both"/>
        <w:rPr/>
      </w:pPr>
      <w:r w:rsidDel="00000000" w:rsidR="00000000" w:rsidRPr="00000000">
        <w:rPr>
          <w:rFonts w:ascii="Tahoma" w:cs="Tahoma" w:eastAsia="Tahoma" w:hAnsi="Tahoma"/>
          <w:b w:val="1"/>
          <w:bCs w:val="1"/>
          <w:sz w:val="22"/>
          <w:szCs w:val="22"/>
          <w:rtl w:val="0"/>
        </w:rPr>
        <w:t xml:space="preserve">I. EVALUACIÓN DE RENDIMIENTO OPERATIVO GLOBAL (A NIVEL EMPRESA)</w:t>
      </w:r>
      <w:r w:rsidDel="00000000" w:rsidR="00000000" w:rsidRPr="00000000">
        <w:rPr>
          <w:rtl w:val="0"/>
        </w:rPr>
      </w:r>
    </w:p>
    <w:tbl>
      <w:tblPr>
        <w:tblStyle w:val="Table1"/>
        <w:tblW w:w="9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1"/>
        <w:gridCol w:w="1708"/>
        <w:gridCol w:w="1708"/>
        <w:gridCol w:w="1803"/>
        <w:tblGridChange w:id="0">
          <w:tblGrid>
            <w:gridCol w:w="4271"/>
            <w:gridCol w:w="1708"/>
            <w:gridCol w:w="1708"/>
            <w:gridCol w:w="18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1f5f9" w:val="clear"/>
            <w:tcMar>
              <w:top w:w="0.0" w:type="dxa"/>
              <w:bottom w:w="0.0" w:type="dxa"/>
            </w:tcMar>
          </w:tcPr>
          <w:p w:rsidR="00000000" w:rsidDel="00000000" w:rsidP="00000000" w:rsidRDefault="00000000" w:rsidRPr="00000000" w14:paraId="00000005">
            <w:pPr>
              <w:jc w:val="both"/>
              <w:rPr/>
            </w:pPr>
            <w:r w:rsidDel="00000000" w:rsidR="00000000" w:rsidRPr="00000000">
              <w:rPr>
                <w:rFonts w:ascii="Tahoma" w:cs="Tahoma" w:eastAsia="Tahoma" w:hAnsi="Tahoma"/>
                <w:b w:val="1"/>
                <w:bCs w:val="1"/>
                <w:rtl w:val="0"/>
              </w:rPr>
              <w:t xml:space="preserve">INDICADOR EVALUADO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f5f9" w:val="clear"/>
            <w:tcMar>
              <w:top w:w="0.0" w:type="dxa"/>
              <w:bottom w:w="0.0" w:type="dxa"/>
            </w:tcMar>
          </w:tcPr>
          <w:p w:rsidR="00000000" w:rsidDel="00000000" w:rsidP="00000000" w:rsidRDefault="00000000" w:rsidRPr="00000000" w14:paraId="00000006">
            <w:pPr>
              <w:jc w:val="both"/>
              <w:rPr/>
            </w:pPr>
            <w:r w:rsidDel="00000000" w:rsidR="00000000" w:rsidRPr="00000000">
              <w:rPr>
                <w:rFonts w:ascii="Tahoma" w:cs="Tahoma" w:eastAsia="Tahoma" w:hAnsi="Tahoma"/>
                <w:b w:val="1"/>
                <w:bCs w:val="1"/>
                <w:rtl w:val="0"/>
              </w:rPr>
              <w:t xml:space="preserve">UMBRAL MÍNIMO EXIGIDO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f5f9" w:val="clear"/>
            <w:tcMar>
              <w:top w:w="0.0" w:type="dxa"/>
              <w:bottom w:w="0.0" w:type="dxa"/>
            </w:tcMar>
          </w:tcPr>
          <w:p w:rsidR="00000000" w:rsidDel="00000000" w:rsidP="00000000" w:rsidRDefault="00000000" w:rsidRPr="00000000" w14:paraId="00000007">
            <w:pPr>
              <w:jc w:val="both"/>
              <w:rPr/>
            </w:pPr>
            <w:r w:rsidDel="00000000" w:rsidR="00000000" w:rsidRPr="00000000">
              <w:rPr>
                <w:rFonts w:ascii="Tahoma" w:cs="Tahoma" w:eastAsia="Tahoma" w:hAnsi="Tahoma"/>
                <w:b w:val="1"/>
                <w:bCs w:val="1"/>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f5f9" w:val="clear"/>
            <w:tcMar>
              <w:top w:w="0.0" w:type="dxa"/>
              <w:bottom w:w="0.0" w:type="dxa"/>
            </w:tcMar>
          </w:tcPr>
          <w:p w:rsidR="00000000" w:rsidDel="00000000" w:rsidP="00000000" w:rsidRDefault="00000000" w:rsidRPr="00000000" w14:paraId="00000008">
            <w:pPr>
              <w:jc w:val="both"/>
              <w:rPr/>
            </w:pPr>
            <w:r w:rsidDel="00000000" w:rsidR="00000000" w:rsidRPr="00000000">
              <w:rPr>
                <w:rFonts w:ascii="Tahoma" w:cs="Tahoma" w:eastAsia="Tahoma" w:hAnsi="Tahoma"/>
                <w:b w:val="1"/>
                <w:bCs w:val="1"/>
                <w:rtl w:val="0"/>
              </w:rPr>
              <w:t xml:space="preserve">EVALUACIÓN FINAL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9">
            <w:pPr>
              <w:jc w:val="both"/>
              <w:rPr/>
            </w:pPr>
            <w:r w:rsidDel="00000000" w:rsidR="00000000" w:rsidRPr="00000000">
              <w:rPr>
                <w:rFonts w:ascii="Tahoma" w:cs="Tahoma" w:eastAsia="Tahoma" w:hAnsi="Tahoma"/>
                <w:b w:val="1"/>
                <w:bCs w:val="1"/>
                <w:rtl w:val="0"/>
              </w:rPr>
              <w:t xml:space="preserve">Índice de Cumplimiento de Cantidad de Buses Distintos Mínimo Mensual (ICCBDM Mensual) </w:t>
            </w:r>
            <w:r w:rsidDel="00000000" w:rsidR="00000000" w:rsidRPr="00000000">
              <w:rPr>
                <w:rFonts w:ascii="Tahoma" w:cs="Tahoma" w:eastAsia="Tahoma" w:hAnsi="Tahoma"/>
                <w:i w:val="1"/>
                <w:iCs w:val="1"/>
                <w:sz w:val="18"/>
                <w:szCs w:val="18"/>
                <w:rtl w:val="0"/>
              </w:rPr>
              <w:t xml:space="preserve">(Medición consolidada de flota operativa a nivel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A">
            <w:pPr>
              <w:jc w:val="both"/>
              <w:rPr/>
            </w:pPr>
            <w:r w:rsidDel="00000000" w:rsidR="00000000" w:rsidRPr="00000000">
              <w:rPr>
                <w:rFonts w:ascii="Tahoma" w:cs="Tahoma" w:eastAsia="Tahoma" w:hAnsi="Tahoma"/>
                <w:b w:val="1"/>
                <w:bCs w:val="1"/>
                <w:rtl w:val="0"/>
              </w:rPr>
              <w:t xml:space="preserve">95.00 %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B">
            <w:pPr>
              <w:jc w:val="both"/>
              <w:rPr/>
            </w:pPr>
            <w:r w:rsidDel="00000000" w:rsidR="00000000" w:rsidRPr="00000000">
              <w:rPr>
                <w:rFonts w:ascii="Tahoma" w:cs="Tahoma" w:eastAsia="Tahoma" w:hAnsi="Tahoma"/>
                <w:b w:val="1"/>
                <w:bCs w:val="1"/>
                <w:rtl w:val="0"/>
              </w:rPr>
              <w:t xml:space="preserve">99.91 %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C">
            <w:pPr>
              <w:jc w:val="both"/>
              <w:rPr/>
            </w:pPr>
            <w:r w:rsidDel="00000000" w:rsidR="00000000" w:rsidRPr="00000000">
              <w:rPr>
                <w:rFonts w:ascii="Tahoma" w:cs="Tahoma" w:eastAsia="Tahoma" w:hAnsi="Tahoma"/>
                <w:b w:val="1"/>
                <w:bCs w:val="1"/>
                <w:rtl w:val="0"/>
              </w:rPr>
              <w:t xml:space="preserve">CUMPLE</w:t>
            </w:r>
            <w:r w:rsidDel="00000000" w:rsidR="00000000" w:rsidRPr="00000000">
              <w:rPr>
                <w:rtl w:val="0"/>
              </w:rPr>
            </w:r>
          </w:p>
        </w:tc>
      </w:tr>
    </w:tbl>
    <w:p w:rsidR="00000000" w:rsidDel="00000000" w:rsidP="00000000" w:rsidRDefault="00000000" w:rsidRPr="00000000" w14:paraId="0000000D">
      <w:pPr>
        <w:spacing w:after="250" w:lineRule="auto"/>
        <w:jc w:val="both"/>
        <w:rPr/>
      </w:pPr>
      <w:r w:rsidDel="00000000" w:rsidR="00000000" w:rsidRPr="00000000">
        <w:rPr>
          <w:rtl w:val="0"/>
        </w:rPr>
      </w:r>
    </w:p>
    <w:p w:rsidR="00000000" w:rsidDel="00000000" w:rsidP="00000000" w:rsidRDefault="00000000" w:rsidRPr="00000000" w14:paraId="0000000E">
      <w:pPr>
        <w:spacing w:after="150" w:before="150" w:lineRule="auto"/>
        <w:jc w:val="both"/>
        <w:rPr/>
      </w:pPr>
      <w:r w:rsidDel="00000000" w:rsidR="00000000" w:rsidRPr="00000000">
        <w:rPr>
          <w:rFonts w:ascii="Tahoma" w:cs="Tahoma" w:eastAsia="Tahoma" w:hAnsi="Tahoma"/>
          <w:b w:val="1"/>
          <w:bCs w:val="1"/>
          <w:sz w:val="22"/>
          <w:szCs w:val="22"/>
          <w:rtl w:val="0"/>
        </w:rPr>
        <w:t xml:space="preserve">II. DELIMITACIÓN DE FRANJAS OPERATIVAS COMPUTABLES (DICTAMEN C.J. N° 357/2026)</w:t>
      </w:r>
      <w:r w:rsidDel="00000000" w:rsidR="00000000" w:rsidRPr="00000000">
        <w:rPr>
          <w:rtl w:val="0"/>
        </w:rPr>
      </w:r>
    </w:p>
    <w:p w:rsidR="00000000" w:rsidDel="00000000" w:rsidP="00000000" w:rsidRDefault="00000000" w:rsidRPr="00000000" w14:paraId="0000000F">
      <w:pPr>
        <w:spacing w:after="150" w:lineRule="auto"/>
        <w:ind w:firstLine="720"/>
        <w:jc w:val="both"/>
        <w:rPr/>
      </w:pPr>
      <w:r w:rsidDel="00000000" w:rsidR="00000000" w:rsidRPr="00000000">
        <w:rPr>
          <w:rFonts w:ascii="Tahoma" w:cs="Tahoma" w:eastAsia="Tahoma" w:hAnsi="Tahoma"/>
          <w:sz w:val="22"/>
          <w:szCs w:val="22"/>
          <w:rtl w:val="0"/>
        </w:rPr>
        <w:t xml:space="preserve">En estricta concordancia con las normativas vigentes (los Arts. 4° y 21 de la Res. GVMT N° 120/2025 y la Res. GVMT N° 21/2026), la evaluación de exigibilidad técnica para la presente etapa de implementación se circunscribe exclusivamente a las siguientes franjas operativas:</w:t>
      </w:r>
      <w:r w:rsidDel="00000000" w:rsidR="00000000" w:rsidRPr="00000000">
        <w:rPr>
          <w:rtl w:val="0"/>
        </w:rPr>
      </w:r>
    </w:p>
    <w:tbl>
      <w:tblPr>
        <w:tblStyle w:val="Table2"/>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
        <w:gridCol w:w="2469"/>
        <w:gridCol w:w="6647"/>
        <w:tblGridChange w:id="0">
          <w:tblGrid>
            <w:gridCol w:w="380"/>
            <w:gridCol w:w="2469"/>
            <w:gridCol w:w="6647"/>
          </w:tblGrid>
        </w:tblGridChange>
      </w:tblGrid>
      <w:tr>
        <w:trPr>
          <w:cantSplit w:val="0"/>
          <w:tblHeader w:val="0"/>
        </w:trPr>
        <w:tc>
          <w:tcPr>
            <w:gridSpan w:val="3"/>
            <w:tcMar>
              <w:top w:w="0.0" w:type="dxa"/>
              <w:bottom w:w="0.0" w:type="dxa"/>
            </w:tcMar>
          </w:tcPr>
          <w:p w:rsidR="00000000" w:rsidDel="00000000" w:rsidP="00000000" w:rsidRDefault="00000000" w:rsidRPr="00000000" w14:paraId="00000010">
            <w:pPr>
              <w:spacing w:after="40" w:before="80" w:lineRule="auto"/>
              <w:jc w:val="both"/>
              <w:rPr/>
            </w:pPr>
            <w:r w:rsidDel="00000000" w:rsidR="00000000" w:rsidRPr="00000000">
              <w:rPr>
                <w:rFonts w:ascii="Tahoma" w:cs="Tahoma" w:eastAsia="Tahoma" w:hAnsi="Tahoma"/>
                <w:b w:val="1"/>
                <w:bCs w:val="1"/>
                <w:sz w:val="22"/>
                <w:szCs w:val="22"/>
                <w:rtl w:val="0"/>
              </w:rPr>
              <w:t xml:space="preserve">1. Lunes a Viernes: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3">
            <w:pPr>
              <w:jc w:val="both"/>
              <w:rPr/>
            </w:pPr>
            <w:r w:rsidDel="00000000" w:rsidR="00000000" w:rsidRPr="00000000">
              <w:rPr>
                <w:rtl w:val="0"/>
              </w:rPr>
            </w:r>
          </w:p>
        </w:tc>
        <w:tc>
          <w:tcPr>
            <w:tcMar>
              <w:top w:w="0.0" w:type="dxa"/>
              <w:bottom w:w="0.0" w:type="dxa"/>
            </w:tcMar>
          </w:tcPr>
          <w:p w:rsidR="00000000" w:rsidDel="00000000" w:rsidP="00000000" w:rsidRDefault="00000000" w:rsidRPr="00000000" w14:paraId="00000014">
            <w:pPr>
              <w:jc w:val="both"/>
              <w:rPr/>
            </w:pPr>
            <w:r w:rsidDel="00000000" w:rsidR="00000000" w:rsidRPr="00000000">
              <w:rPr>
                <w:rFonts w:ascii="Tahoma" w:cs="Tahoma" w:eastAsia="Tahoma" w:hAnsi="Tahoma"/>
                <w:b w:val="1"/>
                <w:bCs w:val="1"/>
                <w:rtl w:val="0"/>
              </w:rPr>
              <w:t xml:space="preserve">• Pico Mañana:</w:t>
            </w:r>
            <w:r w:rsidDel="00000000" w:rsidR="00000000" w:rsidRPr="00000000">
              <w:rPr>
                <w:rtl w:val="0"/>
              </w:rPr>
            </w:r>
          </w:p>
        </w:tc>
        <w:tc>
          <w:tcPr>
            <w:tcMar>
              <w:top w:w="0.0" w:type="dxa"/>
              <w:bottom w:w="0.0" w:type="dxa"/>
            </w:tcMar>
          </w:tcPr>
          <w:p w:rsidR="00000000" w:rsidDel="00000000" w:rsidP="00000000" w:rsidRDefault="00000000" w:rsidRPr="00000000" w14:paraId="00000015">
            <w:pPr>
              <w:jc w:val="both"/>
              <w:rPr/>
            </w:pPr>
            <w:r w:rsidDel="00000000" w:rsidR="00000000" w:rsidRPr="00000000">
              <w:rPr>
                <w:rFonts w:ascii="Tahoma" w:cs="Tahoma" w:eastAsia="Tahoma" w:hAnsi="Tahoma"/>
                <w:rtl w:val="0"/>
              </w:rPr>
              <w:t xml:space="preserve">05:00 a 07:59 h   -&gt; COMPUTABLE (Alcanzada por exigibilidad y sanción)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6">
            <w:pPr>
              <w:jc w:val="both"/>
              <w:rPr/>
            </w:pPr>
            <w:r w:rsidDel="00000000" w:rsidR="00000000" w:rsidRPr="00000000">
              <w:rPr>
                <w:rtl w:val="0"/>
              </w:rPr>
            </w:r>
          </w:p>
        </w:tc>
        <w:tc>
          <w:tcPr>
            <w:tcMar>
              <w:top w:w="0.0" w:type="dxa"/>
              <w:bottom w:w="0.0" w:type="dxa"/>
            </w:tcMar>
          </w:tcPr>
          <w:p w:rsidR="00000000" w:rsidDel="00000000" w:rsidP="00000000" w:rsidRDefault="00000000" w:rsidRPr="00000000" w14:paraId="00000017">
            <w:pPr>
              <w:jc w:val="both"/>
              <w:rPr/>
            </w:pPr>
            <w:r w:rsidDel="00000000" w:rsidR="00000000" w:rsidRPr="00000000">
              <w:rPr>
                <w:rFonts w:ascii="Tahoma" w:cs="Tahoma" w:eastAsia="Tahoma" w:hAnsi="Tahoma"/>
                <w:b w:val="1"/>
                <w:bCs w:val="1"/>
                <w:rtl w:val="0"/>
              </w:rPr>
              <w:t xml:space="preserve">• Pos Pico (Entre):</w:t>
            </w:r>
            <w:r w:rsidDel="00000000" w:rsidR="00000000" w:rsidRPr="00000000">
              <w:rPr>
                <w:rtl w:val="0"/>
              </w:rPr>
            </w:r>
          </w:p>
        </w:tc>
        <w:tc>
          <w:tcPr>
            <w:tcMar>
              <w:top w:w="0.0" w:type="dxa"/>
              <w:bottom w:w="0.0" w:type="dxa"/>
            </w:tcMar>
          </w:tcPr>
          <w:p w:rsidR="00000000" w:rsidDel="00000000" w:rsidP="00000000" w:rsidRDefault="00000000" w:rsidRPr="00000000" w14:paraId="00000018">
            <w:pPr>
              <w:jc w:val="both"/>
              <w:rPr/>
            </w:pPr>
            <w:r w:rsidDel="00000000" w:rsidR="00000000" w:rsidRPr="00000000">
              <w:rPr>
                <w:rFonts w:ascii="Tahoma" w:cs="Tahoma" w:eastAsia="Tahoma" w:hAnsi="Tahoma"/>
                <w:rtl w:val="0"/>
              </w:rPr>
              <w:t xml:space="preserve">08:00 a 15:59 h   -&gt; COMPUTABLE (Alcanzada por exigibilidad y sanción)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9">
            <w:pPr>
              <w:jc w:val="both"/>
              <w:rPr/>
            </w:pPr>
            <w:r w:rsidDel="00000000" w:rsidR="00000000" w:rsidRPr="00000000">
              <w:rPr>
                <w:rtl w:val="0"/>
              </w:rPr>
            </w:r>
          </w:p>
        </w:tc>
        <w:tc>
          <w:tcPr>
            <w:tcMar>
              <w:top w:w="0.0" w:type="dxa"/>
              <w:bottom w:w="0.0" w:type="dxa"/>
            </w:tcMar>
          </w:tcPr>
          <w:p w:rsidR="00000000" w:rsidDel="00000000" w:rsidP="00000000" w:rsidRDefault="00000000" w:rsidRPr="00000000" w14:paraId="0000001A">
            <w:pPr>
              <w:jc w:val="both"/>
              <w:rPr/>
            </w:pPr>
            <w:r w:rsidDel="00000000" w:rsidR="00000000" w:rsidRPr="00000000">
              <w:rPr>
                <w:rFonts w:ascii="Tahoma" w:cs="Tahoma" w:eastAsia="Tahoma" w:hAnsi="Tahoma"/>
                <w:b w:val="1"/>
                <w:bCs w:val="1"/>
                <w:rtl w:val="0"/>
              </w:rPr>
              <w:t xml:space="preserve">• Pico Tarde:</w:t>
            </w:r>
            <w:r w:rsidDel="00000000" w:rsidR="00000000" w:rsidRPr="00000000">
              <w:rPr>
                <w:rtl w:val="0"/>
              </w:rPr>
            </w:r>
          </w:p>
        </w:tc>
        <w:tc>
          <w:tcPr>
            <w:tcMar>
              <w:top w:w="0.0" w:type="dxa"/>
              <w:bottom w:w="0.0" w:type="dxa"/>
            </w:tcMar>
          </w:tcPr>
          <w:p w:rsidR="00000000" w:rsidDel="00000000" w:rsidP="00000000" w:rsidRDefault="00000000" w:rsidRPr="00000000" w14:paraId="0000001B">
            <w:pPr>
              <w:jc w:val="both"/>
              <w:rPr/>
            </w:pPr>
            <w:r w:rsidDel="00000000" w:rsidR="00000000" w:rsidRPr="00000000">
              <w:rPr>
                <w:rFonts w:ascii="Tahoma" w:cs="Tahoma" w:eastAsia="Tahoma" w:hAnsi="Tahoma"/>
                <w:rtl w:val="0"/>
              </w:rPr>
              <w:t xml:space="preserve">16:00 a 18:59 h   -&gt; COMPUTABLE (Alcanzada por exigibilidad y sanción)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C">
            <w:pPr>
              <w:jc w:val="both"/>
              <w:rPr/>
            </w:pPr>
            <w:r w:rsidDel="00000000" w:rsidR="00000000" w:rsidRPr="00000000">
              <w:rPr>
                <w:rtl w:val="0"/>
              </w:rPr>
            </w:r>
          </w:p>
        </w:tc>
        <w:tc>
          <w:tcPr>
            <w:tcMar>
              <w:top w:w="0.0" w:type="dxa"/>
              <w:bottom w:w="0.0" w:type="dxa"/>
            </w:tcMar>
          </w:tcPr>
          <w:p w:rsidR="00000000" w:rsidDel="00000000" w:rsidP="00000000" w:rsidRDefault="00000000" w:rsidRPr="00000000" w14:paraId="0000001D">
            <w:pPr>
              <w:jc w:val="both"/>
              <w:rPr/>
            </w:pPr>
            <w:r w:rsidDel="00000000" w:rsidR="00000000" w:rsidRPr="00000000">
              <w:rPr>
                <w:rFonts w:ascii="Tahoma" w:cs="Tahoma" w:eastAsia="Tahoma" w:hAnsi="Tahoma"/>
                <w:b w:val="1"/>
                <w:bCs w:val="1"/>
                <w:rtl w:val="0"/>
              </w:rPr>
              <w:t xml:space="preserve">• Pos Pico Tarde:</w:t>
            </w:r>
            <w:r w:rsidDel="00000000" w:rsidR="00000000" w:rsidRPr="00000000">
              <w:rPr>
                <w:rtl w:val="0"/>
              </w:rPr>
            </w:r>
          </w:p>
        </w:tc>
        <w:tc>
          <w:tcPr>
            <w:tcMar>
              <w:top w:w="0.0" w:type="dxa"/>
              <w:bottom w:w="0.0" w:type="dxa"/>
            </w:tcMar>
          </w:tcPr>
          <w:p w:rsidR="00000000" w:rsidDel="00000000" w:rsidP="00000000" w:rsidRDefault="00000000" w:rsidRPr="00000000" w14:paraId="0000001E">
            <w:pPr>
              <w:jc w:val="both"/>
              <w:rPr/>
            </w:pPr>
            <w:r w:rsidDel="00000000" w:rsidR="00000000" w:rsidRPr="00000000">
              <w:rPr>
                <w:rFonts w:ascii="Tahoma" w:cs="Tahoma" w:eastAsia="Tahoma" w:hAnsi="Tahoma"/>
                <w:rtl w:val="0"/>
              </w:rPr>
              <w:t xml:space="preserve">19:00 a 20:59 h   -&gt; COMPUTABLE (Alcanzada por exigibilidad y sanción)</w:t>
            </w:r>
            <w:r w:rsidDel="00000000" w:rsidR="00000000" w:rsidRPr="00000000">
              <w:rPr>
                <w:rtl w:val="0"/>
              </w:rPr>
            </w:r>
          </w:p>
        </w:tc>
      </w:tr>
      <w:tr>
        <w:trPr>
          <w:cantSplit w:val="0"/>
          <w:tblHeader w:val="0"/>
        </w:trPr>
        <w:tc>
          <w:tcPr>
            <w:gridSpan w:val="3"/>
            <w:tcMar>
              <w:top w:w="0.0" w:type="dxa"/>
              <w:bottom w:w="0.0" w:type="dxa"/>
            </w:tcMar>
          </w:tcPr>
          <w:p w:rsidR="00000000" w:rsidDel="00000000" w:rsidP="00000000" w:rsidRDefault="00000000" w:rsidRPr="00000000" w14:paraId="0000001F">
            <w:pPr>
              <w:spacing w:after="40" w:before="120" w:lineRule="auto"/>
              <w:jc w:val="both"/>
              <w:rPr/>
            </w:pPr>
            <w:r w:rsidDel="00000000" w:rsidR="00000000" w:rsidRPr="00000000">
              <w:rPr>
                <w:rFonts w:ascii="Tahoma" w:cs="Tahoma" w:eastAsia="Tahoma" w:hAnsi="Tahoma"/>
                <w:b w:val="1"/>
                <w:bCs w:val="1"/>
                <w:sz w:val="22"/>
                <w:szCs w:val="22"/>
                <w:rtl w:val="0"/>
              </w:rPr>
              <w:t xml:space="preserve">2. Sábados: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2">
            <w:pPr>
              <w:jc w:val="both"/>
              <w:rPr/>
            </w:pPr>
            <w:r w:rsidDel="00000000" w:rsidR="00000000" w:rsidRPr="00000000">
              <w:rPr>
                <w:rtl w:val="0"/>
              </w:rPr>
            </w:r>
          </w:p>
        </w:tc>
        <w:tc>
          <w:tcPr>
            <w:tcMar>
              <w:top w:w="0.0" w:type="dxa"/>
              <w:bottom w:w="0.0" w:type="dxa"/>
            </w:tcMar>
          </w:tcPr>
          <w:p w:rsidR="00000000" w:rsidDel="00000000" w:rsidP="00000000" w:rsidRDefault="00000000" w:rsidRPr="00000000" w14:paraId="00000023">
            <w:pPr>
              <w:jc w:val="both"/>
              <w:rPr/>
            </w:pPr>
            <w:r w:rsidDel="00000000" w:rsidR="00000000" w:rsidRPr="00000000">
              <w:rPr>
                <w:rFonts w:ascii="Tahoma" w:cs="Tahoma" w:eastAsia="Tahoma" w:hAnsi="Tahoma"/>
                <w:b w:val="1"/>
                <w:bCs w:val="1"/>
                <w:rtl w:val="0"/>
              </w:rPr>
              <w:t xml:space="preserve">• Pico Sábados:</w:t>
            </w:r>
            <w:r w:rsidDel="00000000" w:rsidR="00000000" w:rsidRPr="00000000">
              <w:rPr>
                <w:rtl w:val="0"/>
              </w:rPr>
            </w:r>
          </w:p>
        </w:tc>
        <w:tc>
          <w:tcPr>
            <w:tcMar>
              <w:top w:w="0.0" w:type="dxa"/>
              <w:bottom w:w="0.0" w:type="dxa"/>
            </w:tcMar>
          </w:tcPr>
          <w:p w:rsidR="00000000" w:rsidDel="00000000" w:rsidP="00000000" w:rsidRDefault="00000000" w:rsidRPr="00000000" w14:paraId="00000024">
            <w:pPr>
              <w:jc w:val="both"/>
              <w:rPr/>
            </w:pPr>
            <w:r w:rsidDel="00000000" w:rsidR="00000000" w:rsidRPr="00000000">
              <w:rPr>
                <w:rFonts w:ascii="Tahoma" w:cs="Tahoma" w:eastAsia="Tahoma" w:hAnsi="Tahoma"/>
                <w:rtl w:val="0"/>
              </w:rPr>
              <w:t xml:space="preserve">06:00 a 15:59 h   -&gt; COMPUTABLE (Alcanzada por exigibilidad y sanción)</w:t>
            </w:r>
            <w:r w:rsidDel="00000000" w:rsidR="00000000" w:rsidRPr="00000000">
              <w:rPr>
                <w:rtl w:val="0"/>
              </w:rPr>
            </w:r>
          </w:p>
        </w:tc>
      </w:tr>
    </w:tbl>
    <w:p w:rsidR="00000000" w:rsidDel="00000000" w:rsidP="00000000" w:rsidRDefault="00000000" w:rsidRPr="00000000" w14:paraId="00000025">
      <w:pPr>
        <w:spacing w:after="250" w:before="120" w:lineRule="auto"/>
        <w:jc w:val="both"/>
        <w:rPr/>
      </w:pPr>
      <w:r w:rsidDel="00000000" w:rsidR="00000000" w:rsidRPr="00000000">
        <w:rPr>
          <w:rFonts w:ascii="Tahoma" w:cs="Tahoma" w:eastAsia="Tahoma" w:hAnsi="Tahoma"/>
          <w:i w:val="1"/>
          <w:iCs w:val="1"/>
          <w:sz w:val="18"/>
          <w:szCs w:val="18"/>
          <w:rtl w:val="0"/>
        </w:rPr>
        <w:t xml:space="preserve">* Franjas Exceptuadas en la presente etapa (Solo monitoreo informativo): Madrugada (L-V), Nocturna (L-V), Pos Pico Sábados, Nocturna Sábados, Domingos y Feriados.</w:t>
      </w:r>
      <w:r w:rsidDel="00000000" w:rsidR="00000000" w:rsidRPr="00000000">
        <w:rPr>
          <w:rtl w:val="0"/>
        </w:rPr>
      </w:r>
    </w:p>
    <w:p w:rsidR="00000000" w:rsidDel="00000000" w:rsidP="00000000" w:rsidRDefault="00000000" w:rsidRPr="00000000" w14:paraId="00000026">
      <w:pPr>
        <w:spacing w:after="150" w:before="150" w:lineRule="auto"/>
        <w:jc w:val="both"/>
        <w:rPr/>
      </w:pPr>
      <w:r w:rsidDel="00000000" w:rsidR="00000000" w:rsidRPr="00000000">
        <w:rPr>
          <w:rFonts w:ascii="Tahoma" w:cs="Tahoma" w:eastAsia="Tahoma" w:hAnsi="Tahoma"/>
          <w:b w:val="1"/>
          <w:bCs w:val="1"/>
          <w:sz w:val="22"/>
          <w:szCs w:val="22"/>
          <w:rtl w:val="0"/>
        </w:rPr>
        <w:t xml:space="preserve">III. FUNDAMENTACIÓN TÉCNICA, LEGAL Y MARCO NORMATIVO DE RESPALDO</w:t>
      </w:r>
      <w:r w:rsidDel="00000000" w:rsidR="00000000" w:rsidRPr="00000000">
        <w:rPr>
          <w:rtl w:val="0"/>
        </w:rPr>
      </w:r>
    </w:p>
    <w:p w:rsidR="00000000" w:rsidDel="00000000" w:rsidP="00000000" w:rsidRDefault="00000000" w:rsidRPr="00000000" w14:paraId="00000027">
      <w:pPr>
        <w:spacing w:after="120" w:lineRule="auto"/>
        <w:ind w:firstLine="720"/>
        <w:jc w:val="both"/>
        <w:rPr/>
      </w:pPr>
      <w:r w:rsidDel="00000000" w:rsidR="00000000" w:rsidRPr="00000000">
        <w:rPr>
          <w:rFonts w:ascii="Tahoma" w:cs="Tahoma" w:eastAsia="Tahoma" w:hAnsi="Tahoma"/>
          <w:b w:val="1"/>
          <w:bCs w:val="1"/>
          <w:sz w:val="22"/>
          <w:szCs w:val="22"/>
          <w:rtl w:val="0"/>
        </w:rPr>
        <w:t xml:space="preserve">1. PARÁMETRO VIGENTE Y METODOLOGÍA: </w:t>
      </w:r>
      <w:r w:rsidDel="00000000" w:rsidR="00000000" w:rsidRPr="00000000">
        <w:rPr>
          <w:rFonts w:ascii="Tahoma" w:cs="Tahoma" w:eastAsia="Tahoma" w:hAnsi="Tahoma"/>
          <w:sz w:val="22"/>
          <w:szCs w:val="22"/>
          <w:rtl w:val="0"/>
        </w:rPr>
        <w:t xml:space="preserve">Los índices operativos consignados fueron calculados en base a los registros transaccionales y GPS(según Resolución GVMT N° 65/2024) de la Central de Control y Monitoreo del Billetaje Electrónico (Ley N° 5230/2014), aplicando el Índice de Cumplimiento de Cantidad de Buses Distintos Mínimo Mensual (ICCBDM Mensual) reglamentado en el Artículo 11 de la Resolución GVMT N° 120/2025 ("Por la cual se establecen nuevos indicadores de desempeño, niveles de servicio y parámetros de evaluación de rendimiento para el servicio de transporte público metropolitano de pasajeros y se implementa un sistema integral de control y monitoreo"), modificada por las Resoluciones GVMT N° 21/2026 y N° 26/2026.</w:t>
      </w:r>
      <w:r w:rsidDel="00000000" w:rsidR="00000000" w:rsidRPr="00000000">
        <w:rPr>
          <w:rtl w:val="0"/>
        </w:rPr>
      </w:r>
    </w:p>
    <w:p w:rsidR="00000000" w:rsidDel="00000000" w:rsidP="00000000" w:rsidRDefault="00000000" w:rsidRPr="00000000" w14:paraId="00000028">
      <w:pPr>
        <w:spacing w:after="120" w:lineRule="auto"/>
        <w:ind w:firstLine="720"/>
        <w:jc w:val="both"/>
        <w:rPr/>
      </w:pPr>
      <w:r w:rsidDel="00000000" w:rsidR="00000000" w:rsidRPr="00000000">
        <w:rPr>
          <w:rFonts w:ascii="Tahoma" w:cs="Tahoma" w:eastAsia="Tahoma" w:hAnsi="Tahoma"/>
          <w:b w:val="1"/>
          <w:bCs w:val="1"/>
          <w:sz w:val="22"/>
          <w:szCs w:val="22"/>
          <w:rtl w:val="0"/>
        </w:rPr>
        <w:t xml:space="preserve">2. ABROGACIÓN DEL RÉGIMEN ANTERIOR: </w:t>
      </w:r>
      <w:r w:rsidDel="00000000" w:rsidR="00000000" w:rsidRPr="00000000">
        <w:rPr>
          <w:rFonts w:ascii="Tahoma" w:cs="Tahoma" w:eastAsia="Tahoma" w:hAnsi="Tahoma"/>
          <w:sz w:val="22"/>
          <w:szCs w:val="22"/>
          <w:rtl w:val="0"/>
        </w:rPr>
        <w:t xml:space="preserve">De acuerdo con el régimen transitorio establecido en el Art. 23 de la Res. GVMT N° 120/2025, la anterior Resolución GVMT N° 290/2021 quedó abrogada de pleno derecho al 30 de junio de 2026. Por consiguiente, la antigua evaluación fraccionada por troncales ha sido sustituida de manera exclusiva por la evaluación global de flota a nivel empresa (ICCBDM Mensual) a partir de la operativa de julio de 2026.</w:t>
      </w:r>
      <w:r w:rsidDel="00000000" w:rsidR="00000000" w:rsidRPr="00000000">
        <w:rPr>
          <w:rtl w:val="0"/>
        </w:rPr>
      </w:r>
    </w:p>
    <w:p w:rsidR="00000000" w:rsidDel="00000000" w:rsidP="00000000" w:rsidRDefault="00000000" w:rsidRPr="00000000" w14:paraId="00000029">
      <w:pPr>
        <w:spacing w:after="120" w:lineRule="auto"/>
        <w:ind w:firstLine="720"/>
        <w:jc w:val="both"/>
        <w:rPr/>
      </w:pPr>
      <w:r w:rsidDel="00000000" w:rsidR="00000000" w:rsidRPr="00000000">
        <w:rPr>
          <w:rFonts w:ascii="Tahoma" w:cs="Tahoma" w:eastAsia="Tahoma" w:hAnsi="Tahoma"/>
          <w:b w:val="1"/>
          <w:bCs w:val="1"/>
          <w:sz w:val="22"/>
          <w:szCs w:val="22"/>
          <w:rtl w:val="0"/>
        </w:rPr>
        <w:t xml:space="preserve">3. RESPALDO PARA EL RÉGIMEN DE SUBSIDIOS: </w:t>
      </w:r>
      <w:r w:rsidDel="00000000" w:rsidR="00000000" w:rsidRPr="00000000">
        <w:rPr>
          <w:rFonts w:ascii="Tahoma" w:cs="Tahoma" w:eastAsia="Tahoma" w:hAnsi="Tahoma"/>
          <w:sz w:val="22"/>
          <w:szCs w:val="22"/>
          <w:rtl w:val="0"/>
        </w:rPr>
        <w:t xml:space="preserve">La presente Constancia certifica el cumplimiento del requisito sustancial exigido por el Artículo 9°, inciso i) del Decreto N° 710/2023 ("Cumplir con los niveles de servicio establecidos por el Gabinete del Viceministro de Transporte, comprobada por la Constancia de Rendimiento Operativo del mes solicitado") en concordancia con su Artículo 16 (decaimiento del derecho), y el procedimiento previsto en el Artículo 2°, numeral II, inciso C.a) de la Resolución MOPC N° 1901/2023, poseyendo plena validez y eficacia jurídica para la tramitación de las solicitudes de pago de subsidio.</w:t>
      </w:r>
      <w:r w:rsidDel="00000000" w:rsidR="00000000" w:rsidRPr="00000000">
        <w:rPr>
          <w:rtl w:val="0"/>
        </w:rPr>
      </w:r>
    </w:p>
    <w:p w:rsidR="00000000" w:rsidDel="00000000" w:rsidP="00000000" w:rsidRDefault="00000000" w:rsidRPr="00000000" w14:paraId="0000002A">
      <w:pPr>
        <w:spacing w:after="250" w:lineRule="auto"/>
        <w:ind w:firstLine="720"/>
        <w:jc w:val="both"/>
        <w:rPr/>
      </w:pPr>
      <w:r w:rsidDel="00000000" w:rsidR="00000000" w:rsidRPr="00000000">
        <w:rPr>
          <w:rFonts w:ascii="Tahoma" w:cs="Tahoma" w:eastAsia="Tahoma" w:hAnsi="Tahoma"/>
          <w:b w:val="1"/>
          <w:bCs w:val="1"/>
          <w:sz w:val="22"/>
          <w:szCs w:val="22"/>
          <w:rtl w:val="0"/>
        </w:rPr>
        <w:t xml:space="preserve">4. CONTROL DE USOS LLAMATIVOS: </w:t>
      </w:r>
      <w:r w:rsidDel="00000000" w:rsidR="00000000" w:rsidRPr="00000000">
        <w:rPr>
          <w:rFonts w:ascii="Tahoma" w:cs="Tahoma" w:eastAsia="Tahoma" w:hAnsi="Tahoma"/>
          <w:sz w:val="22"/>
          <w:szCs w:val="22"/>
          <w:rtl w:val="0"/>
        </w:rPr>
        <w:t xml:space="preserve">En concordancia con lo dispuesto en la Resolución GVMT N° 166/2023, esta Coordinación eleva de forma paralela a la Dirección Metropolitana de Transporte el Memorándum CID N° [XXX], contentivo del informe de validaciones y transacciones consideradas como "usos llamativos" durante el mes evaluado.</w:t>
      </w:r>
      <w:r w:rsidDel="00000000" w:rsidR="00000000" w:rsidRPr="00000000">
        <w:rPr>
          <w:rtl w:val="0"/>
        </w:rPr>
      </w:r>
    </w:p>
    <w:p w:rsidR="00000000" w:rsidDel="00000000" w:rsidP="00000000" w:rsidRDefault="00000000" w:rsidRPr="00000000" w14:paraId="0000002B">
      <w:pPr>
        <w:spacing w:after="150" w:before="150" w:lineRule="auto"/>
        <w:jc w:val="both"/>
        <w:rPr/>
      </w:pPr>
      <w:r w:rsidDel="00000000" w:rsidR="00000000" w:rsidRPr="00000000">
        <w:rPr>
          <w:rFonts w:ascii="Tahoma" w:cs="Tahoma" w:eastAsia="Tahoma" w:hAnsi="Tahoma"/>
          <w:b w:val="1"/>
          <w:bCs w:val="1"/>
          <w:sz w:val="22"/>
          <w:szCs w:val="22"/>
          <w:rtl w:val="0"/>
        </w:rPr>
        <w:t xml:space="preserve">IV. CONCLUSIÓN Y HABILITACIÓN AL SUBSIDIO</w:t>
      </w:r>
      <w:r w:rsidDel="00000000" w:rsidR="00000000" w:rsidRPr="00000000">
        <w:rPr>
          <w:rtl w:val="0"/>
        </w:rPr>
      </w:r>
    </w:p>
    <w:p w:rsidR="00000000" w:rsidDel="00000000" w:rsidP="00000000" w:rsidRDefault="00000000" w:rsidRPr="00000000" w14:paraId="0000002C">
      <w:pPr>
        <w:spacing w:after="250" w:lineRule="auto"/>
        <w:ind w:firstLine="720"/>
        <w:jc w:val="both"/>
        <w:rPr/>
      </w:pPr>
      <w:r w:rsidDel="00000000" w:rsidR="00000000" w:rsidRPr="00000000">
        <w:rPr>
          <w:rFonts w:ascii="Tahoma" w:cs="Tahoma" w:eastAsia="Tahoma" w:hAnsi="Tahoma"/>
          <w:sz w:val="22"/>
          <w:szCs w:val="22"/>
          <w:rtl w:val="0"/>
        </w:rPr>
        <w:t xml:space="preserve">Visto el informe técnico emitido por la CCCM del SNBE y habiéndose evaluado el desempeño bajo el umbral legal mínimo del 95.00% del ICCBDM Mensual en las franjas computables fijadas, se concluye que la Empresa Operadora de Transporte </w:t>
      </w:r>
      <w:r w:rsidDel="00000000" w:rsidR="00000000" w:rsidRPr="00000000">
        <w:rPr>
          <w:rFonts w:ascii="Tahoma" w:cs="Tahoma" w:eastAsia="Tahoma" w:hAnsi="Tahoma"/>
          <w:b w:val="1"/>
          <w:bCs w:val="1"/>
          <w:sz w:val="22"/>
          <w:szCs w:val="22"/>
          <w:rtl w:val="0"/>
        </w:rPr>
        <w:t xml:space="preserve">16 DE NOVIEMBRE SRL</w:t>
      </w:r>
      <w:r w:rsidDel="00000000" w:rsidR="00000000" w:rsidRPr="00000000">
        <w:rPr>
          <w:rFonts w:ascii="Tahoma" w:cs="Tahoma" w:eastAsia="Tahoma" w:hAnsi="Tahoma"/>
          <w:sz w:val="22"/>
          <w:szCs w:val="22"/>
          <w:rtl w:val="0"/>
        </w:rPr>
        <w:t xml:space="preserve"> en la operativa del mes de </w:t>
      </w:r>
      <w:r w:rsidDel="00000000" w:rsidR="00000000" w:rsidRPr="00000000">
        <w:rPr>
          <w:rFonts w:ascii="Tahoma" w:cs="Tahoma" w:eastAsia="Tahoma" w:hAnsi="Tahoma"/>
          <w:b w:val="1"/>
          <w:bCs w:val="1"/>
          <w:sz w:val="22"/>
          <w:szCs w:val="22"/>
          <w:rtl w:val="0"/>
        </w:rPr>
        <w:t xml:space="preserve">JULIO DE 2026</w:t>
      </w:r>
      <w:r w:rsidDel="00000000" w:rsidR="00000000" w:rsidRPr="00000000">
        <w:rPr>
          <w:rFonts w:ascii="Tahoma" w:cs="Tahoma" w:eastAsia="Tahoma" w:hAnsi="Tahoma"/>
          <w:sz w:val="22"/>
          <w:szCs w:val="22"/>
          <w:rtl w:val="0"/>
        </w:rPr>
        <w:t xml:space="preserve">, </w:t>
      </w:r>
      <w:r w:rsidDel="00000000" w:rsidR="00000000" w:rsidRPr="00000000">
        <w:rPr>
          <w:rFonts w:ascii="Tahoma" w:cs="Tahoma" w:eastAsia="Tahoma" w:hAnsi="Tahoma"/>
          <w:b w:val="1"/>
          <w:bCs w:val="1"/>
          <w:sz w:val="22"/>
          <w:szCs w:val="22"/>
          <w:rtl w:val="0"/>
        </w:rPr>
        <w:t xml:space="preserve">CUMPLE</w:t>
      </w:r>
      <w:r w:rsidDel="00000000" w:rsidR="00000000" w:rsidRPr="00000000">
        <w:rPr>
          <w:rFonts w:ascii="Tahoma" w:cs="Tahoma" w:eastAsia="Tahoma" w:hAnsi="Tahoma"/>
          <w:sz w:val="22"/>
          <w:szCs w:val="22"/>
          <w:rtl w:val="0"/>
        </w:rPr>
        <w:t xml:space="preserve"> con los Niveles de Servicio Mínimos exigidos para la habilitación al cobro del subsidio estatal al transporte.</w:t>
      </w:r>
      <w:r w:rsidDel="00000000" w:rsidR="00000000" w:rsidRPr="00000000">
        <w:rPr>
          <w:rtl w:val="0"/>
        </w:rPr>
      </w:r>
    </w:p>
    <w:p w:rsidR="00000000" w:rsidDel="00000000" w:rsidP="00000000" w:rsidRDefault="00000000" w:rsidRPr="00000000" w14:paraId="0000002D">
      <w:pPr>
        <w:spacing w:after="400" w:before="200" w:lineRule="auto"/>
        <w:ind w:firstLine="720"/>
        <w:jc w:val="both"/>
        <w:rPr/>
      </w:pPr>
      <w:r w:rsidDel="00000000" w:rsidR="00000000" w:rsidRPr="00000000">
        <w:rPr>
          <w:rFonts w:ascii="Tahoma" w:cs="Tahoma" w:eastAsia="Tahoma" w:hAnsi="Tahoma"/>
          <w:sz w:val="22"/>
          <w:szCs w:val="22"/>
          <w:rtl w:val="0"/>
        </w:rPr>
        <w:t xml:space="preserve">Se expide la presente Constancia de Rendimiento Operativo en la ciudad de Asunción, a los 17 días del mes de Agosto de 2026, para su remisión a la Dirección Metropolitana de Transporte y fines administrativos pertinentes.</w:t>
      </w:r>
      <w:r w:rsidDel="00000000" w:rsidR="00000000" w:rsidRPr="00000000">
        <w:rPr>
          <w:rtl w:val="0"/>
        </w:rPr>
      </w:r>
    </w:p>
    <w:tbl>
      <w:tblPr>
        <w:tblStyle w:val="Table3"/>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0"/>
        </w:trPr>
        <w:tc>
          <w:tcPr>
            <w:tcMar>
              <w:top w:w="0.0" w:type="dxa"/>
              <w:bottom w:w="0.0" w:type="dxa"/>
            </w:tcMar>
          </w:tcPr>
          <w:p w:rsidR="00000000" w:rsidDel="00000000" w:rsidP="00000000" w:rsidRDefault="00000000" w:rsidRPr="00000000" w14:paraId="0000002E">
            <w:pPr>
              <w:jc w:val="both"/>
              <w:rPr/>
            </w:pPr>
            <w:r w:rsidDel="00000000" w:rsidR="00000000" w:rsidRPr="00000000">
              <w:rPr>
                <w:rFonts w:ascii="Tahoma" w:cs="Tahoma" w:eastAsia="Tahoma" w:hAnsi="Tahoma"/>
                <w:rtl w:val="0"/>
              </w:rPr>
              <w:t xml:space="preserve">________________________________________</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Tahoma" w:cs="Tahoma" w:eastAsia="Tahoma" w:hAnsi="Tahoma"/>
                <w:b w:val="1"/>
                <w:bCs w:val="1"/>
                <w:rtl w:val="0"/>
              </w:rPr>
              <w:t xml:space="preserve">Coordinación de Innovación y Desarrollo</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Tahoma" w:cs="Tahoma" w:eastAsia="Tahoma" w:hAnsi="Tahoma"/>
                <w:sz w:val="18"/>
                <w:szCs w:val="18"/>
                <w:rtl w:val="0"/>
              </w:rPr>
              <w:t xml:space="preserve">Viceministerio de Transporte - MOPC</w:t>
            </w:r>
            <w:r w:rsidDel="00000000" w:rsidR="00000000" w:rsidRPr="00000000">
              <w:rPr>
                <w:rtl w:val="0"/>
              </w:rPr>
            </w:r>
          </w:p>
        </w:tc>
        <w:tc>
          <w:tcPr>
            <w:tcMar>
              <w:top w:w="0.0" w:type="dxa"/>
              <w:bottom w:w="0.0" w:type="dxa"/>
            </w:tcMar>
          </w:tcPr>
          <w:p w:rsidR="00000000" w:rsidDel="00000000" w:rsidP="00000000" w:rsidRDefault="00000000" w:rsidRPr="00000000" w14:paraId="00000031">
            <w:pPr>
              <w:jc w:val="both"/>
              <w:rPr/>
            </w:pPr>
            <w:r w:rsidDel="00000000" w:rsidR="00000000" w:rsidRPr="00000000">
              <w:rPr>
                <w:rFonts w:ascii="Tahoma" w:cs="Tahoma" w:eastAsia="Tahoma" w:hAnsi="Tahoma"/>
                <w:rtl w:val="0"/>
              </w:rPr>
              <w:t xml:space="preserve">________________________________________</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Tahoma" w:cs="Tahoma" w:eastAsia="Tahoma" w:hAnsi="Tahoma"/>
                <w:b w:val="1"/>
                <w:bCs w:val="1"/>
                <w:rtl w:val="0"/>
              </w:rPr>
              <w:t xml:space="preserve">Dirección Metropolitana de Transporte</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Tahoma" w:cs="Tahoma" w:eastAsia="Tahoma" w:hAnsi="Tahoma"/>
                <w:sz w:val="18"/>
                <w:szCs w:val="18"/>
                <w:rtl w:val="0"/>
              </w:rPr>
              <w:t xml:space="preserve">Viceministerio de Transporte - MOPC</w:t>
            </w:r>
            <w:r w:rsidDel="00000000" w:rsidR="00000000" w:rsidRPr="00000000">
              <w:rPr>
                <w:rtl w:val="0"/>
              </w:rPr>
            </w:r>
          </w:p>
        </w:tc>
      </w:tr>
    </w:tbl>
    <w:p w:rsidR="00000000" w:rsidDel="00000000" w:rsidP="00000000" w:rsidRDefault="00000000" w:rsidRPr="00000000" w14:paraId="00000034">
      <w:pPr>
        <w:jc w:val="both"/>
        <w:rPr/>
      </w:pPr>
      <w:r w:rsidDel="00000000" w:rsidR="00000000" w:rsidRPr="00000000">
        <w:rPr>
          <w:rtl w:val="0"/>
        </w:rPr>
      </w:r>
    </w:p>
    <w:sectPr>
      <w:headerReference r:id="rId7" w:type="default"/>
      <w:footerReference r:id="rId8" w:type="default"/>
      <w:pgSz w:h="16838" w:w="11906"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color="000000" w:space="6" w:sz="0" w:val="none"/>
      </w:pBdr>
      <w:spacing w:after="40" w:before="100" w:lineRule="auto"/>
      <w:rPr/>
    </w:pPr>
    <w:r w:rsidDel="00000000" w:rsidR="00000000" w:rsidRPr="00000000">
      <w:rPr>
        <w:rFonts w:ascii="Tahoma" w:cs="Tahoma" w:eastAsia="Tahoma" w:hAnsi="Tahoma"/>
        <w:b w:val="1"/>
        <w:bCs w:val="1"/>
        <w:sz w:val="16"/>
        <w:szCs w:val="16"/>
        <w:rtl w:val="0"/>
      </w:rPr>
      <w:t xml:space="preserve">Misión: </w:t>
    </w:r>
    <w:r w:rsidDel="00000000" w:rsidR="00000000" w:rsidRPr="00000000">
      <w:rPr>
        <w:rFonts w:ascii="Tahoma" w:cs="Tahoma" w:eastAsia="Tahoma" w:hAnsi="Tahoma"/>
        <w:i w:val="1"/>
        <w:iCs w:val="1"/>
        <w:sz w:val="16"/>
        <w:szCs w:val="16"/>
        <w:rtl w:val="0"/>
      </w:rPr>
      <w:t xml:space="preserve">"Somos un organismo que elabora, propone y ejecuta políticas en materia de infraestructura pública, transporte, minería, energía, para la integración y desarrollo económico de la población".</w:t>
    </w:r>
    <w:r w:rsidDel="00000000" w:rsidR="00000000" w:rsidRPr="00000000">
      <w:rPr>
        <w:rtl w:val="0"/>
      </w:rPr>
    </w:r>
  </w:p>
  <w:p w:rsidR="00000000" w:rsidDel="00000000" w:rsidP="00000000" w:rsidRDefault="00000000" w:rsidRPr="00000000" w14:paraId="00000038">
    <w:pPr>
      <w:rPr/>
    </w:pPr>
    <w:r w:rsidDel="00000000" w:rsidR="00000000" w:rsidRPr="00000000">
      <w:rPr>
        <w:rFonts w:ascii="Tahoma" w:cs="Tahoma" w:eastAsia="Tahoma" w:hAnsi="Tahoma"/>
        <w:b w:val="1"/>
        <w:bCs w:val="1"/>
        <w:sz w:val="16"/>
        <w:szCs w:val="16"/>
        <w:rtl w:val="0"/>
      </w:rPr>
      <w:t xml:space="preserve">Visión: </w:t>
    </w:r>
    <w:r w:rsidDel="00000000" w:rsidR="00000000" w:rsidRPr="00000000">
      <w:rPr>
        <w:rFonts w:ascii="Tahoma" w:cs="Tahoma" w:eastAsia="Tahoma" w:hAnsi="Tahoma"/>
        <w:i w:val="1"/>
        <w:iCs w:val="1"/>
        <w:sz w:val="16"/>
        <w:szCs w:val="16"/>
        <w:rtl w:val="0"/>
      </w:rPr>
      <w:t xml:space="preserve">"Ser reconocidos por nuestra idoneidad en planificación y ejecución de políticas y proyectos, garantizando la conectividad a través de infraestructuras públicas innovadoras, gestionadas de forma eficiente, transparente y enfocadas al ciudadano".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pPr>
    <w:r w:rsidDel="00000000" w:rsidR="00000000" w:rsidRPr="00000000">
      <w:rPr/>
      <w:drawing>
        <wp:inline distB="0" distT="0" distL="0" distR="0">
          <wp:extent cx="4572000" cy="5238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5720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bottom w:color="000000" w:space="2" w:sz="0" w:val="non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4pJXZpp8HeGAg8f+8b9EeE8/Ww==">CgMxLjA4AHIhMXE1REZndjZpWm4zcDdzR3RTM1JnSXl5Z21hLTZGa2xh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2026-08-17T14:06:00Z</dcterms:created>
  <dc:creator>Un-named</dc:creator>
</cp:coreProperties>
</file>