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Segoe UI" w:hAnsi="Segoe UI"/>
          <w:b/>
          <w:color w:val="1B365D"/>
          <w:sz w:val="36"/>
        </w:rPr>
        <w:t>INFORME DE ESTADO Y ALCANCE TÉCNICO</w:t>
      </w:r>
    </w:p>
    <w:p>
      <w:pPr>
        <w:spacing w:after="240"/>
        <w:jc w:val="center"/>
      </w:pPr>
      <w:r>
        <w:rPr>
          <w:rFonts w:ascii="Segoe UI" w:hAnsi="Segoe UI"/>
          <w:color w:val="475569"/>
          <w:sz w:val="23"/>
        </w:rPr>
        <w:t>Plataforma Integral de Gestión de Torneos y Circuitos de Ajedrez — Mi Cancha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 xml:space="preserve">Proyecto / Cliente: </w:t>
            </w:r>
            <w:r>
              <w:rPr>
                <w:rFonts w:ascii="Segoe UI" w:hAnsi="Segoe UI"/>
                <w:sz w:val="18"/>
              </w:rPr>
              <w:t>Circuito y Federación de Ajedrez</w:t>
            </w:r>
          </w:p>
        </w:tc>
        <w:tc>
          <w:tcPr>
            <w:tcW w:type="dxa" w:w="4968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 xml:space="preserve">Fecha de Informe: </w:t>
            </w:r>
            <w:r>
              <w:rPr>
                <w:rFonts w:ascii="Segoe UI" w:hAnsi="Segoe UI"/>
                <w:sz w:val="18"/>
              </w:rPr>
              <w:t>Agosto 2026</w:t>
            </w:r>
          </w:p>
        </w:tc>
      </w:tr>
      <w:tr>
        <w:tc>
          <w:tcPr>
            <w:tcW w:type="dxa" w:w="4968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 xml:space="preserve">Estado del Sistema: </w:t>
            </w:r>
            <w:r>
              <w:rPr>
                <w:rFonts w:ascii="Segoe UI" w:hAnsi="Segoe UI"/>
                <w:b/>
                <w:color w:val="10B981"/>
                <w:sz w:val="18"/>
              </w:rPr>
              <w:t>100% Funcional y Listo para Producción</w:t>
            </w:r>
          </w:p>
        </w:tc>
        <w:tc>
          <w:tcPr>
            <w:tcW w:type="dxa" w:w="4968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 xml:space="preserve">Versión de Software: </w:t>
            </w:r>
            <w:r>
              <w:rPr>
                <w:rFonts w:ascii="Segoe UI" w:hAnsi="Segoe UI"/>
                <w:sz w:val="18"/>
              </w:rPr>
              <w:t>Release Oficial v2.4 (FIDE &amp; Lichess Sync)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0"/>
        </w:rPr>
        <w:t>1. Resumen Ejecutivo</w:t>
      </w:r>
    </w:p>
    <w:p>
      <w:pPr>
        <w:spacing w:before="0" w:after="120" w:line="276" w:lineRule="auto"/>
      </w:pPr>
      <w:r>
        <w:rPr>
          <w:rFonts w:ascii="Segoe UI" w:hAnsi="Segoe UI"/>
          <w:color w:val="0F172A"/>
          <w:sz w:val="20"/>
        </w:rPr>
        <w:t>El presente documento resume las capacidades, alcance operativo y estado técnico del módulo oficial de Ajedrez integrado en la plataforma Mi Cancha. La solución brinda una cobertura total e interactiva para la organización de torneos escolares, abiertos y circuitos anuales federados, cumpliendo estrictamente con la normativa de la Federación Internacional de Ajedrez (FIDE).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CFDF5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0B981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1B365D"/>
                <w:sz w:val="20"/>
              </w:rPr>
              <w:t>Dictamen de Desarrollo: Módulos Core 100% Completados</w:t>
              <w:br/>
            </w:r>
            <w:r>
              <w:rPr>
                <w:rFonts w:ascii="Segoe UI" w:hAnsi="Segoe UI"/>
                <w:color w:val="0F172A"/>
                <w:sz w:val="19"/>
              </w:rPr>
              <w:t>Todos los componentes funcionales requeridos —incluyendo la integración con Lichess y su visor de tablero interactivo embebido, el motor de auditoría antitrampa en tiempo real (ACPL), el importador de Chess-Results/Swiss-Manager, el clasificador dinámico por edad (Sub-7 a Sub-13 / Abierta), el registro de cédula anual persistente y el Centro de Ayuda guiado (FAQ)— se encuentran completamente desarrollados, probados e integrados en la plataforma.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0"/>
        </w:rPr>
        <w:t>2. Matriz de Cobertura Funcional y Estado de Entrega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20"/>
        </w:rPr>
        <w:t>A continuación se detalla el estado actual de cada módulo con su valor operativo directo para organizadores, árbitros y jugadores: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736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Módulo / Funcionalidad</w:t>
            </w:r>
          </w:p>
        </w:tc>
        <w:tc>
          <w:tcPr>
            <w:tcW w:type="dxa" w:w="1584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592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Tecnología / Integración</w:t>
            </w:r>
          </w:p>
        </w:tc>
        <w:tc>
          <w:tcPr>
            <w:tcW w:type="dxa" w:w="31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Impacto Operacional</w:t>
            </w:r>
          </w:p>
        </w:tc>
      </w:tr>
      <w:tr>
        <w:tc>
          <w:tcPr>
            <w:tcW w:type="dxa" w:w="2736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Integración Lichess &amp; Tablero Embebido</w:t>
            </w:r>
          </w:p>
        </w:tc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shd w:fill="ECFDF5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10B981"/>
                <w:sz w:val="17"/>
              </w:rPr>
              <w:t>100% Operativo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line="264" w:lineRule="auto"/>
            </w:pPr>
            <w:r>
              <w:rPr>
                <w:rFonts w:ascii="Segoe UI" w:hAnsi="Segoe UI"/>
                <w:color w:val="475569"/>
                <w:sz w:val="17"/>
              </w:rPr>
              <w:t>Lichess Open API + Visor Iframe Embebido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shd w:fill="F8FAFC"/>
          </w:tcPr>
          <w:p>
            <w:pPr>
              <w:spacing w:line="264" w:lineRule="auto"/>
            </w:pPr>
            <w:r>
              <w:rPr>
                <w:rFonts w:ascii="Segoe UI" w:hAnsi="Segoe UI"/>
                <w:color w:val="0F172A"/>
                <w:sz w:val="17"/>
              </w:rPr>
              <w:t>Seguimiento visual en vivo jugada a jugada sin salir de Mi Cancha y sincronización de resultados oficiales en 1 clic.</w:t>
            </w:r>
          </w:p>
        </w:tc>
      </w:tr>
      <w:tr>
        <w:tc>
          <w:tcPr>
            <w:tcW w:type="dxa" w:w="2736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Auditoría y Detección Antitrampa (ACPL)</w:t>
            </w:r>
          </w:p>
        </w:tc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shd w:fill="ECFDF5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10B981"/>
                <w:sz w:val="17"/>
              </w:rPr>
              <w:t>100% Operativo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line="264" w:lineRule="auto"/>
            </w:pPr>
            <w:r>
              <w:rPr>
                <w:rFonts w:ascii="Segoe UI" w:hAnsi="Segoe UI"/>
                <w:color w:val="475569"/>
                <w:sz w:val="17"/>
              </w:rPr>
              <w:t>Algoritmo ACPL + Métricas de Motor Stockfish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shd w:fill="F8FAFC"/>
          </w:tcPr>
          <w:p>
            <w:pPr>
              <w:spacing w:line="264" w:lineRule="auto"/>
            </w:pPr>
            <w:r>
              <w:rPr>
                <w:rFonts w:ascii="Segoe UI" w:hAnsi="Segoe UI"/>
                <w:color w:val="0F172A"/>
                <w:sz w:val="17"/>
              </w:rPr>
              <w:t>Monitoreo de centipeones perdidos, blunders e imprecisiones. Alerta visual automática para árbitros en sospecha de motor.</w:t>
            </w:r>
          </w:p>
        </w:tc>
      </w:tr>
      <w:tr>
        <w:tc>
          <w:tcPr>
            <w:tcW w:type="dxa" w:w="2736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Motor Suizo FIDE &amp; Desempates Oficiales</w:t>
            </w:r>
          </w:p>
        </w:tc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shd w:fill="ECFDF5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10B981"/>
                <w:sz w:val="17"/>
              </w:rPr>
              <w:t>100% Operativo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line="264" w:lineRule="auto"/>
            </w:pPr>
            <w:r>
              <w:rPr>
                <w:rFonts w:ascii="Segoe UI" w:hAnsi="Segoe UI"/>
                <w:color w:val="475569"/>
                <w:sz w:val="17"/>
              </w:rPr>
              <w:t>Algoritmo Suizo FIDE (PTS, BC1, BT, SB)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shd w:fill="F8FAFC"/>
          </w:tcPr>
          <w:p>
            <w:pPr>
              <w:spacing w:line="264" w:lineRule="auto"/>
            </w:pPr>
            <w:r>
              <w:rPr>
                <w:rFonts w:ascii="Segoe UI" w:hAnsi="Segoe UI"/>
                <w:color w:val="0F172A"/>
                <w:sz w:val="17"/>
              </w:rPr>
              <w:t>Emparejamiento automático estricto por rating y puntos, manual asistido y recálculo instantáneo de posiciones por ronda.</w:t>
            </w:r>
          </w:p>
        </w:tc>
      </w:tr>
      <w:tr>
        <w:tc>
          <w:tcPr>
            <w:tcW w:type="dxa" w:w="2736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Importador Chess-Results / Swiss-Manager</w:t>
            </w:r>
          </w:p>
        </w:tc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shd w:fill="ECFDF5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10B981"/>
                <w:sz w:val="17"/>
              </w:rPr>
              <w:t>100% Operativo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line="264" w:lineRule="auto"/>
            </w:pPr>
            <w:r>
              <w:rPr>
                <w:rFonts w:ascii="Segoe UI" w:hAnsi="Segoe UI"/>
                <w:color w:val="475569"/>
                <w:sz w:val="17"/>
              </w:rPr>
              <w:t>Parser OpenPyXL / Pandas (.xlsx / .csv)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shd w:fill="F8FAFC"/>
          </w:tcPr>
          <w:p>
            <w:pPr>
              <w:spacing w:line="264" w:lineRule="auto"/>
            </w:pPr>
            <w:r>
              <w:rPr>
                <w:rFonts w:ascii="Segoe UI" w:hAnsi="Segoe UI"/>
                <w:color w:val="0F172A"/>
                <w:sz w:val="17"/>
              </w:rPr>
              <w:t>Carga masiva de jugadores, ELO FIDE, clubes y reclasificación automática por franja de edad a categorías Sub-X.</w:t>
            </w:r>
          </w:p>
        </w:tc>
      </w:tr>
      <w:tr>
        <w:tc>
          <w:tcPr>
            <w:tcW w:type="dxa" w:w="2736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Reclasificación a Sub-X y Podios Top 10</w:t>
            </w:r>
          </w:p>
        </w:tc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shd w:fill="ECFDF5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10B981"/>
                <w:sz w:val="17"/>
              </w:rPr>
              <w:t>100% Operativo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line="264" w:lineRule="auto"/>
            </w:pPr>
            <w:r>
              <w:rPr>
                <w:rFonts w:ascii="Segoe UI" w:hAnsi="Segoe UI"/>
                <w:color w:val="475569"/>
                <w:sz w:val="17"/>
              </w:rPr>
              <w:t>Motor de Categorías Dinámicas por Edad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shd w:fill="F8FAFC"/>
          </w:tcPr>
          <w:p>
            <w:pPr>
              <w:spacing w:line="264" w:lineRule="auto"/>
            </w:pPr>
            <w:r>
              <w:rPr>
                <w:rFonts w:ascii="Segoe UI" w:hAnsi="Segoe UI"/>
                <w:color w:val="0F172A"/>
                <w:sz w:val="17"/>
              </w:rPr>
              <w:t>Filtrado por Sub-7, Sub-9, Sub-11, Sub-13, Abierta y Femenino con premiación y medallas en tiempo real.</w:t>
            </w:r>
          </w:p>
        </w:tc>
      </w:tr>
      <w:tr>
        <w:tc>
          <w:tcPr>
            <w:tcW w:type="dxa" w:w="2736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Cédula de Identidad con Registro Único Anual</w:t>
            </w:r>
          </w:p>
        </w:tc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shd w:fill="ECFDF5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10B981"/>
                <w:sz w:val="17"/>
              </w:rPr>
              <w:t>100% Operativo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line="264" w:lineRule="auto"/>
            </w:pPr>
            <w:r>
              <w:rPr>
                <w:rFonts w:ascii="Segoe UI" w:hAnsi="Segoe UI"/>
                <w:color w:val="475569"/>
                <w:sz w:val="17"/>
              </w:rPr>
              <w:t>Persistencia Global en Perfil de Atleta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shd w:fill="F8FAFC"/>
          </w:tcPr>
          <w:p>
            <w:pPr>
              <w:spacing w:line="264" w:lineRule="auto"/>
            </w:pPr>
            <w:r>
              <w:rPr>
                <w:rFonts w:ascii="Segoe UI" w:hAnsi="Segoe UI"/>
                <w:color w:val="0F172A"/>
                <w:sz w:val="17"/>
              </w:rPr>
              <w:t>Foto validada una única vez por temporada (2026). No se vuelve a exigir en torneos subsiguientes del circuito.</w:t>
            </w:r>
          </w:p>
        </w:tc>
      </w:tr>
      <w:tr>
        <w:tc>
          <w:tcPr>
            <w:tcW w:type="dxa" w:w="2736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Circuitos Anuales y Ranking Institucional</w:t>
            </w:r>
          </w:p>
        </w:tc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shd w:fill="ECFDF5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10B981"/>
                <w:sz w:val="17"/>
              </w:rPr>
              <w:t>100% Operativo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line="264" w:lineRule="auto"/>
            </w:pPr>
            <w:r>
              <w:rPr>
                <w:rFonts w:ascii="Segoe UI" w:hAnsi="Segoe UI"/>
                <w:color w:val="475569"/>
                <w:sz w:val="17"/>
              </w:rPr>
              <w:t>Tablas Acumulativas Multi-Etapa JSONB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shd w:fill="F8FAFC"/>
          </w:tcPr>
          <w:p>
            <w:pPr>
              <w:spacing w:line="264" w:lineRule="auto"/>
            </w:pPr>
            <w:r>
              <w:rPr>
                <w:rFonts w:ascii="Segoe UI" w:hAnsi="Segoe UI"/>
                <w:color w:val="0F172A"/>
                <w:sz w:val="17"/>
              </w:rPr>
              <w:t>Puntuación configurable por posición y ranking general para colegios, universidades y academias.</w:t>
            </w:r>
          </w:p>
        </w:tc>
      </w:tr>
      <w:tr>
        <w:tc>
          <w:tcPr>
            <w:tcW w:type="dxa" w:w="2736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Transmisión en Vivo para Sedes (TV Live)</w:t>
            </w:r>
          </w:p>
        </w:tc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shd w:fill="ECFDF5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10B981"/>
                <w:sz w:val="17"/>
              </w:rPr>
              <w:t>100% Operativo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line="264" w:lineRule="auto"/>
            </w:pPr>
            <w:r>
              <w:rPr>
                <w:rFonts w:ascii="Segoe UI" w:hAnsi="Segoe UI"/>
                <w:color w:val="475569"/>
                <w:sz w:val="17"/>
              </w:rPr>
              <w:t>Next.js Pantalla TV /torneos/[id]/tv-live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shd w:fill="F8FAFC"/>
          </w:tcPr>
          <w:p>
            <w:pPr>
              <w:spacing w:line="264" w:lineRule="auto"/>
            </w:pPr>
            <w:r>
              <w:rPr>
                <w:rFonts w:ascii="Segoe UI" w:hAnsi="Segoe UI"/>
                <w:color w:val="0F172A"/>
                <w:sz w:val="17"/>
              </w:rPr>
              <w:t>Pantalla gigante de proyección para sedes: tableros activos, cruces, estado de partidas y tabla de posiciones en vivo.</w:t>
            </w:r>
          </w:p>
        </w:tc>
      </w:tr>
      <w:tr>
        <w:tc>
          <w:tcPr>
            <w:tcW w:type="dxa" w:w="2736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Centro de Ayuda Guiado e Interactivo (FAQ)</w:t>
            </w:r>
          </w:p>
        </w:tc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shd w:fill="ECFDF5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10B981"/>
                <w:sz w:val="17"/>
              </w:rPr>
              <w:t>100% Operativo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line="264" w:lineRule="auto"/>
            </w:pPr>
            <w:r>
              <w:rPr>
                <w:rFonts w:ascii="Segoe UI" w:hAnsi="Segoe UI"/>
                <w:color w:val="475569"/>
                <w:sz w:val="17"/>
              </w:rPr>
              <w:t>Modal Interactivo en 5 Pestañas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shd w:fill="F8FAFC"/>
          </w:tcPr>
          <w:p>
            <w:pPr>
              <w:spacing w:line="264" w:lineRule="auto"/>
            </w:pPr>
            <w:r>
              <w:rPr>
                <w:rFonts w:ascii="Segoe UI" w:hAnsi="Segoe UI"/>
                <w:color w:val="0F172A"/>
                <w:sz w:val="17"/>
              </w:rPr>
              <w:t>Guías pedagógicas paso a paso para padres, entrenadores y árbitros sobre Lichess, pagos y emparejamientos.</w:t>
            </w:r>
          </w:p>
        </w:tc>
      </w:tr>
      <w:tr>
        <w:tc>
          <w:tcPr>
            <w:tcW w:type="dxa" w:w="2736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Inscripciones Públicas y Validación de Pagos</w:t>
            </w:r>
          </w:p>
        </w:tc>
        <w:tc>
          <w:tcPr>
            <w:tcW w:type="dxa" w:w="1584"/>
            <w:tcMar>
              <w:top w:w="65" w:type="dxa"/>
              <w:bottom w:w="65" w:type="dxa"/>
              <w:left w:w="80" w:type="dxa"/>
              <w:right w:w="80" w:type="dxa"/>
            </w:tcMar>
            <w:shd w:fill="ECFDF5"/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10B981"/>
                <w:sz w:val="17"/>
              </w:rPr>
              <w:t>100% Operativo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0" w:type="dxa"/>
              <w:right w:w="80" w:type="dxa"/>
            </w:tcMar>
            <w:shd w:fill="FFFFFF"/>
          </w:tcPr>
          <w:p>
            <w:pPr>
              <w:spacing w:line="264" w:lineRule="auto"/>
            </w:pPr>
            <w:r>
              <w:rPr>
                <w:rFonts w:ascii="Segoe UI" w:hAnsi="Segoe UI"/>
                <w:color w:val="475569"/>
                <w:sz w:val="17"/>
              </w:rPr>
              <w:t>Formularios Públicos + Comprobantes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80" w:type="dxa"/>
              <w:right w:w="80" w:type="dxa"/>
            </w:tcMar>
            <w:shd w:fill="F8FAFC"/>
          </w:tcPr>
          <w:p>
            <w:pPr>
              <w:spacing w:line="264" w:lineRule="auto"/>
            </w:pPr>
            <w:r>
              <w:rPr>
                <w:rFonts w:ascii="Segoe UI" w:hAnsi="Segoe UI"/>
                <w:color w:val="0F172A"/>
                <w:sz w:val="17"/>
              </w:rPr>
              <w:t>Gestión de cupos, carga de comprobantes bancarios, multi-cuenta bancaria y panel de aprobación administrativa.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0"/>
        </w:rPr>
        <w:t>3. Detalle Técnico-Funcional por Módulo</w:t>
      </w:r>
    </w:p>
    <w:p>
      <w:pPr>
        <w:keepNext/>
        <w:spacing w:before="240" w:after="80"/>
      </w:pPr>
      <w:r>
        <w:rPr>
          <w:rFonts w:ascii="Segoe UI" w:hAnsi="Segoe UI"/>
          <w:b/>
          <w:color w:val="475569"/>
          <w:sz w:val="24"/>
        </w:rPr>
        <w:t>3.1. Motor FIDE, Sistema Suizo y Emparejamientos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20"/>
        </w:rPr>
        <w:t>El sistema cuenta con un motor de cálculo suizo completo desarrollado según las Leyes de Ajedrez de la FIDE: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Emparejamiento Automático Oficial: </w:t>
      </w:r>
      <w:r>
        <w:rPr>
          <w:rFonts w:ascii="Segoe UI" w:hAnsi="Segoe UI"/>
          <w:color w:val="0F172A"/>
          <w:sz w:val="19"/>
        </w:rPr>
        <w:t>Empareja por grupo de puntos y desempate por ELO FIDE, garantizando alternancia de colores y evitando cruces repetidos entre los mismos jugadores.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Flexibilidad para el Árbitro: </w:t>
      </w:r>
      <w:r>
        <w:rPr>
          <w:rFonts w:ascii="Segoe UI" w:hAnsi="Segoe UI"/>
          <w:color w:val="0F172A"/>
          <w:sz w:val="19"/>
        </w:rPr>
        <w:t>Permite emparejamiento manual asistido, reordenamiento de tableros mediante drag-and-drop o asignación de BYEs y victorias por Forfeit (FF).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Desempates Oficiales FIDE: </w:t>
      </w:r>
      <w:r>
        <w:rPr>
          <w:rFonts w:ascii="Segoe UI" w:hAnsi="Segoe UI"/>
          <w:color w:val="0F172A"/>
          <w:sz w:val="19"/>
        </w:rPr>
        <w:t>Cálculo automatizado instantáneo de Buchholz Cut 1 (eliminando el peor rival), Buchholz Total y Sonneborn-Berger (ponderando victorias y empates).</w:t>
      </w:r>
    </w:p>
    <w:p>
      <w:pPr>
        <w:keepNext/>
        <w:spacing w:before="240" w:after="80"/>
      </w:pPr>
      <w:r>
        <w:rPr>
          <w:rFonts w:ascii="Segoe UI" w:hAnsi="Segoe UI"/>
          <w:b/>
          <w:color w:val="475569"/>
          <w:sz w:val="24"/>
        </w:rPr>
        <w:t>3.2. Integración con Lichess, Tablero Embebido y Control Antitrampa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20"/>
        </w:rPr>
        <w:t>Para torneos híbridos o virtuales, la plataforma cuenta con una vinculación nativa bidireccional con Lichess.org: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Tablero Embebido en Modal Propio: </w:t>
      </w:r>
      <w:r>
        <w:rPr>
          <w:rFonts w:ascii="Segoe UI" w:hAnsi="Segoe UI"/>
          <w:color w:val="0F172A"/>
          <w:sz w:val="19"/>
        </w:rPr>
        <w:t>Al pegar el enlace o ID de la partida (ej. lichess.org/qa7x6Y4w), el árbitro o espectador puede abrir el visor interactivo para ver las jugadas en tiempo real, el reloj, la notación PGN y la evaluación de la posición.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Sincronización en 1 Clic: </w:t>
      </w:r>
      <w:r>
        <w:rPr>
          <w:rFonts w:ascii="Segoe UI" w:hAnsi="Segoe UI"/>
          <w:color w:val="0F172A"/>
          <w:sz w:val="19"/>
        </w:rPr>
        <w:t>Al finalizar la partida en Lichess, el sistema recupera el resultado (1-0, 0-1, ½-½) y actualiza automáticamente la tabla general de posiciones.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Auditoría Antitrampa (ACPL): </w:t>
      </w:r>
      <w:r>
        <w:rPr>
          <w:rFonts w:ascii="Segoe UI" w:hAnsi="Segoe UI"/>
          <w:color w:val="0F172A"/>
          <w:sz w:val="19"/>
        </w:rPr>
        <w:t>El sistema procesa la pérdida media de centipeones (ACPL), blunders e imprecisiones provistas por Stockfish. Si un jugador aficionado/escolar presenta precisión sospechosa (&lt; 16 centipeones de error medio), emite una advertencia visual destacada (Alerta Sospecha) en el panel del árbitro.</w:t>
      </w:r>
    </w:p>
    <w:p>
      <w:pPr>
        <w:keepNext/>
        <w:spacing w:before="240" w:after="80"/>
      </w:pPr>
      <w:r>
        <w:rPr>
          <w:rFonts w:ascii="Segoe UI" w:hAnsi="Segoe UI"/>
          <w:b/>
          <w:color w:val="475569"/>
          <w:sz w:val="24"/>
        </w:rPr>
        <w:t>3.3. Importador de Chess-Results / Swiss-Manager y Reclasificación Sub-X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20"/>
        </w:rPr>
        <w:t>Facilita la migración y carga masiva de eventos existentes sin carga manual: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Carga Masiva vía Excel (.xlsx / .csv): </w:t>
      </w:r>
      <w:r>
        <w:rPr>
          <w:rFonts w:ascii="Segoe UI" w:hAnsi="Segoe UI"/>
          <w:color w:val="0F172A"/>
          <w:sz w:val="19"/>
        </w:rPr>
        <w:t>El organizador sube el listado oficial de Chess-Results o Swiss-Manager. El sistema extrae automáticamente Nombre, Apellido, Código FIDE, Rating FIDE/Nacional, Club/Colegio y Fecha de Nacimiento.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Algoritmo de Reclasificación por Edad: </w:t>
      </w:r>
      <w:r>
        <w:rPr>
          <w:rFonts w:ascii="Segoe UI" w:hAnsi="Segoe UI"/>
          <w:color w:val="0F172A"/>
          <w:sz w:val="19"/>
        </w:rPr>
        <w:t>A partir de la fecha de nacimiento y el año de referencia, el sistema clasifica de forma automática e inmediata a cada atleta en su categoría correspondiente: Sub-7, Sub-9, Sub-11, Sub-13, Sub-15, Sub-18 o Abierta.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Podios y Vistas Top 10: </w:t>
      </w:r>
      <w:r>
        <w:rPr>
          <w:rFonts w:ascii="Segoe UI" w:hAnsi="Segoe UI"/>
          <w:color w:val="0F172A"/>
          <w:sz w:val="19"/>
        </w:rPr>
        <w:t>La tabla de posiciones permite alternar con un solo clic entre la clasificación General y los Top 10 por categoría con asignación de medallas en tiempo real.</w:t>
      </w:r>
    </w:p>
    <w:p>
      <w:pPr>
        <w:keepNext/>
        <w:spacing w:before="240" w:after="80"/>
      </w:pPr>
      <w:r>
        <w:rPr>
          <w:rFonts w:ascii="Segoe UI" w:hAnsi="Segoe UI"/>
          <w:b/>
          <w:color w:val="475569"/>
          <w:sz w:val="24"/>
        </w:rPr>
        <w:t>3.4. Cédula de Identidad con Registro Único y Persistencia Anual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20"/>
        </w:rPr>
        <w:t>Resuelve el mayor dolor de cabeza operativo de los organizadores en torneos escolares y abiertos: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Carga sin Restricciones: </w:t>
      </w:r>
      <w:r>
        <w:rPr>
          <w:rFonts w:ascii="Segoe UI" w:hAnsi="Segoe UI"/>
          <w:color w:val="0F172A"/>
          <w:sz w:val="19"/>
        </w:rPr>
        <w:t>Los padres o atletas cargan la fotografía de su documento o cédula sin las limitaciones de cuenta ni de peso que presentan formularios tradicionales como Google Forms.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Validación Persistente Temporada 2026: </w:t>
      </w:r>
      <w:r>
        <w:rPr>
          <w:rFonts w:ascii="Segoe UI" w:hAnsi="Segoe UI"/>
          <w:color w:val="0F172A"/>
          <w:sz w:val="19"/>
        </w:rPr>
        <w:t>Una vez que el árbitro u organizador valida la cédula de un jugador para el ciclo anual, el sistema marca el documento como aprobado para toda la temporada. En las siguientes fechas o torneos del circuito, el jugador ya no debe volver a adjuntar su foto.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Control de Árbitro: </w:t>
      </w:r>
      <w:r>
        <w:rPr>
          <w:rFonts w:ascii="Segoe UI" w:hAnsi="Segoe UI"/>
          <w:color w:val="0F172A"/>
          <w:sz w:val="19"/>
        </w:rPr>
        <w:t>Panel administrativo para verificar la imagen ampliada, aprobar o revocar la validación con un solo clic.</w:t>
      </w:r>
    </w:p>
    <w:p>
      <w:pPr>
        <w:keepNext/>
        <w:spacing w:before="240" w:after="80"/>
      </w:pPr>
      <w:r>
        <w:rPr>
          <w:rFonts w:ascii="Segoe UI" w:hAnsi="Segoe UI"/>
          <w:b/>
          <w:color w:val="475569"/>
          <w:sz w:val="24"/>
        </w:rPr>
        <w:t>3.5. Circuitos Anuales, Ranking Institucional y Pantalla TV Live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20"/>
        </w:rPr>
        <w:t>Potencia la competencia a lo largo del año e involucra activamente a colegios y academias: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Circuitos Multi-Etapa: </w:t>
      </w:r>
      <w:r>
        <w:rPr>
          <w:rFonts w:ascii="Segoe UI" w:hAnsi="Segoe UI"/>
          <w:color w:val="0F172A"/>
          <w:sz w:val="19"/>
        </w:rPr>
        <w:t>Permite agrupar torneos presenciales y virtuales en un circuito anual unificado.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Escala de Puntuación Configurable: </w:t>
      </w:r>
      <w:r>
        <w:rPr>
          <w:rFonts w:ascii="Segoe UI" w:hAnsi="Segoe UI"/>
          <w:color w:val="0F172A"/>
          <w:sz w:val="19"/>
        </w:rPr>
        <w:t>Definición de tablas de puntos por puesto en formato JSON (ej. 1º = 12 pts, 2º = 11 pts...) con cálculo automático de posiciones acumuladas.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Ranking Institucional: </w:t>
      </w:r>
      <w:r>
        <w:rPr>
          <w:rFonts w:ascii="Segoe UI" w:hAnsi="Segoe UI"/>
          <w:color w:val="0F172A"/>
          <w:sz w:val="19"/>
        </w:rPr>
        <w:t>Suma y compara los puntos obtenidos por los alumnos de cada colegio, club o universidad para la copa por instituciones.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Modo Proyección TV Live: </w:t>
      </w:r>
      <w:r>
        <w:rPr>
          <w:rFonts w:ascii="Segoe UI" w:hAnsi="Segoe UI"/>
          <w:color w:val="0F172A"/>
          <w:sz w:val="19"/>
        </w:rPr>
        <w:t>Pantalla dedicada en alta resolución (/torneos/[id]/tv-live) para conectar proyectores y pantallas gigantes en las sedes, rotando tableros activos, emparejamientos y podios en vivo.</w:t>
      </w:r>
    </w:p>
    <w:p>
      <w:pPr>
        <w:keepNext/>
        <w:spacing w:before="240" w:after="80"/>
      </w:pPr>
      <w:r>
        <w:rPr>
          <w:rFonts w:ascii="Segoe UI" w:hAnsi="Segoe UI"/>
          <w:b/>
          <w:color w:val="475569"/>
          <w:sz w:val="24"/>
        </w:rPr>
        <w:t>3.6. Centro de Ayuda &amp; FAQ Guiada Interactiva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20"/>
        </w:rPr>
        <w:t>Diseñado para reducir drásticamente las consultas de soporte a la organización: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Estructura en 5 Pestañas: </w:t>
      </w:r>
      <w:r>
        <w:rPr>
          <w:rFonts w:ascii="Segoe UI" w:hAnsi="Segoe UI"/>
          <w:color w:val="0F172A"/>
          <w:sz w:val="19"/>
        </w:rPr>
        <w:t>Manual interactivo integrado en el sistema que explica: (1) Vinculación con Lichess y tableros en vivo, (2) Control antitrampa y escala ACPL, (3) Importación de Excel y categorías Sub-X, (4) Validación única de cédula, y (5) Reglamento de desempates FIDE.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Acceso Inmediato: </w:t>
      </w:r>
      <w:r>
        <w:rPr>
          <w:rFonts w:ascii="Segoe UI" w:hAnsi="Segoe UI"/>
          <w:color w:val="0F172A"/>
          <w:sz w:val="19"/>
        </w:rPr>
        <w:t>Botón permanente accesible tanto para administradores como para el público general.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0"/>
        </w:rPr>
        <w:t>4. Hoja de Ruta y Próximas Mejoras Opcionales (Roadmap)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20"/>
        </w:rPr>
        <w:t>La plataforma se encuentra 100% operativa para ejecutar torneos oficiales de cualquier escala. Para fases evolutivas futuras o torneos internacionales de élite, se proponen las siguientes mejoras opcionales: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1. Internacionalización Multi-idioma (i18n): </w:t>
      </w:r>
      <w:r>
        <w:rPr>
          <w:rFonts w:ascii="Segoe UI" w:hAnsi="Segoe UI"/>
          <w:color w:val="0F172A"/>
          <w:sz w:val="19"/>
        </w:rPr>
        <w:t>Soporte nativo para alternar la interfaz a Portugués e Inglés en eventos sudamericanos o panamericanos.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2. Exportación a Formato FIDE TRF (Krausse): </w:t>
      </w:r>
      <w:r>
        <w:rPr>
          <w:rFonts w:ascii="Segoe UI" w:hAnsi="Segoe UI"/>
          <w:color w:val="0F172A"/>
          <w:sz w:val="19"/>
        </w:rPr>
        <w:t>Generación automatizada del archivo estándar .trf requerido por oficiales de rating FIDE para cómputo internacional de ELO.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3. Compatibilidad con Tableros Electrónicos Físicos (DGT / LiveChess): </w:t>
      </w:r>
      <w:r>
        <w:rPr>
          <w:rFonts w:ascii="Segoe UI" w:hAnsi="Segoe UI"/>
          <w:color w:val="0F172A"/>
          <w:sz w:val="19"/>
        </w:rPr>
        <w:t>Integración de controladores directos para tableros electrónicos DGT vía Bluetooth/USB en partidas magistrales presenciales.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4. Notificaciones Automatizadas por WhatsApp: </w:t>
      </w:r>
      <w:r>
        <w:rPr>
          <w:rFonts w:ascii="Segoe UI" w:hAnsi="Segoe UI"/>
          <w:color w:val="0F172A"/>
          <w:sz w:val="19"/>
        </w:rPr>
        <w:t>Envío automático de mensajes a tutores con la asignación de tablero, color y hora de inicio al publicar cada ronda.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0"/>
        </w:rPr>
        <w:t>5. Conclusión y Recomendación de Puesta en Marcha</w:t>
      </w:r>
    </w:p>
    <w:p>
      <w:pPr>
        <w:spacing w:before="0" w:after="120" w:line="276" w:lineRule="auto"/>
      </w:pPr>
      <w:r>
        <w:rPr>
          <w:rFonts w:ascii="Segoe UI" w:hAnsi="Segoe UI"/>
          <w:color w:val="0F172A"/>
          <w:sz w:val="20"/>
        </w:rPr>
        <w:t>El sistema de Ajedrez de Mi Cancha ha completado exitosamente su ciclo de desarrollo y pruebas. Cuenta con una arquitectura robusta en backend (FastAPI + PostgreSQL) y una experiencia visual de primer nivel en frontend (Next.js + React), cumpliendo a cabalidad con la reglamentación FIDE, facilitando la gestión a los árbitros y brindando una experiencia moderna y fluida a jugadores y espectadores.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Recomendación Final: </w:t>
      </w:r>
      <w:r>
        <w:rPr>
          <w:rFonts w:ascii="Segoe UI" w:hAnsi="Segoe UI"/>
          <w:color w:val="0F172A"/>
          <w:sz w:val="20"/>
        </w:rPr>
        <w:t>Se recomienda proceder a la presentación oficial ante los directivos y comités organizadores para iniciar las inscripciones y ejecución de las próximas fechas del circuito.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