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AB3C" w14:textId="77777777" w:rsidR="003F064D" w:rsidRDefault="003F064D" w:rsidP="003F064D">
      <w:pPr>
        <w:jc w:val="center"/>
        <w:rPr>
          <w:b/>
          <w:bCs/>
        </w:rPr>
      </w:pPr>
      <w:bookmarkStart w:id="0" w:name="_Hlk78926376"/>
    </w:p>
    <w:p w14:paraId="60DE9B01" w14:textId="77777777" w:rsidR="003F064D" w:rsidRDefault="003F064D" w:rsidP="003F064D">
      <w:pPr>
        <w:jc w:val="center"/>
        <w:rPr>
          <w:b/>
          <w:bCs/>
        </w:rPr>
      </w:pPr>
    </w:p>
    <w:p w14:paraId="6B3A9615" w14:textId="77777777" w:rsidR="003F064D" w:rsidRDefault="003F064D" w:rsidP="003F064D">
      <w:pPr>
        <w:jc w:val="center"/>
        <w:rPr>
          <w:b/>
          <w:bCs/>
        </w:rPr>
      </w:pPr>
    </w:p>
    <w:p w14:paraId="39CEC87F" w14:textId="797AD01C" w:rsidR="003F064D" w:rsidRDefault="003F064D" w:rsidP="003F064D">
      <w:pPr>
        <w:jc w:val="center"/>
        <w:rPr>
          <w:b/>
          <w:bCs/>
        </w:rPr>
      </w:pPr>
    </w:p>
    <w:p w14:paraId="778EBB2E" w14:textId="77777777" w:rsidR="003F064D" w:rsidRDefault="003F064D" w:rsidP="003F064D">
      <w:pPr>
        <w:jc w:val="center"/>
        <w:rPr>
          <w:b/>
          <w:bCs/>
        </w:rPr>
      </w:pPr>
    </w:p>
    <w:p w14:paraId="09552924" w14:textId="2C71A2C9" w:rsidR="003F064D" w:rsidRDefault="002767C4" w:rsidP="003F064D">
      <w:pPr>
        <w:jc w:val="center"/>
        <w:rPr>
          <w:b/>
          <w:bCs/>
        </w:rPr>
      </w:pPr>
      <w:r>
        <w:rPr>
          <w:b/>
          <w:bCs/>
        </w:rPr>
        <w:t xml:space="preserve">Review of 2016 Supermarket </w:t>
      </w:r>
      <w:r w:rsidR="0065408A">
        <w:rPr>
          <w:b/>
          <w:bCs/>
        </w:rPr>
        <w:t xml:space="preserve">Subset </w:t>
      </w:r>
      <w:r>
        <w:rPr>
          <w:b/>
          <w:bCs/>
        </w:rPr>
        <w:t>Sales</w:t>
      </w:r>
    </w:p>
    <w:p w14:paraId="4CF261E4" w14:textId="77777777" w:rsidR="003F064D" w:rsidRPr="00005F79" w:rsidRDefault="003F064D" w:rsidP="003F064D">
      <w:pPr>
        <w:jc w:val="center"/>
      </w:pPr>
    </w:p>
    <w:p w14:paraId="23181023" w14:textId="56DCE4EA" w:rsidR="003F064D" w:rsidRPr="00005F79" w:rsidRDefault="003F064D" w:rsidP="003F064D">
      <w:pPr>
        <w:jc w:val="center"/>
      </w:pPr>
      <w:r>
        <w:t>Lindsay Pritikin</w:t>
      </w:r>
    </w:p>
    <w:p w14:paraId="6D2FE22F" w14:textId="7BE3F9BF" w:rsidR="003F064D" w:rsidRPr="00005F79" w:rsidRDefault="003F064D" w:rsidP="003F064D">
      <w:pPr>
        <w:jc w:val="center"/>
      </w:pPr>
      <w:r w:rsidRPr="00005F79">
        <w:t>Regis University</w:t>
      </w:r>
    </w:p>
    <w:p w14:paraId="61050C40" w14:textId="24DDEE1C" w:rsidR="003F064D" w:rsidRPr="00005F79" w:rsidRDefault="002C0372" w:rsidP="003F064D">
      <w:pPr>
        <w:jc w:val="center"/>
      </w:pPr>
      <w:r>
        <w:t>MSDS 670: Data Visualization</w:t>
      </w:r>
    </w:p>
    <w:p w14:paraId="19B3D1BD" w14:textId="03399FDF" w:rsidR="003F064D" w:rsidRPr="00005F79" w:rsidRDefault="003F064D" w:rsidP="003F064D">
      <w:pPr>
        <w:jc w:val="center"/>
      </w:pPr>
      <w:r>
        <w:t xml:space="preserve">Professor </w:t>
      </w:r>
      <w:r w:rsidR="002C0372">
        <w:t>John Koenig</w:t>
      </w:r>
    </w:p>
    <w:p w14:paraId="2281F503" w14:textId="55D3A8A6" w:rsidR="003F064D" w:rsidRPr="00E42C8C" w:rsidRDefault="0065408A" w:rsidP="003F064D">
      <w:pPr>
        <w:jc w:val="center"/>
        <w:rPr>
          <w:b/>
          <w:bCs/>
        </w:rPr>
      </w:pPr>
      <w:r>
        <w:t>March 6</w:t>
      </w:r>
      <w:r w:rsidR="002C0372">
        <w:t>, 2022</w:t>
      </w:r>
    </w:p>
    <w:p w14:paraId="100BF356" w14:textId="49358044" w:rsidR="003F064D" w:rsidRDefault="003F064D" w:rsidP="003F064D">
      <w:pPr>
        <w:jc w:val="center"/>
        <w:rPr>
          <w:b/>
        </w:rPr>
      </w:pPr>
    </w:p>
    <w:p w14:paraId="24868E97" w14:textId="77777777" w:rsidR="003F064D" w:rsidRDefault="003F064D">
      <w:pPr>
        <w:spacing w:after="160" w:line="259" w:lineRule="auto"/>
        <w:rPr>
          <w:b/>
        </w:rPr>
      </w:pPr>
      <w:r>
        <w:rPr>
          <w:b/>
        </w:rPr>
        <w:br w:type="page"/>
      </w:r>
    </w:p>
    <w:bookmarkEnd w:id="0"/>
    <w:p w14:paraId="5BCC0B50" w14:textId="455C90D5" w:rsidR="002466DD" w:rsidRDefault="00600C2D" w:rsidP="00A7132B">
      <w:r>
        <w:lastRenderedPageBreak/>
        <w:tab/>
      </w:r>
      <w:r w:rsidR="002377E7">
        <w:t xml:space="preserve">The Superstore Subset </w:t>
      </w:r>
      <w:r w:rsidR="008E0605">
        <w:t xml:space="preserve">dataset </w:t>
      </w:r>
      <w:r w:rsidR="00C26DB0">
        <w:t>consists of</w:t>
      </w:r>
      <w:r w:rsidR="0051255F">
        <w:t xml:space="preserve"> sales data</w:t>
      </w:r>
      <w:r w:rsidR="00C26DB0">
        <w:t xml:space="preserve"> </w:t>
      </w:r>
      <w:r w:rsidR="008E0605">
        <w:t>for</w:t>
      </w:r>
      <w:r w:rsidR="004B67FC">
        <w:t xml:space="preserve"> seventeen product sub-categories</w:t>
      </w:r>
      <w:r w:rsidR="008E0605">
        <w:t xml:space="preserve"> across 2013-2016. </w:t>
      </w:r>
      <w:r w:rsidR="008E5622">
        <w:t xml:space="preserve">These sub-categories range from </w:t>
      </w:r>
      <w:r w:rsidR="003820CB">
        <w:t xml:space="preserve">Furniture, Technology, and Office Supplies products. All sub-categories </w:t>
      </w:r>
      <w:r w:rsidR="005766EB">
        <w:t xml:space="preserve">sell across </w:t>
      </w:r>
      <w:r w:rsidR="004B67FC">
        <w:t>Consumer, Corporate, and Home Office segments</w:t>
      </w:r>
      <w:r w:rsidR="005766EB">
        <w:t>. There are four salespeople, one per region</w:t>
      </w:r>
      <w:r w:rsidR="006F2853">
        <w:t xml:space="preserve"> in the US</w:t>
      </w:r>
      <w:r w:rsidR="005766EB">
        <w:t xml:space="preserve">: West, East, Central, and South. </w:t>
      </w:r>
      <w:r w:rsidR="00FF6484">
        <w:t>The purpose of this analysis is to analyze the most recent year, 2016</w:t>
      </w:r>
      <w:r w:rsidR="003F2582">
        <w:t xml:space="preserve">, against historical performance. </w:t>
      </w:r>
      <w:r w:rsidR="0001143C">
        <w:t>It is also of interest to use any</w:t>
      </w:r>
      <w:r w:rsidR="0002157E">
        <w:t xml:space="preserve"> key takeaways from this analysis </w:t>
      </w:r>
      <w:r w:rsidR="006320F4">
        <w:t>as</w:t>
      </w:r>
      <w:r w:rsidR="0002157E">
        <w:t xml:space="preserve"> recommendations for 2017 goals and focuses. </w:t>
      </w:r>
    </w:p>
    <w:p w14:paraId="59CACB94" w14:textId="10D2DC26" w:rsidR="006320F4" w:rsidRDefault="00C57E39" w:rsidP="00A7132B">
      <w:r>
        <w:tab/>
      </w:r>
      <w:r w:rsidR="00031110">
        <w:t xml:space="preserve">From 2013-2014 there was a dip in sales, however since then overall sales have been on an upward trend increasing +29% in 2015 and +21% in 2016. </w:t>
      </w:r>
      <w:r w:rsidR="009715D8">
        <w:t>All regions hit record high</w:t>
      </w:r>
      <w:r w:rsidR="00977BC8">
        <w:t xml:space="preserve"> sales figures in 2016, with the exception of the Central region which was flat year-over-year. </w:t>
      </w:r>
      <w:r w:rsidR="00965003">
        <w:t xml:space="preserve">Anna Andreani </w:t>
      </w:r>
      <w:r w:rsidR="003C7D84">
        <w:t>hit</w:t>
      </w:r>
      <w:r w:rsidR="00965003">
        <w:t xml:space="preserve"> a company record-high</w:t>
      </w:r>
      <w:r w:rsidR="001F3108">
        <w:t xml:space="preserve"> in 2016</w:t>
      </w:r>
      <w:r w:rsidR="00965003">
        <w:t xml:space="preserve"> of over $250K</w:t>
      </w:r>
      <w:r w:rsidR="003D12B2">
        <w:t xml:space="preserve">. </w:t>
      </w:r>
      <w:r w:rsidR="001F3108">
        <w:t xml:space="preserve">She was the top salesperson of the year, performing </w:t>
      </w:r>
      <w:r w:rsidR="003D12B2">
        <w:t xml:space="preserve">37% above average sales. </w:t>
      </w:r>
      <w:r w:rsidR="00755DA6" w:rsidRPr="00755DA6">
        <w:drawing>
          <wp:inline distT="0" distB="0" distL="0" distR="0" wp14:anchorId="2DF4FDA6" wp14:editId="1062A80A">
            <wp:extent cx="6019800" cy="3544994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4D7F19-5BA5-4883-BE1D-72BC7DAEAD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4D7F19-5BA5-4883-BE1D-72BC7DAEAD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491" cy="3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1828" w14:textId="5C6BF11D" w:rsidR="009E79BC" w:rsidRDefault="00755DA6" w:rsidP="00A7132B">
      <w:r>
        <w:lastRenderedPageBreak/>
        <w:tab/>
      </w:r>
      <w:r w:rsidR="00A13A07">
        <w:t xml:space="preserve">2016 was a successful year for the Superstore, with sales up across all segments compared to the year prior. </w:t>
      </w:r>
      <w:r w:rsidR="0020446B">
        <w:t xml:space="preserve">In total sales were up </w:t>
      </w:r>
      <w:r w:rsidR="0003733F">
        <w:t>+</w:t>
      </w:r>
      <w:r w:rsidR="0020446B">
        <w:t>$125</w:t>
      </w:r>
      <w:r w:rsidR="0003733F">
        <w:t>K from 2015</w:t>
      </w:r>
      <w:r w:rsidR="003A2E4B">
        <w:t>, totaling to $734K for the year</w:t>
      </w:r>
      <w:r w:rsidR="0003733F">
        <w:t xml:space="preserve">. The </w:t>
      </w:r>
      <w:r w:rsidR="00AC4C84">
        <w:t>C</w:t>
      </w:r>
      <w:r w:rsidR="0003733F">
        <w:t>onsumer segment</w:t>
      </w:r>
      <w:r w:rsidR="00C77B84">
        <w:t xml:space="preserve"> </w:t>
      </w:r>
      <w:r w:rsidR="0003733F">
        <w:t xml:space="preserve">drove the strongest sales in 2016 at $332K, accounting for </w:t>
      </w:r>
      <w:r w:rsidR="00AC4C84">
        <w:t xml:space="preserve">45% of sales for the year overall. While the Consumer segment drove the largest volume of sales, it showed the lowest improvement year-over-year compared to other segments at a +12% increase. Nonetheless, the net change year-over-year </w:t>
      </w:r>
      <w:r w:rsidR="0089531D">
        <w:t xml:space="preserve">for </w:t>
      </w:r>
      <w:r w:rsidR="009D70E9">
        <w:t xml:space="preserve">the </w:t>
      </w:r>
      <w:r w:rsidR="0089531D">
        <w:t xml:space="preserve">Consumer </w:t>
      </w:r>
      <w:r w:rsidR="009D70E9">
        <w:t xml:space="preserve">segment </w:t>
      </w:r>
      <w:r w:rsidR="00AC4C84">
        <w:t xml:space="preserve">is significantly positive. </w:t>
      </w:r>
      <w:r w:rsidR="009E79BC">
        <w:t xml:space="preserve">On the other hand, the Home Office segment </w:t>
      </w:r>
      <w:r w:rsidR="00D25095">
        <w:t>had</w:t>
      </w:r>
      <w:r w:rsidR="009E79BC">
        <w:t xml:space="preserve"> the lowest volume of sales at $183K, but showed the greatest improvement year-over-year at +52%. </w:t>
      </w:r>
      <w:r w:rsidR="009F5549">
        <w:t>The Corporate segment fell in the middle</w:t>
      </w:r>
      <w:r w:rsidR="00D25095">
        <w:t>,</w:t>
      </w:r>
      <w:r w:rsidR="009F5549">
        <w:t xml:space="preserve"> driving $207K in 2016 sales with a +17% improvement year-over-year. </w:t>
      </w:r>
    </w:p>
    <w:p w14:paraId="7991184F" w14:textId="710F6757" w:rsidR="005A7797" w:rsidRDefault="005A7797" w:rsidP="00694319">
      <w:pPr>
        <w:jc w:val="center"/>
      </w:pPr>
      <w:r w:rsidRPr="005A7797">
        <w:drawing>
          <wp:inline distT="0" distB="0" distL="0" distR="0" wp14:anchorId="76FC6046" wp14:editId="6094B8BD">
            <wp:extent cx="5463540" cy="3664540"/>
            <wp:effectExtent l="0" t="0" r="381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067AB8F-B0CF-4121-A6D3-078943AEE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067AB8F-B0CF-4121-A6D3-078943AEE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21" cy="36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1A1" w14:textId="6A76DE9C" w:rsidR="004A17D9" w:rsidRDefault="00171F92" w:rsidP="00A7132B">
      <w:r>
        <w:tab/>
      </w:r>
      <w:r w:rsidR="006F03A8">
        <w:t>Net</w:t>
      </w:r>
      <w:r w:rsidR="00076392">
        <w:t xml:space="preserve"> </w:t>
      </w:r>
      <w:r>
        <w:t xml:space="preserve">profit margins were </w:t>
      </w:r>
      <w:r w:rsidR="00AF4E50">
        <w:t>positive</w:t>
      </w:r>
      <w:r>
        <w:t xml:space="preserve"> in 2016 at $94K overall across all sub-categories. However, </w:t>
      </w:r>
      <w:r w:rsidR="00076392">
        <w:t>four out of the seventeen product sub-categories had negative margins and should be reviewed</w:t>
      </w:r>
      <w:r w:rsidR="00D0449D">
        <w:t xml:space="preserve">: tables, machines, supplies, and bookcases. Tables had the worst margin by far in 2016 at -$8.1K, followed by </w:t>
      </w:r>
      <w:r w:rsidR="00BC5416" w:rsidRPr="00BC5416">
        <w:t>machines at -$2.9K, supplies at -$1K, and bookcases at -$0.6K</w:t>
      </w:r>
      <w:r w:rsidR="00BC5416">
        <w:t xml:space="preserve">. It is </w:t>
      </w:r>
      <w:r w:rsidR="00BC5416">
        <w:lastRenderedPageBreak/>
        <w:t xml:space="preserve">worth reviewing these </w:t>
      </w:r>
      <w:r w:rsidR="00B51FC7">
        <w:t xml:space="preserve">products’ </w:t>
      </w:r>
      <w:r w:rsidR="00BC5416">
        <w:t xml:space="preserve">prices as well as discussing potential options with wholesalers. </w:t>
      </w:r>
      <w:r w:rsidR="009D6E7B">
        <w:t xml:space="preserve">On the other hand, </w:t>
      </w:r>
      <w:r w:rsidR="00F7614F">
        <w:t xml:space="preserve">other product sub-categories had stellar profit margins, specifically copiers at a $25K profit in 2016. </w:t>
      </w:r>
      <w:r w:rsidR="005A0617">
        <w:t>Accessories, phones, and paper also had strong profit margins at $15.7K, $12.9K, and $12K respectively.</w:t>
      </w:r>
    </w:p>
    <w:p w14:paraId="0D898883" w14:textId="25E54697" w:rsidR="00754205" w:rsidRDefault="00754205" w:rsidP="005E0629">
      <w:r w:rsidRPr="00754205">
        <w:drawing>
          <wp:inline distT="0" distB="0" distL="0" distR="0" wp14:anchorId="67D1DD01" wp14:editId="61183A1C">
            <wp:extent cx="6629400" cy="3690082"/>
            <wp:effectExtent l="0" t="0" r="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5A2E2FF-E059-4E9F-A494-A5CEC1C31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5A2E2FF-E059-4E9F-A494-A5CEC1C31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03" cy="36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2649" w14:textId="59B78DCE" w:rsidR="00754205" w:rsidRDefault="00754205" w:rsidP="00A7132B">
      <w:r>
        <w:tab/>
      </w:r>
      <w:r w:rsidR="0056018F">
        <w:t>Lastly</w:t>
      </w:r>
      <w:r w:rsidR="005E0629">
        <w:t>,</w:t>
      </w:r>
      <w:r w:rsidR="0056018F">
        <w:t xml:space="preserve"> when reviewing product seasonality by quarter in 2016</w:t>
      </w:r>
      <w:r w:rsidR="009815CD">
        <w:t xml:space="preserve">, </w:t>
      </w:r>
      <w:r w:rsidR="0056018F">
        <w:t>it is evident that seasonality varies by product</w:t>
      </w:r>
      <w:r w:rsidR="009815CD">
        <w:t>. H</w:t>
      </w:r>
      <w:r w:rsidR="0056018F">
        <w:t>owever</w:t>
      </w:r>
      <w:r w:rsidR="009815CD">
        <w:t>,</w:t>
      </w:r>
      <w:r w:rsidR="0056018F">
        <w:t xml:space="preserve"> overall Q4 is the strongest quarter. </w:t>
      </w:r>
      <w:r w:rsidR="00535E3E">
        <w:t>Certain sub-categories have more extreme seasonality than others. For instance, tables have 57% of sales coming in during Q4</w:t>
      </w:r>
      <w:r w:rsidR="006874F3">
        <w:t>.</w:t>
      </w:r>
      <w:r w:rsidR="00B219EC">
        <w:t xml:space="preserve"> Phones </w:t>
      </w:r>
      <w:r w:rsidR="00286173">
        <w:t xml:space="preserve">have higher sales in the second half of the year, posting double the sales compared to the first half </w:t>
      </w:r>
      <w:r w:rsidR="0041211A">
        <w:t xml:space="preserve">of 2016. </w:t>
      </w:r>
      <w:r w:rsidR="00B16EE0">
        <w:t>Common b</w:t>
      </w:r>
      <w:r w:rsidR="0041211A">
        <w:t xml:space="preserve">ack-to-school items such as binders, art, supplies, and accessories have the strongest sales in Q3 when students go back to school. </w:t>
      </w:r>
      <w:r w:rsidR="00B16EE0">
        <w:t>Using this seasonality as guidance, it is recommended to develop marketing and promotion</w:t>
      </w:r>
      <w:r w:rsidR="00B10688">
        <w:t>al</w:t>
      </w:r>
      <w:r w:rsidR="00B16EE0">
        <w:t xml:space="preserve"> windows at optimal times for products. This will allow the Superstore to further capitalize on </w:t>
      </w:r>
      <w:r w:rsidR="00EB5AEF">
        <w:t xml:space="preserve">success </w:t>
      </w:r>
      <w:r w:rsidR="00EB5AEF">
        <w:lastRenderedPageBreak/>
        <w:t xml:space="preserve">when products are in highest demand. The Superstore can also use seasonality </w:t>
      </w:r>
      <w:r w:rsidR="005106B3">
        <w:t xml:space="preserve">to inform inventory needs that will align with supply and demand, and help reduce any potential sellouts. </w:t>
      </w:r>
    </w:p>
    <w:p w14:paraId="4BF489CF" w14:textId="64A380FA" w:rsidR="003D642D" w:rsidRDefault="003D642D" w:rsidP="003D642D">
      <w:pPr>
        <w:jc w:val="center"/>
      </w:pPr>
      <w:r w:rsidRPr="003D642D">
        <w:drawing>
          <wp:inline distT="0" distB="0" distL="0" distR="0" wp14:anchorId="3DA04BC9" wp14:editId="38D2765E">
            <wp:extent cx="4643318" cy="4495800"/>
            <wp:effectExtent l="0" t="0" r="508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998131-9462-4BE7-8880-98A84EB78B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D998131-9462-4BE7-8880-98A84EB78B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42" cy="45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508" w14:textId="42F799EA" w:rsidR="003D642D" w:rsidRDefault="003D642D" w:rsidP="003D642D">
      <w:r>
        <w:tab/>
        <w:t xml:space="preserve">In conclusion, </w:t>
      </w:r>
      <w:r w:rsidR="00315827">
        <w:t xml:space="preserve">the Superstore Subset data shows that 2016 was the most successful year to date, driving </w:t>
      </w:r>
      <w:r w:rsidR="006108F0">
        <w:t xml:space="preserve">$734K in sales, up +$125K from the year prior. </w:t>
      </w:r>
      <w:r w:rsidR="00367850">
        <w:t xml:space="preserve">Overall sales have been increasing over the past two years, up +21% </w:t>
      </w:r>
      <w:r w:rsidR="005E5ED9">
        <w:t>in</w:t>
      </w:r>
      <w:r w:rsidR="00367850">
        <w:t xml:space="preserve"> 201</w:t>
      </w:r>
      <w:r w:rsidR="005E5ED9">
        <w:t>6</w:t>
      </w:r>
      <w:r w:rsidR="00367850">
        <w:t xml:space="preserve"> and +29% </w:t>
      </w:r>
      <w:r w:rsidR="005E5ED9">
        <w:t>in 2015</w:t>
      </w:r>
      <w:r w:rsidR="00367850">
        <w:t xml:space="preserve">. These </w:t>
      </w:r>
      <w:r w:rsidR="00B26723">
        <w:t>sales have increased across all segment categories</w:t>
      </w:r>
      <w:r w:rsidR="00823714">
        <w:t xml:space="preserve">: Consumer, Corporate, and Home Office. </w:t>
      </w:r>
      <w:r w:rsidR="00A3360B">
        <w:t>Net profit is positive at $94K</w:t>
      </w:r>
      <w:r w:rsidR="003C503E">
        <w:t xml:space="preserve"> overall</w:t>
      </w:r>
      <w:r w:rsidR="00A3360B">
        <w:t>, however four sub-categories had negative profit margins. Tables, machines, supplies, and bookcase</w:t>
      </w:r>
      <w:r w:rsidR="003C503E">
        <w:t xml:space="preserve"> prices </w:t>
      </w:r>
      <w:r w:rsidR="001717BF">
        <w:t xml:space="preserve">should be reviewed and potential options should be discussed with wholesalers. </w:t>
      </w:r>
      <w:r w:rsidR="00F4717A">
        <w:t xml:space="preserve">Another recommendation is </w:t>
      </w:r>
      <w:r w:rsidR="007954DA">
        <w:t xml:space="preserve">focused on </w:t>
      </w:r>
      <w:r w:rsidR="00F4717A">
        <w:t xml:space="preserve">marketing, and using </w:t>
      </w:r>
      <w:r w:rsidR="00F4717A">
        <w:lastRenderedPageBreak/>
        <w:t xml:space="preserve">seasonality </w:t>
      </w:r>
      <w:r w:rsidR="0009083D">
        <w:t xml:space="preserve">windows </w:t>
      </w:r>
      <w:r w:rsidR="00F4717A">
        <w:t xml:space="preserve">as guidance </w:t>
      </w:r>
      <w:r w:rsidR="0009083D">
        <w:t>for</w:t>
      </w:r>
      <w:r w:rsidR="00F4717A">
        <w:t xml:space="preserve"> promotional </w:t>
      </w:r>
      <w:r w:rsidR="0009083D">
        <w:t>efforts and inventory needs</w:t>
      </w:r>
      <w:r w:rsidR="007954DA">
        <w:t xml:space="preserve">. </w:t>
      </w:r>
      <w:r w:rsidR="0009083D">
        <w:t xml:space="preserve">While Q4 is the strongest overall, it is </w:t>
      </w:r>
      <w:r w:rsidR="00EA34CD">
        <w:t>clear</w:t>
      </w:r>
      <w:r w:rsidR="0009083D">
        <w:t xml:space="preserve"> that seasonality varies by product sub-category.</w:t>
      </w:r>
      <w:r w:rsidR="0009083D">
        <w:tab/>
      </w:r>
    </w:p>
    <w:sectPr w:rsidR="003D642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C2ED" w14:textId="77777777" w:rsidR="004E3F89" w:rsidRDefault="004E3F89" w:rsidP="00B56BCB">
      <w:pPr>
        <w:spacing w:line="240" w:lineRule="auto"/>
      </w:pPr>
      <w:r>
        <w:separator/>
      </w:r>
    </w:p>
  </w:endnote>
  <w:endnote w:type="continuationSeparator" w:id="0">
    <w:p w14:paraId="775F8481" w14:textId="77777777" w:rsidR="004E3F89" w:rsidRDefault="004E3F89" w:rsidP="00B56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154D" w14:textId="77777777" w:rsidR="004E3F89" w:rsidRDefault="004E3F89" w:rsidP="00B56BCB">
      <w:pPr>
        <w:spacing w:line="240" w:lineRule="auto"/>
      </w:pPr>
      <w:r>
        <w:separator/>
      </w:r>
    </w:p>
  </w:footnote>
  <w:footnote w:type="continuationSeparator" w:id="0">
    <w:p w14:paraId="6D517A7D" w14:textId="77777777" w:rsidR="004E3F89" w:rsidRDefault="004E3F89" w:rsidP="00B56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88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3CD71B" w14:textId="53C1106D" w:rsidR="00B56BCB" w:rsidRDefault="003F064D" w:rsidP="003F064D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12301948" w14:textId="77777777" w:rsidR="00B56BCB" w:rsidRDefault="00B5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5A74"/>
    <w:multiLevelType w:val="hybridMultilevel"/>
    <w:tmpl w:val="8BC0C38C"/>
    <w:lvl w:ilvl="0" w:tplc="48CAE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CB"/>
    <w:rsid w:val="0001143C"/>
    <w:rsid w:val="00013A29"/>
    <w:rsid w:val="0001492F"/>
    <w:rsid w:val="0001524F"/>
    <w:rsid w:val="0002157E"/>
    <w:rsid w:val="000247BC"/>
    <w:rsid w:val="00031110"/>
    <w:rsid w:val="00036F96"/>
    <w:rsid w:val="0003733F"/>
    <w:rsid w:val="00037B63"/>
    <w:rsid w:val="00042188"/>
    <w:rsid w:val="00046063"/>
    <w:rsid w:val="00051215"/>
    <w:rsid w:val="00053F49"/>
    <w:rsid w:val="0005633E"/>
    <w:rsid w:val="00071178"/>
    <w:rsid w:val="000749DD"/>
    <w:rsid w:val="00076392"/>
    <w:rsid w:val="0009083D"/>
    <w:rsid w:val="000960BA"/>
    <w:rsid w:val="000B3CA0"/>
    <w:rsid w:val="000B7E6B"/>
    <w:rsid w:val="000D2D70"/>
    <w:rsid w:val="000E0B62"/>
    <w:rsid w:val="000E312D"/>
    <w:rsid w:val="000F0194"/>
    <w:rsid w:val="00103E48"/>
    <w:rsid w:val="001176DE"/>
    <w:rsid w:val="00140C43"/>
    <w:rsid w:val="00161FD5"/>
    <w:rsid w:val="001717BF"/>
    <w:rsid w:val="00171F92"/>
    <w:rsid w:val="001732B0"/>
    <w:rsid w:val="00181435"/>
    <w:rsid w:val="00184AF0"/>
    <w:rsid w:val="00185710"/>
    <w:rsid w:val="00186D1B"/>
    <w:rsid w:val="00197836"/>
    <w:rsid w:val="001B1A8F"/>
    <w:rsid w:val="001B5A1F"/>
    <w:rsid w:val="001F3108"/>
    <w:rsid w:val="0020446B"/>
    <w:rsid w:val="002140CF"/>
    <w:rsid w:val="002377E7"/>
    <w:rsid w:val="002466DD"/>
    <w:rsid w:val="00257EB1"/>
    <w:rsid w:val="00263622"/>
    <w:rsid w:val="00272EB5"/>
    <w:rsid w:val="002767C4"/>
    <w:rsid w:val="00276AF8"/>
    <w:rsid w:val="00286173"/>
    <w:rsid w:val="002923F8"/>
    <w:rsid w:val="002A5D41"/>
    <w:rsid w:val="002B6595"/>
    <w:rsid w:val="002C0372"/>
    <w:rsid w:val="002D2F51"/>
    <w:rsid w:val="002D31E2"/>
    <w:rsid w:val="002D353B"/>
    <w:rsid w:val="002E132B"/>
    <w:rsid w:val="00304B09"/>
    <w:rsid w:val="00315827"/>
    <w:rsid w:val="0032068C"/>
    <w:rsid w:val="00362BB7"/>
    <w:rsid w:val="00367850"/>
    <w:rsid w:val="00380270"/>
    <w:rsid w:val="00380C3C"/>
    <w:rsid w:val="003820CB"/>
    <w:rsid w:val="00383016"/>
    <w:rsid w:val="003A11CA"/>
    <w:rsid w:val="003A2E4B"/>
    <w:rsid w:val="003B5CE4"/>
    <w:rsid w:val="003C503E"/>
    <w:rsid w:val="003C7D84"/>
    <w:rsid w:val="003D12B2"/>
    <w:rsid w:val="003D642D"/>
    <w:rsid w:val="003E1A45"/>
    <w:rsid w:val="003E4541"/>
    <w:rsid w:val="003F064D"/>
    <w:rsid w:val="003F2582"/>
    <w:rsid w:val="00405198"/>
    <w:rsid w:val="00407486"/>
    <w:rsid w:val="0041211A"/>
    <w:rsid w:val="0041332A"/>
    <w:rsid w:val="00417565"/>
    <w:rsid w:val="00423982"/>
    <w:rsid w:val="00437C22"/>
    <w:rsid w:val="00444943"/>
    <w:rsid w:val="004454F4"/>
    <w:rsid w:val="00451D1C"/>
    <w:rsid w:val="0047317F"/>
    <w:rsid w:val="00474FBF"/>
    <w:rsid w:val="004A17D9"/>
    <w:rsid w:val="004B4C76"/>
    <w:rsid w:val="004B67FC"/>
    <w:rsid w:val="004C6B44"/>
    <w:rsid w:val="004D25A3"/>
    <w:rsid w:val="004D3738"/>
    <w:rsid w:val="004E2CBA"/>
    <w:rsid w:val="004E3F89"/>
    <w:rsid w:val="004E451D"/>
    <w:rsid w:val="00507EDE"/>
    <w:rsid w:val="005106B3"/>
    <w:rsid w:val="0051255F"/>
    <w:rsid w:val="00517CCA"/>
    <w:rsid w:val="00523208"/>
    <w:rsid w:val="00535E3E"/>
    <w:rsid w:val="00537F77"/>
    <w:rsid w:val="00547AE4"/>
    <w:rsid w:val="00556B69"/>
    <w:rsid w:val="0056018F"/>
    <w:rsid w:val="005766EB"/>
    <w:rsid w:val="00586B9F"/>
    <w:rsid w:val="005A0617"/>
    <w:rsid w:val="005A47C2"/>
    <w:rsid w:val="005A7797"/>
    <w:rsid w:val="005B0E99"/>
    <w:rsid w:val="005B23B3"/>
    <w:rsid w:val="005C5AD6"/>
    <w:rsid w:val="005C64BB"/>
    <w:rsid w:val="005D0681"/>
    <w:rsid w:val="005E0629"/>
    <w:rsid w:val="005E5ED9"/>
    <w:rsid w:val="005F4AC2"/>
    <w:rsid w:val="005F5C86"/>
    <w:rsid w:val="00600C2D"/>
    <w:rsid w:val="00603D44"/>
    <w:rsid w:val="00604445"/>
    <w:rsid w:val="00604DD9"/>
    <w:rsid w:val="006108F0"/>
    <w:rsid w:val="0061409F"/>
    <w:rsid w:val="00620A3B"/>
    <w:rsid w:val="00622766"/>
    <w:rsid w:val="006233C5"/>
    <w:rsid w:val="006320F4"/>
    <w:rsid w:val="0065408A"/>
    <w:rsid w:val="0065774A"/>
    <w:rsid w:val="006874F3"/>
    <w:rsid w:val="00694319"/>
    <w:rsid w:val="0069510A"/>
    <w:rsid w:val="006A0543"/>
    <w:rsid w:val="006A32E6"/>
    <w:rsid w:val="006B6CA0"/>
    <w:rsid w:val="006C50D3"/>
    <w:rsid w:val="006D3323"/>
    <w:rsid w:val="006E6D24"/>
    <w:rsid w:val="006F03A8"/>
    <w:rsid w:val="006F2853"/>
    <w:rsid w:val="006F6959"/>
    <w:rsid w:val="00721518"/>
    <w:rsid w:val="00723767"/>
    <w:rsid w:val="00731159"/>
    <w:rsid w:val="0073121D"/>
    <w:rsid w:val="007336EC"/>
    <w:rsid w:val="00734773"/>
    <w:rsid w:val="00734AC6"/>
    <w:rsid w:val="007361BC"/>
    <w:rsid w:val="007372B4"/>
    <w:rsid w:val="00754205"/>
    <w:rsid w:val="00755DA6"/>
    <w:rsid w:val="0076423F"/>
    <w:rsid w:val="0076686D"/>
    <w:rsid w:val="007670E4"/>
    <w:rsid w:val="0079009D"/>
    <w:rsid w:val="007954DA"/>
    <w:rsid w:val="007A2B0F"/>
    <w:rsid w:val="007A4F56"/>
    <w:rsid w:val="007B0107"/>
    <w:rsid w:val="007B0C30"/>
    <w:rsid w:val="007C7BB3"/>
    <w:rsid w:val="007D15F8"/>
    <w:rsid w:val="007F5383"/>
    <w:rsid w:val="007F6E7F"/>
    <w:rsid w:val="00805208"/>
    <w:rsid w:val="00813614"/>
    <w:rsid w:val="00823714"/>
    <w:rsid w:val="00824FE6"/>
    <w:rsid w:val="008332B8"/>
    <w:rsid w:val="008707AD"/>
    <w:rsid w:val="00872728"/>
    <w:rsid w:val="00880C9D"/>
    <w:rsid w:val="00892BB9"/>
    <w:rsid w:val="0089531D"/>
    <w:rsid w:val="008A5798"/>
    <w:rsid w:val="008D7A3D"/>
    <w:rsid w:val="008E0605"/>
    <w:rsid w:val="008E5622"/>
    <w:rsid w:val="008F2A7D"/>
    <w:rsid w:val="008F3D77"/>
    <w:rsid w:val="008F453B"/>
    <w:rsid w:val="008F578A"/>
    <w:rsid w:val="0090130F"/>
    <w:rsid w:val="00901920"/>
    <w:rsid w:val="0090485C"/>
    <w:rsid w:val="00904888"/>
    <w:rsid w:val="00912823"/>
    <w:rsid w:val="00925491"/>
    <w:rsid w:val="00941F66"/>
    <w:rsid w:val="00943A92"/>
    <w:rsid w:val="00943F35"/>
    <w:rsid w:val="00957859"/>
    <w:rsid w:val="00965003"/>
    <w:rsid w:val="00970438"/>
    <w:rsid w:val="009715D8"/>
    <w:rsid w:val="00973D9B"/>
    <w:rsid w:val="00977BC8"/>
    <w:rsid w:val="009815CD"/>
    <w:rsid w:val="00995D63"/>
    <w:rsid w:val="009A4D62"/>
    <w:rsid w:val="009B1741"/>
    <w:rsid w:val="009B4344"/>
    <w:rsid w:val="009B6430"/>
    <w:rsid w:val="009D5C81"/>
    <w:rsid w:val="009D6E7B"/>
    <w:rsid w:val="009D70E9"/>
    <w:rsid w:val="009E76DE"/>
    <w:rsid w:val="009E79BC"/>
    <w:rsid w:val="009F098F"/>
    <w:rsid w:val="009F35DE"/>
    <w:rsid w:val="009F5549"/>
    <w:rsid w:val="00A118FF"/>
    <w:rsid w:val="00A13A07"/>
    <w:rsid w:val="00A16A9F"/>
    <w:rsid w:val="00A25116"/>
    <w:rsid w:val="00A316ED"/>
    <w:rsid w:val="00A324B0"/>
    <w:rsid w:val="00A3360B"/>
    <w:rsid w:val="00A41D37"/>
    <w:rsid w:val="00A45B11"/>
    <w:rsid w:val="00A66B60"/>
    <w:rsid w:val="00A7132B"/>
    <w:rsid w:val="00A801D0"/>
    <w:rsid w:val="00A8786A"/>
    <w:rsid w:val="00A97170"/>
    <w:rsid w:val="00AB3D03"/>
    <w:rsid w:val="00AC1F9A"/>
    <w:rsid w:val="00AC4C84"/>
    <w:rsid w:val="00AE3CD5"/>
    <w:rsid w:val="00AE6F5C"/>
    <w:rsid w:val="00AF4E50"/>
    <w:rsid w:val="00AF6FBE"/>
    <w:rsid w:val="00B04013"/>
    <w:rsid w:val="00B05820"/>
    <w:rsid w:val="00B10688"/>
    <w:rsid w:val="00B1576E"/>
    <w:rsid w:val="00B16EE0"/>
    <w:rsid w:val="00B219EC"/>
    <w:rsid w:val="00B2620C"/>
    <w:rsid w:val="00B26723"/>
    <w:rsid w:val="00B4102F"/>
    <w:rsid w:val="00B429E4"/>
    <w:rsid w:val="00B500FE"/>
    <w:rsid w:val="00B51FC7"/>
    <w:rsid w:val="00B56BCB"/>
    <w:rsid w:val="00B57724"/>
    <w:rsid w:val="00B74BCD"/>
    <w:rsid w:val="00B80DD1"/>
    <w:rsid w:val="00B92CA5"/>
    <w:rsid w:val="00B94EE4"/>
    <w:rsid w:val="00BA5370"/>
    <w:rsid w:val="00BC1878"/>
    <w:rsid w:val="00BC1A4B"/>
    <w:rsid w:val="00BC5416"/>
    <w:rsid w:val="00BE05DA"/>
    <w:rsid w:val="00BE156D"/>
    <w:rsid w:val="00BF403E"/>
    <w:rsid w:val="00C0099C"/>
    <w:rsid w:val="00C1482B"/>
    <w:rsid w:val="00C14A1A"/>
    <w:rsid w:val="00C26DB0"/>
    <w:rsid w:val="00C328A5"/>
    <w:rsid w:val="00C46A0D"/>
    <w:rsid w:val="00C51C40"/>
    <w:rsid w:val="00C520DC"/>
    <w:rsid w:val="00C54A2F"/>
    <w:rsid w:val="00C57E39"/>
    <w:rsid w:val="00C6250D"/>
    <w:rsid w:val="00C70413"/>
    <w:rsid w:val="00C77B84"/>
    <w:rsid w:val="00C8055F"/>
    <w:rsid w:val="00CC28EA"/>
    <w:rsid w:val="00CC2B5A"/>
    <w:rsid w:val="00CE25CC"/>
    <w:rsid w:val="00CF197E"/>
    <w:rsid w:val="00D0449D"/>
    <w:rsid w:val="00D06225"/>
    <w:rsid w:val="00D0702F"/>
    <w:rsid w:val="00D131B9"/>
    <w:rsid w:val="00D15C07"/>
    <w:rsid w:val="00D25095"/>
    <w:rsid w:val="00D255A0"/>
    <w:rsid w:val="00D27A6F"/>
    <w:rsid w:val="00D57736"/>
    <w:rsid w:val="00D83F85"/>
    <w:rsid w:val="00D93490"/>
    <w:rsid w:val="00DA1E2A"/>
    <w:rsid w:val="00DA5CB9"/>
    <w:rsid w:val="00DB315A"/>
    <w:rsid w:val="00DB34E1"/>
    <w:rsid w:val="00DC3185"/>
    <w:rsid w:val="00DC4269"/>
    <w:rsid w:val="00DC74A5"/>
    <w:rsid w:val="00DD773A"/>
    <w:rsid w:val="00DE30DF"/>
    <w:rsid w:val="00DE7C47"/>
    <w:rsid w:val="00DF1C30"/>
    <w:rsid w:val="00DF5251"/>
    <w:rsid w:val="00E06BD0"/>
    <w:rsid w:val="00E1377C"/>
    <w:rsid w:val="00E14493"/>
    <w:rsid w:val="00E30DD0"/>
    <w:rsid w:val="00E34549"/>
    <w:rsid w:val="00E37177"/>
    <w:rsid w:val="00E44288"/>
    <w:rsid w:val="00E71452"/>
    <w:rsid w:val="00E77D3B"/>
    <w:rsid w:val="00E9412B"/>
    <w:rsid w:val="00EA34CD"/>
    <w:rsid w:val="00EA762A"/>
    <w:rsid w:val="00EB1171"/>
    <w:rsid w:val="00EB5AEF"/>
    <w:rsid w:val="00ED0F1F"/>
    <w:rsid w:val="00ED233B"/>
    <w:rsid w:val="00ED28BA"/>
    <w:rsid w:val="00EF02AB"/>
    <w:rsid w:val="00EF2B26"/>
    <w:rsid w:val="00EF3DDF"/>
    <w:rsid w:val="00F0560A"/>
    <w:rsid w:val="00F24300"/>
    <w:rsid w:val="00F44F84"/>
    <w:rsid w:val="00F4717A"/>
    <w:rsid w:val="00F513EF"/>
    <w:rsid w:val="00F52964"/>
    <w:rsid w:val="00F62F21"/>
    <w:rsid w:val="00F649B3"/>
    <w:rsid w:val="00F7614F"/>
    <w:rsid w:val="00F94F97"/>
    <w:rsid w:val="00F96B10"/>
    <w:rsid w:val="00F97CFB"/>
    <w:rsid w:val="00FB0AF5"/>
    <w:rsid w:val="00FB5B55"/>
    <w:rsid w:val="00FC7B83"/>
    <w:rsid w:val="00FE5275"/>
    <w:rsid w:val="00FF6484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BD11F"/>
  <w15:chartTrackingRefBased/>
  <w15:docId w15:val="{803C8879-C62C-451A-92BB-C7E9E8AB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CB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B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6B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9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33B"/>
    <w:pPr>
      <w:spacing w:before="100" w:beforeAutospacing="1" w:after="10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ED2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7332-28EB-42AD-B516-11EE414D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Pritikin</dc:creator>
  <cp:keywords/>
  <dc:description/>
  <cp:lastModifiedBy>Lindsay Pritikin</cp:lastModifiedBy>
  <cp:revision>96</cp:revision>
  <dcterms:created xsi:type="dcterms:W3CDTF">2022-03-03T03:25:00Z</dcterms:created>
  <dcterms:modified xsi:type="dcterms:W3CDTF">2022-03-03T05:14:00Z</dcterms:modified>
</cp:coreProperties>
</file>