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1. The noncertified municipality and its library will not receive any State Aid to Public Libraries monies (</w:t>
      </w:r>
      <w:hyperlink r:id="rId5" w:history="1">
        <w:r w:rsidRPr="00BE239A">
          <w:rPr>
            <w:rFonts w:ascii="inherit" w:eastAsia="Times New Roman" w:hAnsi="inherit" w:cs="Times New Roman"/>
            <w:color w:val="006178"/>
            <w:u w:val="single"/>
            <w:bdr w:val="none" w:sz="0" w:space="0" w:color="auto" w:frame="1"/>
          </w:rPr>
          <w:t>M.G.L. c.78, s.19A</w:t>
        </w:r>
      </w:hyperlink>
      <w:r w:rsidRPr="00BE239A">
        <w:rPr>
          <w:rFonts w:ascii="Times New Roman" w:eastAsia="Times New Roman" w:hAnsi="Times New Roman" w:cs="Times New Roman"/>
          <w:color w:val="333333"/>
        </w:rPr>
        <w:t>).</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2. Libraries in certified municipalities are not required to lend library materials to the library in the noncertified municipality (</w:t>
      </w:r>
      <w:hyperlink r:id="rId6" w:history="1">
        <w:r w:rsidRPr="00BE239A">
          <w:rPr>
            <w:rFonts w:ascii="inherit" w:eastAsia="Times New Roman" w:hAnsi="inherit" w:cs="Times New Roman"/>
            <w:color w:val="006178"/>
            <w:u w:val="single"/>
            <w:bdr w:val="none" w:sz="0" w:space="0" w:color="auto" w:frame="1"/>
          </w:rPr>
          <w:t>605 CMR 4.01 (6a)</w:t>
        </w:r>
      </w:hyperlink>
      <w:r w:rsidRPr="00BE239A">
        <w:rPr>
          <w:rFonts w:ascii="Times New Roman" w:eastAsia="Times New Roman" w:hAnsi="Times New Roman" w:cs="Times New Roman"/>
          <w:color w:val="333333"/>
        </w:rPr>
        <w:t>).</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3. Libraries in certified municipalities are not required to extend reciprocal library services, beyond in-library use of their materials, to residents of the noncertified municipality (</w:t>
      </w:r>
      <w:hyperlink r:id="rId7" w:history="1">
        <w:r w:rsidRPr="00BE239A">
          <w:rPr>
            <w:rFonts w:ascii="inherit" w:eastAsia="Times New Roman" w:hAnsi="inherit" w:cs="Times New Roman"/>
            <w:color w:val="006178"/>
            <w:u w:val="single"/>
            <w:bdr w:val="none" w:sz="0" w:space="0" w:color="auto" w:frame="1"/>
          </w:rPr>
          <w:t>605 CMR 4.01 (6b)</w:t>
        </w:r>
      </w:hyperlink>
      <w:r w:rsidRPr="00BE239A">
        <w:rPr>
          <w:rFonts w:ascii="Times New Roman" w:eastAsia="Times New Roman" w:hAnsi="Times New Roman" w:cs="Times New Roman"/>
          <w:color w:val="333333"/>
        </w:rPr>
        <w:t>).</w:t>
      </w:r>
    </w:p>
    <w:p w:rsidR="00BE239A" w:rsidRPr="00BE239A" w:rsidRDefault="00BE239A" w:rsidP="00BE239A">
      <w:pPr>
        <w:shd w:val="clear" w:color="auto" w:fill="F1EFEF"/>
        <w:spacing w:before="150" w:after="15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4. The library will not receive support through the Small Libraries in Networks Program.</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5. The municipality is not eligible to apply for funds under the Public Library Construction Program (</w:t>
      </w:r>
      <w:hyperlink r:id="rId8" w:history="1">
        <w:r w:rsidRPr="00BE239A">
          <w:rPr>
            <w:rFonts w:ascii="inherit" w:eastAsia="Times New Roman" w:hAnsi="inherit" w:cs="Times New Roman"/>
            <w:color w:val="006178"/>
            <w:u w:val="single"/>
            <w:bdr w:val="none" w:sz="0" w:space="0" w:color="auto" w:frame="1"/>
          </w:rPr>
          <w:t>605 CMR 6.05 (1)(c)</w:t>
        </w:r>
      </w:hyperlink>
      <w:r w:rsidRPr="00BE239A">
        <w:rPr>
          <w:rFonts w:ascii="Times New Roman" w:eastAsia="Times New Roman" w:hAnsi="Times New Roman" w:cs="Times New Roman"/>
          <w:color w:val="333333"/>
        </w:rPr>
        <w:t>), and any existing grant will be invalidated because the library must maintain eligibility throughout the construction process in order to receive grant funds (</w:t>
      </w:r>
      <w:hyperlink r:id="rId9" w:history="1">
        <w:r w:rsidRPr="00BE239A">
          <w:rPr>
            <w:rFonts w:ascii="inherit" w:eastAsia="Times New Roman" w:hAnsi="inherit" w:cs="Times New Roman"/>
            <w:color w:val="006178"/>
            <w:u w:val="single"/>
            <w:bdr w:val="none" w:sz="0" w:space="0" w:color="auto" w:frame="1"/>
          </w:rPr>
          <w:t>605 CMR 6.09(7)(b)</w:t>
        </w:r>
      </w:hyperlink>
      <w:r w:rsidRPr="00BE239A">
        <w:rPr>
          <w:rFonts w:ascii="Times New Roman" w:eastAsia="Times New Roman" w:hAnsi="Times New Roman" w:cs="Times New Roman"/>
          <w:color w:val="333333"/>
        </w:rPr>
        <w:t>).</w:t>
      </w:r>
    </w:p>
    <w:p w:rsidR="00BE239A" w:rsidRPr="00BE239A" w:rsidRDefault="00BE239A" w:rsidP="00BE239A">
      <w:pPr>
        <w:shd w:val="clear" w:color="auto" w:fill="F1EFEF"/>
        <w:spacing w:before="150" w:after="15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6. The library will not be eligible to apply for grants under the Library Services and Technology Act (LSTA) program.</w:t>
      </w:r>
    </w:p>
    <w:p w:rsidR="00BE239A" w:rsidRPr="00BE239A" w:rsidRDefault="00BE239A" w:rsidP="00BE239A">
      <w:pPr>
        <w:shd w:val="clear" w:color="auto" w:fill="F1EFEF"/>
        <w:spacing w:after="0" w:line="240" w:lineRule="auto"/>
        <w:textAlignment w:val="baseline"/>
        <w:rPr>
          <w:rFonts w:ascii="inherit" w:eastAsia="Times New Roman" w:hAnsi="inherit" w:cs="Times New Roman"/>
          <w:color w:val="000000"/>
        </w:rPr>
      </w:pPr>
      <w:r w:rsidRPr="00BE239A">
        <w:rPr>
          <w:rFonts w:ascii="inherit" w:eastAsia="Times New Roman" w:hAnsi="inherit" w:cs="Times New Roman"/>
          <w:color w:val="000000"/>
        </w:rPr>
        <w:br/>
      </w:r>
    </w:p>
    <w:p w:rsidR="00BE239A" w:rsidRPr="00BE239A" w:rsidRDefault="00BE239A" w:rsidP="00BE239A">
      <w:pPr>
        <w:shd w:val="clear" w:color="auto" w:fill="F1EFEF"/>
        <w:spacing w:before="150" w:after="15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Note: Network Telecommunications and Resource Sharing funding are not affected.</w:t>
      </w:r>
    </w:p>
    <w:p w:rsidR="00BE239A" w:rsidRPr="00BE239A" w:rsidRDefault="00BE239A" w:rsidP="00BE239A">
      <w:pPr>
        <w:shd w:val="clear" w:color="auto" w:fill="339598"/>
        <w:spacing w:after="0" w:line="240" w:lineRule="auto"/>
        <w:textAlignment w:val="baseline"/>
        <w:rPr>
          <w:rFonts w:ascii="inherit" w:eastAsia="Times New Roman" w:hAnsi="inherit" w:cs="Times New Roman"/>
          <w:color w:val="000000"/>
        </w:rPr>
      </w:pPr>
      <w:r w:rsidRPr="00BE239A">
        <w:rPr>
          <w:rFonts w:ascii="inherit" w:eastAsia="Times New Roman" w:hAnsi="inherit" w:cs="Times New Roman"/>
          <w:color w:val="000000"/>
        </w:rPr>
        <w:t>What happens when neighboring municipalities are not certified?</w:t>
      </w:r>
    </w:p>
    <w:p w:rsidR="00BE239A" w:rsidRPr="00BE239A" w:rsidRDefault="00BE239A" w:rsidP="00BE239A">
      <w:pPr>
        <w:shd w:val="clear" w:color="auto" w:fill="F1EFEF"/>
        <w:spacing w:before="300" w:after="300" w:line="240" w:lineRule="auto"/>
        <w:textAlignment w:val="baseline"/>
        <w:outlineLvl w:val="2"/>
        <w:rPr>
          <w:rFonts w:ascii="Arial" w:eastAsia="Times New Roman" w:hAnsi="Arial" w:cs="Arial"/>
          <w:b/>
          <w:bCs/>
          <w:color w:val="036277"/>
          <w:sz w:val="27"/>
          <w:szCs w:val="27"/>
        </w:rPr>
      </w:pPr>
      <w:r w:rsidRPr="00BE239A">
        <w:rPr>
          <w:rFonts w:ascii="Arial" w:eastAsia="Times New Roman" w:hAnsi="Arial" w:cs="Arial"/>
          <w:b/>
          <w:bCs/>
          <w:color w:val="036277"/>
          <w:sz w:val="27"/>
          <w:szCs w:val="27"/>
        </w:rPr>
        <w:t>If a neighboring municipality is not certified, may we refuse to serve residents of that municipality?</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Yes, but it is a decision that must be voted on by your board of trustees. </w:t>
      </w:r>
      <w:hyperlink r:id="rId10" w:history="1">
        <w:r w:rsidRPr="00BE239A">
          <w:rPr>
            <w:rFonts w:ascii="inherit" w:eastAsia="Times New Roman" w:hAnsi="inherit" w:cs="Times New Roman"/>
            <w:color w:val="006178"/>
            <w:u w:val="single"/>
            <w:bdr w:val="none" w:sz="0" w:space="0" w:color="auto" w:frame="1"/>
          </w:rPr>
          <w:t>605 CMR 4.01(6)</w:t>
        </w:r>
      </w:hyperlink>
      <w:r w:rsidRPr="00BE239A">
        <w:rPr>
          <w:rFonts w:ascii="Times New Roman" w:eastAsia="Times New Roman" w:hAnsi="Times New Roman" w:cs="Times New Roman"/>
          <w:color w:val="333333"/>
        </w:rPr>
        <w:t> states that "all public libraries participating in the direct state aid grant program must be willing, on a reciprocal basis, to extend direct access and services to nonresidents who are card holders in other libraries participating in the state grant program..." The regulation does not make any statement regarding serving residents of municipalities that are not certified.</w:t>
      </w:r>
    </w:p>
    <w:p w:rsidR="00BE239A" w:rsidRPr="00BE239A" w:rsidRDefault="00BE239A" w:rsidP="00BE239A">
      <w:pPr>
        <w:shd w:val="clear" w:color="auto" w:fill="F1EFEF"/>
        <w:spacing w:before="300" w:after="300" w:line="240" w:lineRule="auto"/>
        <w:textAlignment w:val="baseline"/>
        <w:outlineLvl w:val="2"/>
        <w:rPr>
          <w:rFonts w:ascii="Arial" w:eastAsia="Times New Roman" w:hAnsi="Arial" w:cs="Arial"/>
          <w:b/>
          <w:bCs/>
          <w:color w:val="036277"/>
          <w:sz w:val="27"/>
          <w:szCs w:val="27"/>
        </w:rPr>
      </w:pPr>
      <w:r w:rsidRPr="00BE239A">
        <w:rPr>
          <w:rFonts w:ascii="Arial" w:eastAsia="Times New Roman" w:hAnsi="Arial" w:cs="Arial"/>
          <w:b/>
          <w:bCs/>
          <w:color w:val="036277"/>
          <w:sz w:val="27"/>
          <w:szCs w:val="27"/>
        </w:rPr>
        <w:t>Are there any services that we must provide to residents of a noncertified municipality?</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Yes. You must provide access to reference and reading rooms. </w:t>
      </w:r>
      <w:hyperlink r:id="rId11" w:history="1">
        <w:r w:rsidRPr="00BE239A">
          <w:rPr>
            <w:rFonts w:ascii="inherit" w:eastAsia="Times New Roman" w:hAnsi="inherit" w:cs="Times New Roman"/>
            <w:color w:val="006178"/>
            <w:u w:val="single"/>
            <w:bdr w:val="none" w:sz="0" w:space="0" w:color="auto" w:frame="1"/>
          </w:rPr>
          <w:t>605 CMR 4.01(1)</w:t>
        </w:r>
      </w:hyperlink>
      <w:r w:rsidRPr="00BE239A">
        <w:rPr>
          <w:rFonts w:ascii="Times New Roman" w:eastAsia="Times New Roman" w:hAnsi="Times New Roman" w:cs="Times New Roman"/>
          <w:color w:val="333333"/>
        </w:rPr>
        <w:t> states that "all residents of the commonwealth shall have access to reading and reference rooms under the same conditions as residents of the community."</w:t>
      </w:r>
    </w:p>
    <w:p w:rsidR="00BE239A" w:rsidRPr="00BE239A" w:rsidRDefault="00BE239A" w:rsidP="00BE239A">
      <w:pPr>
        <w:shd w:val="clear" w:color="auto" w:fill="F1EFEF"/>
        <w:spacing w:before="300" w:after="300" w:line="240" w:lineRule="auto"/>
        <w:textAlignment w:val="baseline"/>
        <w:outlineLvl w:val="2"/>
        <w:rPr>
          <w:rFonts w:ascii="Arial" w:eastAsia="Times New Roman" w:hAnsi="Arial" w:cs="Arial"/>
          <w:b/>
          <w:bCs/>
          <w:color w:val="036277"/>
          <w:sz w:val="27"/>
          <w:szCs w:val="27"/>
        </w:rPr>
      </w:pPr>
      <w:r w:rsidRPr="00BE239A">
        <w:rPr>
          <w:rFonts w:ascii="Arial" w:eastAsia="Times New Roman" w:hAnsi="Arial" w:cs="Arial"/>
          <w:b/>
          <w:bCs/>
          <w:color w:val="036277"/>
          <w:sz w:val="27"/>
          <w:szCs w:val="27"/>
        </w:rPr>
        <w:t>May we charge fees to residents of a noncertified municipality?</w:t>
      </w:r>
    </w:p>
    <w:p w:rsidR="00BE239A" w:rsidRPr="00BE239A" w:rsidRDefault="00BE239A" w:rsidP="00BE239A">
      <w:pPr>
        <w:shd w:val="clear" w:color="auto" w:fill="F1EFEF"/>
        <w:spacing w:before="150" w:after="15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lastRenderedPageBreak/>
        <w:t>Yes. If the municipality is not certified, then they are not participating in the State Aid to Public Libraries program and you are not required to offer them free borrowing privileges. Your trustees have the options of:</w:t>
      </w:r>
    </w:p>
    <w:p w:rsidR="00BE239A" w:rsidRPr="00BE239A" w:rsidRDefault="00BE239A" w:rsidP="00BE239A">
      <w:pPr>
        <w:shd w:val="clear" w:color="auto" w:fill="F1EFEF"/>
        <w:spacing w:after="0" w:line="240" w:lineRule="auto"/>
        <w:textAlignment w:val="baseline"/>
        <w:rPr>
          <w:rFonts w:ascii="inherit" w:eastAsia="Times New Roman" w:hAnsi="inherit" w:cs="Times New Roman"/>
          <w:color w:val="000000"/>
        </w:rPr>
      </w:pPr>
      <w:r w:rsidRPr="00BE239A">
        <w:rPr>
          <w:rFonts w:ascii="inherit" w:eastAsia="Times New Roman" w:hAnsi="inherit" w:cs="Times New Roman"/>
          <w:color w:val="000000"/>
        </w:rPr>
        <w:t>(1) continuing to extend borrowing privileges to residents of noncertified communities;</w:t>
      </w:r>
      <w:r w:rsidRPr="00BE239A">
        <w:rPr>
          <w:rFonts w:ascii="inherit" w:eastAsia="Times New Roman" w:hAnsi="inherit" w:cs="Times New Roman"/>
          <w:color w:val="000000"/>
        </w:rPr>
        <w:br/>
        <w:t>(2) charging residents of noncertified municipalities to borrow materials;</w:t>
      </w:r>
      <w:r w:rsidRPr="00BE239A">
        <w:rPr>
          <w:rFonts w:ascii="inherit" w:eastAsia="Times New Roman" w:hAnsi="inherit" w:cs="Times New Roman"/>
          <w:color w:val="000000"/>
        </w:rPr>
        <w:br/>
        <w:t>(3) denying borrowing privileges to residents of noncertified municipalities;</w:t>
      </w:r>
      <w:r w:rsidRPr="00BE239A">
        <w:rPr>
          <w:rFonts w:ascii="inherit" w:eastAsia="Times New Roman" w:hAnsi="inherit" w:cs="Times New Roman"/>
          <w:color w:val="000000"/>
        </w:rPr>
        <w:br/>
        <w:t>(4) entering into a contractual arrangement with the noncertified municipality.</w:t>
      </w:r>
    </w:p>
    <w:p w:rsidR="00BE239A" w:rsidRPr="00BE239A" w:rsidRDefault="00BE239A" w:rsidP="00BE239A">
      <w:pPr>
        <w:shd w:val="clear" w:color="auto" w:fill="F1EFEF"/>
        <w:spacing w:before="300" w:after="300" w:line="240" w:lineRule="auto"/>
        <w:textAlignment w:val="baseline"/>
        <w:outlineLvl w:val="2"/>
        <w:rPr>
          <w:rFonts w:ascii="Arial" w:eastAsia="Times New Roman" w:hAnsi="Arial" w:cs="Arial"/>
          <w:b/>
          <w:bCs/>
          <w:color w:val="036277"/>
          <w:sz w:val="27"/>
          <w:szCs w:val="27"/>
        </w:rPr>
      </w:pPr>
      <w:r w:rsidRPr="00BE239A">
        <w:rPr>
          <w:rFonts w:ascii="Arial" w:eastAsia="Times New Roman" w:hAnsi="Arial" w:cs="Arial"/>
          <w:b/>
          <w:bCs/>
          <w:color w:val="036277"/>
          <w:sz w:val="27"/>
          <w:szCs w:val="27"/>
        </w:rPr>
        <w:t>Are we required to continue to interlibrary loan items to a noncertified library?</w:t>
      </w:r>
    </w:p>
    <w:p w:rsidR="00BE239A" w:rsidRPr="00BE239A" w:rsidRDefault="00BE239A" w:rsidP="00BE239A">
      <w:pPr>
        <w:shd w:val="clear" w:color="auto" w:fill="F1EFEF"/>
        <w:spacing w:before="150" w:after="15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No, unless you are a library contracting with a regional library system to provide ILL.</w:t>
      </w:r>
    </w:p>
    <w:p w:rsidR="00BE239A" w:rsidRPr="00BE239A" w:rsidRDefault="00BE239A" w:rsidP="00BE239A">
      <w:pPr>
        <w:shd w:val="clear" w:color="auto" w:fill="F1EFEF"/>
        <w:spacing w:before="300" w:after="300" w:line="240" w:lineRule="auto"/>
        <w:textAlignment w:val="baseline"/>
        <w:outlineLvl w:val="2"/>
        <w:rPr>
          <w:rFonts w:ascii="Arial" w:eastAsia="Times New Roman" w:hAnsi="Arial" w:cs="Arial"/>
          <w:b/>
          <w:bCs/>
          <w:color w:val="036277"/>
          <w:sz w:val="27"/>
          <w:szCs w:val="27"/>
        </w:rPr>
      </w:pPr>
      <w:r w:rsidRPr="00BE239A">
        <w:rPr>
          <w:rFonts w:ascii="Arial" w:eastAsia="Times New Roman" w:hAnsi="Arial" w:cs="Arial"/>
          <w:b/>
          <w:bCs/>
          <w:color w:val="036277"/>
          <w:sz w:val="27"/>
          <w:szCs w:val="27"/>
        </w:rPr>
        <w:t>Will we be reimbursed (through the Nonresident Circulation Offset) for lending materials to resident of noncertified municipalities?</w:t>
      </w:r>
    </w:p>
    <w:p w:rsidR="00BE239A" w:rsidRPr="00BE239A" w:rsidRDefault="00BE239A" w:rsidP="00BE239A">
      <w:pPr>
        <w:shd w:val="clear" w:color="auto" w:fill="F1EFEF"/>
        <w:spacing w:after="0" w:line="384" w:lineRule="atLeast"/>
        <w:textAlignment w:val="baseline"/>
        <w:rPr>
          <w:rFonts w:ascii="Times New Roman" w:eastAsia="Times New Roman" w:hAnsi="Times New Roman" w:cs="Times New Roman"/>
          <w:color w:val="333333"/>
        </w:rPr>
      </w:pPr>
      <w:r w:rsidRPr="00BE239A">
        <w:rPr>
          <w:rFonts w:ascii="Times New Roman" w:eastAsia="Times New Roman" w:hAnsi="Times New Roman" w:cs="Times New Roman"/>
          <w:color w:val="333333"/>
        </w:rPr>
        <w:t>No. Municipalities </w:t>
      </w:r>
      <w:r w:rsidRPr="00BE239A">
        <w:rPr>
          <w:rFonts w:ascii="Times New Roman" w:eastAsia="Times New Roman" w:hAnsi="Times New Roman" w:cs="Times New Roman"/>
          <w:i/>
          <w:iCs/>
          <w:color w:val="333333"/>
        </w:rPr>
        <w:t>will not</w:t>
      </w:r>
      <w:r w:rsidRPr="00BE239A">
        <w:rPr>
          <w:rFonts w:ascii="Times New Roman" w:eastAsia="Times New Roman" w:hAnsi="Times New Roman" w:cs="Times New Roman"/>
          <w:color w:val="333333"/>
        </w:rPr>
        <w:t> be reimbursed for circulating materials to residents from of out-of-state and noncertified Massachusetts municipalities (</w:t>
      </w:r>
      <w:hyperlink r:id="rId12" w:history="1">
        <w:r w:rsidRPr="00BE239A">
          <w:rPr>
            <w:rFonts w:ascii="inherit" w:eastAsia="Times New Roman" w:hAnsi="inherit" w:cs="Times New Roman"/>
            <w:color w:val="006178"/>
            <w:u w:val="single"/>
            <w:bdr w:val="none" w:sz="0" w:space="0" w:color="auto" w:frame="1"/>
          </w:rPr>
          <w:t>605 CMR 4.02</w:t>
        </w:r>
      </w:hyperlink>
      <w:r w:rsidRPr="00BE239A">
        <w:rPr>
          <w:rFonts w:ascii="Times New Roman" w:eastAsia="Times New Roman" w:hAnsi="Times New Roman" w:cs="Times New Roman"/>
          <w:color w:val="333333"/>
        </w:rPr>
        <w:t>).</w:t>
      </w:r>
    </w:p>
    <w:p w:rsidR="00506D3D" w:rsidRDefault="00506D3D" w:rsidP="00BE239A"/>
    <w:p w:rsidR="00506D3D" w:rsidRDefault="00506D3D" w:rsidP="00BE239A">
      <w:pPr>
        <w:rPr>
          <w:sz w:val="24"/>
          <w:szCs w:val="24"/>
        </w:rPr>
      </w:pPr>
      <w:r>
        <w:rPr>
          <w:sz w:val="24"/>
          <w:szCs w:val="24"/>
        </w:rPr>
        <w:t>If GPL closes:</w:t>
      </w:r>
    </w:p>
    <w:p w:rsidR="00506D3D" w:rsidRDefault="00506D3D" w:rsidP="00506D3D">
      <w:pPr>
        <w:pStyle w:val="ListParagraph"/>
        <w:numPr>
          <w:ilvl w:val="0"/>
          <w:numId w:val="1"/>
        </w:numPr>
        <w:rPr>
          <w:sz w:val="24"/>
          <w:szCs w:val="24"/>
        </w:rPr>
      </w:pPr>
      <w:r>
        <w:rPr>
          <w:sz w:val="24"/>
          <w:szCs w:val="24"/>
        </w:rPr>
        <w:t>An average of 42 people a day will be without a computer to use for internet or word processing, an additional 20 will be unable to access free Wi-Fi, and 4 people a week will not be able to get assistance with technology</w:t>
      </w:r>
    </w:p>
    <w:p w:rsidR="00506D3D" w:rsidRDefault="00506D3D" w:rsidP="00506D3D">
      <w:pPr>
        <w:pStyle w:val="ListParagraph"/>
        <w:numPr>
          <w:ilvl w:val="0"/>
          <w:numId w:val="1"/>
        </w:numPr>
        <w:rPr>
          <w:sz w:val="24"/>
          <w:szCs w:val="24"/>
        </w:rPr>
      </w:pPr>
      <w:r>
        <w:rPr>
          <w:sz w:val="24"/>
          <w:szCs w:val="24"/>
        </w:rPr>
        <w:t>About 36 people a day will not get reference questions answered</w:t>
      </w:r>
    </w:p>
    <w:p w:rsidR="00506D3D" w:rsidRDefault="00506D3D" w:rsidP="00506D3D">
      <w:pPr>
        <w:pStyle w:val="ListParagraph"/>
        <w:numPr>
          <w:ilvl w:val="0"/>
          <w:numId w:val="1"/>
        </w:numPr>
        <w:rPr>
          <w:sz w:val="24"/>
          <w:szCs w:val="24"/>
        </w:rPr>
      </w:pPr>
      <w:r>
        <w:rPr>
          <w:sz w:val="24"/>
          <w:szCs w:val="24"/>
        </w:rPr>
        <w:t>Students from Four Rivers School will have no safe place to go on early release Wednesdays</w:t>
      </w:r>
    </w:p>
    <w:p w:rsidR="00506D3D" w:rsidRDefault="00506D3D" w:rsidP="00506D3D">
      <w:pPr>
        <w:pStyle w:val="ListParagraph"/>
        <w:numPr>
          <w:ilvl w:val="0"/>
          <w:numId w:val="1"/>
        </w:numPr>
        <w:rPr>
          <w:sz w:val="24"/>
          <w:szCs w:val="24"/>
        </w:rPr>
      </w:pPr>
      <w:r>
        <w:rPr>
          <w:sz w:val="24"/>
          <w:szCs w:val="24"/>
        </w:rPr>
        <w:t>An average of 26 parents and children will miss out twice-weekly on Mother Goose on the Loose story times</w:t>
      </w:r>
    </w:p>
    <w:p w:rsidR="00506D3D" w:rsidRDefault="00C900BF" w:rsidP="00506D3D">
      <w:pPr>
        <w:pStyle w:val="ListParagraph"/>
        <w:numPr>
          <w:ilvl w:val="0"/>
          <w:numId w:val="1"/>
        </w:numPr>
        <w:rPr>
          <w:sz w:val="24"/>
          <w:szCs w:val="24"/>
        </w:rPr>
      </w:pPr>
      <w:r>
        <w:rPr>
          <w:sz w:val="24"/>
          <w:szCs w:val="24"/>
        </w:rPr>
        <w:t xml:space="preserve">About </w:t>
      </w:r>
      <w:r w:rsidR="00506D3D">
        <w:rPr>
          <w:sz w:val="24"/>
          <w:szCs w:val="24"/>
        </w:rPr>
        <w:t xml:space="preserve">24 teens will lose </w:t>
      </w:r>
      <w:r>
        <w:rPr>
          <w:sz w:val="24"/>
          <w:szCs w:val="24"/>
        </w:rPr>
        <w:t>monthly Pizza and Movie nights as well as other teen-centered activities</w:t>
      </w:r>
    </w:p>
    <w:p w:rsidR="00C900BF" w:rsidRDefault="00C900BF" w:rsidP="00506D3D">
      <w:pPr>
        <w:pStyle w:val="ListParagraph"/>
        <w:numPr>
          <w:ilvl w:val="0"/>
          <w:numId w:val="1"/>
        </w:numPr>
        <w:rPr>
          <w:sz w:val="24"/>
          <w:szCs w:val="24"/>
        </w:rPr>
      </w:pPr>
      <w:r>
        <w:rPr>
          <w:sz w:val="24"/>
          <w:szCs w:val="24"/>
        </w:rPr>
        <w:t>41 groups will not be able to avail themselves of the library’s two meeting rooms on a monthly basis</w:t>
      </w:r>
      <w:bookmarkStart w:id="0" w:name="_GoBack"/>
      <w:bookmarkEnd w:id="0"/>
    </w:p>
    <w:p w:rsidR="00C900BF" w:rsidRPr="00506D3D" w:rsidRDefault="00C900BF" w:rsidP="00C900BF">
      <w:pPr>
        <w:pStyle w:val="ListParagraph"/>
        <w:rPr>
          <w:sz w:val="24"/>
          <w:szCs w:val="24"/>
        </w:rPr>
      </w:pPr>
    </w:p>
    <w:sectPr w:rsidR="00C900BF" w:rsidRPr="0050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F7373"/>
    <w:multiLevelType w:val="hybridMultilevel"/>
    <w:tmpl w:val="9A764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9A"/>
    <w:rsid w:val="00506D3D"/>
    <w:rsid w:val="00823C2A"/>
    <w:rsid w:val="00BE239A"/>
    <w:rsid w:val="00C900BF"/>
    <w:rsid w:val="00EC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F619"/>
  <w15:chartTrackingRefBased/>
  <w15:docId w15:val="{58D42087-2E32-4485-8940-96DAF4E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E23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3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3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239A"/>
    <w:rPr>
      <w:color w:val="0000FF"/>
      <w:u w:val="single"/>
    </w:rPr>
  </w:style>
  <w:style w:type="character" w:styleId="Emphasis">
    <w:name w:val="Emphasis"/>
    <w:basedOn w:val="DefaultParagraphFont"/>
    <w:uiPriority w:val="20"/>
    <w:qFormat/>
    <w:rsid w:val="00BE239A"/>
    <w:rPr>
      <w:i/>
      <w:iCs/>
    </w:rPr>
  </w:style>
  <w:style w:type="paragraph" w:styleId="ListParagraph">
    <w:name w:val="List Paragraph"/>
    <w:basedOn w:val="Normal"/>
    <w:uiPriority w:val="34"/>
    <w:qFormat/>
    <w:rsid w:val="00506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1353">
      <w:bodyDiv w:val="1"/>
      <w:marLeft w:val="0"/>
      <w:marRight w:val="0"/>
      <w:marTop w:val="0"/>
      <w:marBottom w:val="0"/>
      <w:divBdr>
        <w:top w:val="none" w:sz="0" w:space="0" w:color="auto"/>
        <w:left w:val="none" w:sz="0" w:space="0" w:color="auto"/>
        <w:bottom w:val="none" w:sz="0" w:space="0" w:color="auto"/>
        <w:right w:val="none" w:sz="0" w:space="0" w:color="auto"/>
      </w:divBdr>
      <w:divsChild>
        <w:div w:id="1960642031">
          <w:marLeft w:val="0"/>
          <w:marRight w:val="0"/>
          <w:marTop w:val="0"/>
          <w:marBottom w:val="0"/>
          <w:divBdr>
            <w:top w:val="none" w:sz="0" w:space="0" w:color="auto"/>
            <w:left w:val="none" w:sz="0" w:space="0" w:color="auto"/>
            <w:bottom w:val="none" w:sz="0" w:space="0" w:color="auto"/>
            <w:right w:val="none" w:sz="0" w:space="0" w:color="auto"/>
          </w:divBdr>
          <w:divsChild>
            <w:div w:id="88963967">
              <w:marLeft w:val="0"/>
              <w:marRight w:val="0"/>
              <w:marTop w:val="0"/>
              <w:marBottom w:val="0"/>
              <w:divBdr>
                <w:top w:val="none" w:sz="0" w:space="0" w:color="auto"/>
                <w:left w:val="none" w:sz="0" w:space="0" w:color="auto"/>
                <w:bottom w:val="none" w:sz="0" w:space="0" w:color="auto"/>
                <w:right w:val="none" w:sz="0" w:space="0" w:color="auto"/>
              </w:divBdr>
            </w:div>
          </w:divsChild>
        </w:div>
        <w:div w:id="859395655">
          <w:marLeft w:val="0"/>
          <w:marRight w:val="0"/>
          <w:marTop w:val="0"/>
          <w:marBottom w:val="0"/>
          <w:divBdr>
            <w:top w:val="none" w:sz="0" w:space="0" w:color="auto"/>
            <w:left w:val="none" w:sz="0" w:space="0" w:color="auto"/>
            <w:bottom w:val="none" w:sz="0" w:space="0" w:color="auto"/>
            <w:right w:val="none" w:sz="0" w:space="0" w:color="auto"/>
          </w:divBdr>
          <w:divsChild>
            <w:div w:id="619847645">
              <w:marLeft w:val="0"/>
              <w:marRight w:val="0"/>
              <w:marTop w:val="0"/>
              <w:marBottom w:val="0"/>
              <w:divBdr>
                <w:top w:val="none" w:sz="0" w:space="0" w:color="auto"/>
                <w:left w:val="none" w:sz="0" w:space="19" w:color="auto"/>
                <w:bottom w:val="single" w:sz="6" w:space="0" w:color="339597"/>
                <w:right w:val="none" w:sz="0" w:space="19" w:color="auto"/>
              </w:divBdr>
            </w:div>
            <w:div w:id="1270431326">
              <w:marLeft w:val="0"/>
              <w:marRight w:val="0"/>
              <w:marTop w:val="0"/>
              <w:marBottom w:val="0"/>
              <w:divBdr>
                <w:top w:val="none" w:sz="0" w:space="0" w:color="auto"/>
                <w:left w:val="none" w:sz="0" w:space="0" w:color="auto"/>
                <w:bottom w:val="none" w:sz="0" w:space="0" w:color="auto"/>
                <w:right w:val="none" w:sz="0" w:space="0" w:color="auto"/>
              </w:divBdr>
              <w:divsChild>
                <w:div w:id="16291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lc.state.ma.us/programs-and-support/construction/files/605cmr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blc.state.ma.us/about-us/laws-and-regulations/605cmr4.php" TargetMode="External"/><Relationship Id="rId12" Type="http://schemas.openxmlformats.org/officeDocument/2006/relationships/hyperlink" Target="https://mblc.state.ma.us/about-us/laws-and-regulations/605cmr4.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blc.state.ma.us/about-us/laws-and-regulations/605cmr4.php" TargetMode="External"/><Relationship Id="rId11" Type="http://schemas.openxmlformats.org/officeDocument/2006/relationships/hyperlink" Target="https://mblc.state.ma.us/about-us/laws-and-regulations/605cmr4.php" TargetMode="External"/><Relationship Id="rId5" Type="http://schemas.openxmlformats.org/officeDocument/2006/relationships/hyperlink" Target="https://mblc.state.ma.us/about-us/laws-and-regulations/laws.php" TargetMode="External"/><Relationship Id="rId10" Type="http://schemas.openxmlformats.org/officeDocument/2006/relationships/hyperlink" Target="https://mblc.state.ma.us/about-us/laws-and-regulations/605cmr4.php" TargetMode="External"/><Relationship Id="rId4" Type="http://schemas.openxmlformats.org/officeDocument/2006/relationships/webSettings" Target="webSettings.xml"/><Relationship Id="rId9" Type="http://schemas.openxmlformats.org/officeDocument/2006/relationships/hyperlink" Target="https://mblc.state.ma.us/programs-and-support/construction/files/605cmr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chkout02</dc:creator>
  <cp:keywords/>
  <dc:description/>
  <cp:lastModifiedBy>Lisa Prolman</cp:lastModifiedBy>
  <cp:revision>2</cp:revision>
  <dcterms:created xsi:type="dcterms:W3CDTF">2019-10-02T16:50:00Z</dcterms:created>
  <dcterms:modified xsi:type="dcterms:W3CDTF">2019-10-02T18:58:00Z</dcterms:modified>
</cp:coreProperties>
</file>