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9fc5e8"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9fc5e8" w:val="clea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9fc5e8"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9fc5e8"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9fc5e8"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9fc5e8"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9fc5e8"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9fc5e8"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9fc5e8"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9fc5e8"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9fc5e8"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shd w:fill="fff2cc"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tl w:val="0"/>
              </w:rPr>
            </w:r>
          </w:p>
        </w:tc>
        <w:tc>
          <w:tcPr>
            <w:shd w:fill="fff2cc"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Redacta los apartados solicitados en inglés, comunicando en un 100% en un nivel intermedio alto según lo solicitado.</w:t>
            </w:r>
          </w:p>
        </w:tc>
        <w:tc>
          <w:tcPr>
            <w:shd w:fill="fff2cc"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Redacta los apartados solicitados en inglés, comunicando en un 60% en un nivel intermedio alto según lo solicitado.</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tl w:val="0"/>
              </w:rPr>
            </w:r>
          </w:p>
        </w:tc>
        <w:tc>
          <w:tcPr>
            <w:shd w:fill="fff2cc"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Redacta los apartados solicitados en inglés, comunicando en un 30% en un nivel intermedio alto lo solicitado.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tl w:val="0"/>
              </w:rPr>
            </w:r>
          </w:p>
        </w:tc>
        <w:tc>
          <w:tcPr>
            <w:shd w:fill="fff2cc"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Redacta los apartados solicitados en inglés, pero no logra el desarrollo de las ideas solicitadas en un nivel intermedio alto. </w:t>
            </w:r>
          </w:p>
        </w:tc>
        <w:tc>
          <w:tcPr>
            <w:shd w:fill="fff2cc" w:val="cle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gRMG5CO7dv7W3tqEXWzcIsnuQ==">CgMxLjAyCGguZ2pkZ3hzOAByITFBNW9YR2wzZlprN1dFbWo4allPaGI0VnU3dERaNzhhZQ==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