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BCEF9">
      <w:pPr>
        <w:spacing w:before="0" w:after="40" w:line="300" w:lineRule="auto"/>
        <w:jc w:val="left"/>
      </w:pPr>
      <w:r>
        <w:rPr>
          <w:rFonts w:ascii="Times New Roman" w:hAnsi="Times New Roman" w:eastAsia="宋体"/>
          <w:b w:val="0"/>
          <w:sz w:val="18"/>
        </w:rPr>
        <w:t>项目代号：ENVLIGHT</w:t>
      </w:r>
    </w:p>
    <w:p w14:paraId="41278E4A">
      <w:pPr>
        <w:spacing w:before="0" w:after="600" w:line="300" w:lineRule="auto"/>
        <w:jc w:val="left"/>
      </w:pPr>
      <w:r>
        <w:rPr>
          <w:rFonts w:ascii="Times New Roman" w:hAnsi="Times New Roman" w:eastAsia="宋体"/>
          <w:b w:val="0"/>
          <w:sz w:val="18"/>
        </w:rPr>
        <w:t>项目名称：envLight 环境光可视化与分析系统</w:t>
      </w:r>
    </w:p>
    <w:p w14:paraId="7153899B">
      <w:pPr>
        <w:pStyle w:val="43"/>
        <w:jc w:val="center"/>
      </w:pPr>
      <w:r>
        <w:rPr>
          <w:rFonts w:ascii="Times New Roman" w:hAnsi="Times New Roman" w:eastAsia="宋体"/>
          <w:b/>
          <w:sz w:val="48"/>
        </w:rPr>
        <w:t>CIE Sky 与 HDR 全景图</w:t>
      </w:r>
      <w:r>
        <w:rPr>
          <w:rFonts w:ascii="Times New Roman" w:hAnsi="Times New Roman" w:eastAsia="宋体"/>
          <w:b/>
          <w:sz w:val="48"/>
        </w:rPr>
        <w:br w:type="textWrapping"/>
      </w:r>
      <w:r>
        <w:rPr>
          <w:rFonts w:ascii="Times New Roman" w:hAnsi="Times New Roman" w:eastAsia="宋体"/>
          <w:b/>
          <w:sz w:val="48"/>
        </w:rPr>
        <w:t>设计与实现说明书</w:t>
      </w:r>
    </w:p>
    <w:p w14:paraId="1C45002F">
      <w:pPr>
        <w:spacing w:before="0" w:after="500" w:line="300" w:lineRule="auto"/>
        <w:jc w:val="left"/>
      </w:pPr>
    </w:p>
    <w:p w14:paraId="3BAF3817">
      <w:pPr>
        <w:spacing w:after="200"/>
        <w:ind w:left="2835"/>
      </w:pPr>
      <w:r>
        <w:rPr>
          <w:rFonts w:ascii="Times New Roman" w:hAnsi="Times New Roman" w:eastAsia="宋体"/>
          <w:sz w:val="22"/>
        </w:rPr>
        <w:t>编制/日期：________________________</w:t>
      </w:r>
    </w:p>
    <w:p w14:paraId="2A0928A5">
      <w:pPr>
        <w:spacing w:after="200"/>
        <w:ind w:left="2835"/>
      </w:pPr>
      <w:r>
        <w:rPr>
          <w:rFonts w:ascii="Times New Roman" w:hAnsi="Times New Roman" w:eastAsia="宋体"/>
          <w:sz w:val="22"/>
        </w:rPr>
        <w:t>审核/日期：________________________</w:t>
      </w:r>
    </w:p>
    <w:p w14:paraId="0E67E912">
      <w:pPr>
        <w:spacing w:after="200"/>
        <w:ind w:left="2835"/>
      </w:pPr>
      <w:r>
        <w:rPr>
          <w:rFonts w:ascii="Times New Roman" w:hAnsi="Times New Roman" w:eastAsia="宋体"/>
          <w:sz w:val="22"/>
        </w:rPr>
        <w:t>批准/日期：________________________</w:t>
      </w:r>
    </w:p>
    <w:p w14:paraId="2B9EAB4E">
      <w:r>
        <w:br w:type="page"/>
      </w:r>
    </w:p>
    <w:p w14:paraId="0F6D703C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修订记录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1DCB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3" w:type="dxa"/>
            <w:shd w:val="clear" w:color="auto" w:fill="D9EAF7"/>
            <w:vAlign w:val="center"/>
          </w:tcPr>
          <w:p w14:paraId="69F23D5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0C3FD9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修订内容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9FDC36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修订人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46834B7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修订日期</w:t>
            </w:r>
          </w:p>
        </w:tc>
      </w:tr>
      <w:tr w14:paraId="1C33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479FF462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5669" w:type="dxa"/>
            <w:vAlign w:val="center"/>
          </w:tcPr>
          <w:p w14:paraId="0274CE51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基于当前 envLight 功能整理 CIE Sky、EPW、HDR/EXR 全景、ENU/NED、VTK 与透视算法</w:t>
            </w:r>
          </w:p>
        </w:tc>
        <w:tc>
          <w:tcPr>
            <w:tcW w:w="1417" w:type="dxa"/>
            <w:vAlign w:val="center"/>
          </w:tcPr>
          <w:p w14:paraId="5480B393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</w:p>
        </w:tc>
        <w:tc>
          <w:tcPr>
            <w:tcW w:w="1700" w:type="dxa"/>
            <w:vAlign w:val="center"/>
          </w:tcPr>
          <w:p w14:paraId="411E93D5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2026-08-18</w:t>
            </w:r>
          </w:p>
        </w:tc>
      </w:tr>
      <w:tr w14:paraId="3E43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8D23118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V1.1</w:t>
            </w:r>
          </w:p>
        </w:tc>
        <w:tc>
          <w:tcPr>
            <w:tcW w:w="2409" w:type="dxa"/>
          </w:tcPr>
          <w:p w14:paraId="05752E2C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增加 CIE Sky、EPW、ENU/NED、HDR/EXR、NSWE、透视投影与 VTK 的图解说明，并附 Azimuth 动图演示</w:t>
            </w:r>
          </w:p>
        </w:tc>
        <w:tc>
          <w:tcPr>
            <w:tcW w:w="2409" w:type="dxa"/>
          </w:tcPr>
          <w:p w14:paraId="20313561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</w:p>
        </w:tc>
        <w:tc>
          <w:tcPr>
            <w:tcW w:w="2409" w:type="dxa"/>
          </w:tcPr>
          <w:p w14:paraId="6291523F">
            <w:pPr>
              <w:spacing w:after="0"/>
              <w:jc w:val="left"/>
              <w:rPr>
                <w:rFonts w:ascii="Times New Roman" w:hAnsi="Times New Roman" w:eastAsia="宋体"/>
                <w:b w:val="0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2026-08-18</w:t>
            </w:r>
          </w:p>
        </w:tc>
      </w:tr>
    </w:tbl>
    <w:p w14:paraId="01FA1FA4">
      <w:pPr>
        <w:spacing w:after="20"/>
      </w:pPr>
    </w:p>
    <w:p w14:paraId="227BF9EB">
      <w:r>
        <w:br w:type="page"/>
      </w:r>
    </w:p>
    <w:p w14:paraId="3E68DE27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目 录</w:t>
      </w:r>
    </w:p>
    <w:p w14:paraId="164011B6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1、范围及目的</w:t>
      </w:r>
    </w:p>
    <w:p w14:paraId="11E7898C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2、阅读指南与基础概念</w:t>
      </w:r>
    </w:p>
    <w:p w14:paraId="3362A67D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3、系统总体架构</w:t>
      </w:r>
    </w:p>
    <w:p w14:paraId="23CFF926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4、坐标系统：ENU / NED</w:t>
      </w:r>
    </w:p>
    <w:p w14:paraId="2315FF8E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5、EPW 气象数据与太阳位置</w:t>
      </w:r>
    </w:p>
    <w:p w14:paraId="30DFE17E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6、CIE Sky 功能与数学原理</w:t>
      </w:r>
    </w:p>
    <w:p w14:paraId="61706656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7、三种绝对标定与太阳盘</w:t>
      </w:r>
    </w:p>
    <w:p w14:paraId="6F6EE49D">
      <w:pPr>
        <w:spacing w:after="0"/>
        <w:jc w:val="left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>8、GHI / Global Illuminance 闭环验证</w:t>
      </w:r>
    </w:p>
    <w:p w14:paraId="57CD5F9F">
      <w:pPr>
        <w:spacing w:after="0"/>
        <w:jc w:val="left"/>
        <w:rPr>
          <w:rFonts w:ascii="Times New Roman" w:hAnsi="Times New Roman" w:eastAsia="宋体"/>
          <w:b w:val="0"/>
          <w:sz w:val="1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247" w:right="1134" w:bottom="1191" w:left="1134" w:header="851" w:footer="992" w:gutter="0"/>
          <w:cols w:space="425" w:num="1"/>
          <w:titlePg/>
          <w:docGrid w:type="lines" w:linePitch="408" w:charSpace="0"/>
        </w:sectPr>
      </w:pPr>
      <w:r>
        <w:rPr>
          <w:rFonts w:ascii="Times New Roman" w:hAnsi="Times New Roman" w:eastAsia="宋体"/>
          <w:b w:val="0"/>
          <w:sz w:val="18"/>
        </w:rPr>
        <w:t>9、CIE Sky 透视相机：Az/El/Roll/HFOV/VFOV</w:t>
      </w:r>
    </w:p>
    <w:p w14:paraId="0A22A98D">
      <w:pPr>
        <w:spacing w:after="0"/>
        <w:jc w:val="center"/>
      </w:pPr>
      <w:r>
        <w:drawing>
          <wp:inline distT="0" distB="0" distL="114300" distR="114300">
            <wp:extent cx="4629785" cy="2814955"/>
            <wp:effectExtent l="0" t="0" r="184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2CBD">
      <w:pPr>
        <w:spacing w:after="120"/>
        <w:jc w:val="center"/>
      </w:pPr>
      <w:r>
        <w:rPr>
          <w:rFonts w:eastAsia="宋体"/>
          <w:b/>
          <w:sz w:val="18"/>
        </w:rPr>
        <w:t>图9-1  Azimuth、Elevation、Roll、HFOV/VFOV 的直观含义</w:t>
      </w:r>
    </w:p>
    <w:p w14:paraId="11988766">
      <w:pPr>
        <w:spacing w:after="120"/>
        <w:ind w:firstLine="420"/>
      </w:pPr>
      <w:r>
        <w:rPr>
          <w:rFonts w:eastAsia="宋体"/>
        </w:rPr>
        <w:t>如果把相机想成人的头：Azimuth 是左右转头后面对哪个地理方向，Elevation 是抬头或低头，Roll 是把头向肩膀方向歪，HFOV/VFOV 则决定视野有多宽、多高。cameraRay() 的任务就是把屏幕上每个像素变成一条三维观察射线。</w:t>
      </w:r>
    </w:p>
    <w:p w14:paraId="46FD8994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10、HDR / EXR 全景图加载与高动态范围</w:t>
      </w:r>
    </w:p>
    <w:p w14:paraId="4A7A1714">
      <w:pPr>
        <w:spacing w:before="80" w:after="60"/>
        <w:jc w:val="center"/>
      </w:pPr>
      <w:r>
        <w:drawing>
          <wp:inline distT="0" distB="0" distL="114300" distR="114300">
            <wp:extent cx="5715000" cy="259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542B">
      <w:pPr>
        <w:spacing w:after="120"/>
        <w:jc w:val="center"/>
      </w:pPr>
      <w:r>
        <w:rPr>
          <w:rFonts w:eastAsia="宋体"/>
          <w:b/>
          <w:sz w:val="18"/>
        </w:rPr>
        <w:t>图10-1  HDR/EXR 正确 float 链路与错误 8-bit 链路对比</w:t>
      </w:r>
    </w:p>
    <w:p w14:paraId="4B5A4669">
      <w:pPr>
        <w:spacing w:after="120"/>
        <w:ind w:firstLine="420"/>
      </w:pPr>
      <w:r>
        <w:rPr>
          <w:rFonts w:eastAsia="宋体"/>
        </w:rPr>
        <w:t>为什么之前会“真实亮度丢失”：如果刚加载 HDR/EXR 就把 10000、20000 这样的高亮值压到 0~255，后面的插值和透视再怎么使用 float 也救不回来。当前设计让 HDRImage 一直保存 float，只有显示给人看时才 Tone Mapping。</w:t>
      </w:r>
    </w:p>
    <w:p w14:paraId="5E1C2618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11、全景图 NSWE 方位校准</w:t>
      </w:r>
    </w:p>
    <w:p w14:paraId="6F10ACA7">
      <w:pPr>
        <w:spacing w:before="80" w:after="60"/>
        <w:jc w:val="center"/>
      </w:pPr>
      <w:r>
        <w:drawing>
          <wp:inline distT="0" distB="0" distL="114300" distR="114300">
            <wp:extent cx="5715000" cy="247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0330">
      <w:pPr>
        <w:spacing w:after="120"/>
        <w:jc w:val="center"/>
      </w:pPr>
      <w:r>
        <w:rPr>
          <w:rFonts w:eastAsia="宋体"/>
          <w:b/>
          <w:sz w:val="18"/>
        </w:rPr>
        <w:t>图11-1  Equirectangular 全景图中的 N/E/S/W 与接缝</w:t>
      </w:r>
    </w:p>
    <w:p w14:paraId="7B35C32D">
      <w:pPr>
        <w:spacing w:after="120"/>
        <w:ind w:firstLine="420"/>
      </w:pPr>
      <w:r>
        <w:rPr>
          <w:rFonts w:eastAsia="宋体"/>
        </w:rPr>
        <w:t>全景图本身只是一张二维长图，它不会自动知道“哪一列是北”。所以用户只需要告诉程序 North 位于源图的哪个水平位置，East/South/West 就能按 90° 间隔自动推出。这个校准会同时影响二维 ROI、透视采样和 VTK 球面方向。</w:t>
      </w:r>
    </w:p>
    <w:p w14:paraId="7E9384FD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12、全景图透视投影与双线性采样</w:t>
      </w:r>
    </w:p>
    <w:p w14:paraId="53987998">
      <w:pPr>
        <w:spacing w:before="80" w:after="60"/>
        <w:jc w:val="center"/>
      </w:pPr>
      <w:r>
        <w:drawing>
          <wp:inline distT="0" distB="0" distL="114300" distR="114300">
            <wp:extent cx="5715000" cy="3340735"/>
            <wp:effectExtent l="0" t="0" r="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122D">
      <w:pPr>
        <w:spacing w:after="120"/>
        <w:jc w:val="center"/>
      </w:pPr>
      <w:r>
        <w:rPr>
          <w:rFonts w:eastAsia="宋体"/>
          <w:b/>
          <w:sz w:val="18"/>
        </w:rPr>
        <w:t>图12-1  从环境球方向到全景 UV，再生成透视图</w:t>
      </w:r>
    </w:p>
    <w:p w14:paraId="129D0607">
      <w:pPr>
        <w:spacing w:after="120"/>
        <w:ind w:firstLine="420"/>
      </w:pPr>
      <w:r>
        <w:rPr>
          <w:rFonts w:eastAsia="宋体"/>
        </w:rPr>
        <w:t>透视图不是把长条全景图简单裁一块。真正过程是：对输出图每个像素生成一条相机射线，找到它在环境球上的方向，把这个方向换成 equirectangular 的 (u,v)，最后在 HDR 图中做双线性采样。</w:t>
      </w:r>
    </w:p>
    <w:p w14:paraId="4D4B3D0A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13、VTK 球面全景显示</w:t>
      </w:r>
    </w:p>
    <w:p w14:paraId="1439BC6E">
      <w:pPr>
        <w:spacing w:before="80" w:after="60"/>
        <w:jc w:val="center"/>
      </w:pPr>
      <w:r>
        <w:drawing>
          <wp:inline distT="0" distB="0" distL="114300" distR="114300">
            <wp:extent cx="5715000" cy="2133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5226">
      <w:pPr>
        <w:spacing w:after="120"/>
        <w:jc w:val="center"/>
      </w:pPr>
      <w:r>
        <w:rPr>
          <w:rFonts w:eastAsia="宋体"/>
          <w:b/>
          <w:sz w:val="18"/>
        </w:rPr>
        <w:t>图13-1  VTK 全景球纹理显示数据链</w:t>
      </w:r>
    </w:p>
    <w:p w14:paraId="211DEA12">
      <w:pPr>
        <w:spacing w:after="120"/>
        <w:ind w:firstLine="420"/>
      </w:pPr>
      <w:r>
        <w:rPr>
          <w:rFonts w:eastAsia="宋体"/>
        </w:rPr>
        <w:t>VTK 球上的贴图是“显示版本”，因此可以是 Tone Mapping 后的 RGB8；真正用于 HDR 计算的 m_panorama/HDRImage 仍保持 float。球面必须具有纹理坐标 TCoords，而且 vtkTexture 必须在有效 vtkImageData 准备好以后再挂到 Actor 上。</w:t>
      </w:r>
    </w:p>
    <w:p w14:paraId="4C1F5522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14、Tone Mapping 与显示链路</w:t>
      </w:r>
    </w:p>
    <w:p w14:paraId="5316C7EB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15、代码文件与函数对应</w:t>
      </w:r>
    </w:p>
    <w:p w14:paraId="6BD050AD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16、核心流程伪代码</w:t>
      </w:r>
    </w:p>
    <w:p w14:paraId="6A981370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17、测试与验证方法</w:t>
      </w:r>
    </w:p>
    <w:p w14:paraId="7DDEDC35">
      <w:pPr>
        <w:spacing w:after="120"/>
        <w:ind w:firstLine="420"/>
      </w:pPr>
      <w:r>
        <w:rPr>
          <w:rFonts w:eastAsia="宋体"/>
        </w:rPr>
        <w:t>建议按“先方向、再亮度、最后显示”的顺序测试。第一步固定 Azimuth=0°/90°/180°/270°，确认分别对应 N/E/S/W；第二步用 EPW 检查 DHI+DNI·sin(Elevation) 与 GHI 是否接近；第三步加载 HDR/EXR，检查 maxRGB 是否允许大于 1、255；最后再检查 Tone Mapping 后的 Qt/VTK 预览是否方向一致。</w:t>
      </w:r>
    </w:p>
    <w:p w14:paraId="71713E39">
      <w:pPr>
        <w:spacing w:after="120"/>
        <w:ind w:firstLine="420"/>
      </w:pPr>
      <w:r>
        <w:rPr>
          <w:rFonts w:eastAsia="宋体"/>
        </w:rPr>
        <w:t>如果某张图“看起来方向对，但计算不对”，优先检查坐标/UV；如果“方向对，但太阳亮度不对”，检查 EPW 标定和太阳立体角；如果“原图数据很亮，显示却很暗”，通常只是 Tone Mapping/Exposure 的显示问题，不应直接修改 HDR 原始像素。</w:t>
      </w:r>
    </w:p>
    <w:p w14:paraId="232DB1EA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18、常见问题与调试建议</w:t>
      </w:r>
    </w:p>
    <w:p w14:paraId="1E06A198"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sz w:val="20"/>
        </w:rPr>
        <w:t>19、术语与参数速查表</w:t>
      </w:r>
    </w:p>
    <w:p w14:paraId="284CCAE1">
      <w:r>
        <w:br w:type="page"/>
      </w:r>
    </w:p>
    <w:p w14:paraId="521C288A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1、范围及目的</w:t>
      </w:r>
    </w:p>
    <w:p w14:paraId="23F8C27C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范围：本说明书适用于 envLight 项目中“CIE Sky 物理天空”和“HDR/EXR 全景环境图”相关功能，包括 EPW 数据读取、太阳位置、天空绝对标定、全景方向校准、透视相机、VTK 球面显示、HDR 浮点链路和 ENU/NED 坐标切换。</w:t>
      </w:r>
    </w:p>
    <w:p w14:paraId="54DD06FE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目的：让刚接触项目的开发人员、测试人员或算法人员，不需要先掌握完整的计算机图形学和气象学，也能理解“输入是什么、公式为什么这样写、代码在哪里、结果怎么验证”。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143C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</w:tcPr>
          <w:p w14:paraId="624185D8">
            <w:pPr>
              <w:spacing w:after="40"/>
            </w:pPr>
            <w:r>
              <w:rPr>
                <w:rFonts w:ascii="Times New Roman" w:hAnsi="Times New Roman" w:eastAsia="宋体"/>
                <w:b/>
                <w:sz w:val="19"/>
              </w:rPr>
              <w:t>小白提示：先记住两条主线</w:t>
            </w:r>
            <w:r>
              <w:rPr>
                <w:rFonts w:ascii="Times New Roman" w:hAnsi="Times New Roman" w:eastAsia="宋体"/>
                <w:b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sz w:val="19"/>
              </w:rPr>
              <w:t>CIE Sky 是“根据天气数据计算一个天空”；HDR/EXR 全景图是“直接加载一张已经包含天空亮度的环境图”。两者都需要回答同一个问题：给定一个方向，这个方向应该有多亮、显示什么颜色。</w:t>
            </w:r>
          </w:p>
        </w:tc>
      </w:tr>
    </w:tbl>
    <w:p w14:paraId="493B9D5D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2、阅读指南与基础概念</w:t>
      </w:r>
    </w:p>
    <w:p w14:paraId="6EB6D7A0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2.1 先认识几个单位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06B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D9EAF7"/>
            <w:vAlign w:val="center"/>
          </w:tcPr>
          <w:p w14:paraId="251063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E5E52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典型单位</w:t>
            </w:r>
          </w:p>
        </w:tc>
        <w:tc>
          <w:tcPr>
            <w:tcW w:w="3514" w:type="dxa"/>
            <w:shd w:val="clear" w:color="auto" w:fill="D9EAF7"/>
            <w:vAlign w:val="center"/>
          </w:tcPr>
          <w:p w14:paraId="01D5DC1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直观理解</w:t>
            </w:r>
          </w:p>
        </w:tc>
        <w:tc>
          <w:tcPr>
            <w:tcW w:w="2834" w:type="dxa"/>
            <w:shd w:val="clear" w:color="auto" w:fill="D9EAF7"/>
            <w:vAlign w:val="center"/>
          </w:tcPr>
          <w:p w14:paraId="09BF68F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在项目中的用途</w:t>
            </w:r>
          </w:p>
        </w:tc>
      </w:tr>
      <w:tr w14:paraId="119A7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D8F05D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辐照度 Irradiance</w:t>
            </w:r>
          </w:p>
        </w:tc>
        <w:tc>
          <w:tcPr>
            <w:tcW w:w="1814" w:type="dxa"/>
            <w:vAlign w:val="center"/>
          </w:tcPr>
          <w:p w14:paraId="16BEB3C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W/m²</w:t>
            </w:r>
          </w:p>
        </w:tc>
        <w:tc>
          <w:tcPr>
            <w:tcW w:w="3514" w:type="dxa"/>
            <w:vAlign w:val="center"/>
          </w:tcPr>
          <w:p w14:paraId="48FE187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一个面每平方米收到多少辐射功率</w:t>
            </w:r>
          </w:p>
        </w:tc>
        <w:tc>
          <w:tcPr>
            <w:tcW w:w="2834" w:type="dxa"/>
            <w:vAlign w:val="center"/>
          </w:tcPr>
          <w:p w14:paraId="7DE4BE5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DHI、DNI、GHI</w:t>
            </w:r>
          </w:p>
        </w:tc>
      </w:tr>
      <w:tr w14:paraId="5822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A0430D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照度 Illuminance</w:t>
            </w:r>
          </w:p>
        </w:tc>
        <w:tc>
          <w:tcPr>
            <w:tcW w:w="1814" w:type="dxa"/>
            <w:vAlign w:val="center"/>
          </w:tcPr>
          <w:p w14:paraId="3D3E580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lx</w:t>
            </w:r>
          </w:p>
        </w:tc>
        <w:tc>
          <w:tcPr>
            <w:tcW w:w="3514" w:type="dxa"/>
            <w:vAlign w:val="center"/>
          </w:tcPr>
          <w:p w14:paraId="6403490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按人眼敏感度加权后的“亮不亮”</w:t>
            </w:r>
          </w:p>
        </w:tc>
        <w:tc>
          <w:tcPr>
            <w:tcW w:w="2834" w:type="dxa"/>
            <w:vAlign w:val="center"/>
          </w:tcPr>
          <w:p w14:paraId="2D1523D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Diffuse/Direct/Global Horizontal Illuminance</w:t>
            </w:r>
          </w:p>
        </w:tc>
      </w:tr>
      <w:tr w14:paraId="0580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5386ED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辐亮度 Radiance</w:t>
            </w:r>
          </w:p>
        </w:tc>
        <w:tc>
          <w:tcPr>
            <w:tcW w:w="1814" w:type="dxa"/>
            <w:vAlign w:val="center"/>
          </w:tcPr>
          <w:p w14:paraId="1B2D5B5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W/(m²·sr)</w:t>
            </w:r>
          </w:p>
        </w:tc>
        <w:tc>
          <w:tcPr>
            <w:tcW w:w="3514" w:type="dxa"/>
            <w:vAlign w:val="center"/>
          </w:tcPr>
          <w:p w14:paraId="1980D4E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某个方向上的光有多强</w:t>
            </w:r>
          </w:p>
        </w:tc>
        <w:tc>
          <w:tcPr>
            <w:tcW w:w="2834" w:type="dxa"/>
            <w:vAlign w:val="center"/>
          </w:tcPr>
          <w:p w14:paraId="6394550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HDR/EXR、太阳盘、方向采样</w:t>
            </w:r>
          </w:p>
        </w:tc>
      </w:tr>
      <w:tr w14:paraId="3748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4DEB08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亮度 Luminance</w:t>
            </w:r>
          </w:p>
        </w:tc>
        <w:tc>
          <w:tcPr>
            <w:tcW w:w="1814" w:type="dxa"/>
            <w:vAlign w:val="center"/>
          </w:tcPr>
          <w:p w14:paraId="6FF017C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cd/m²</w:t>
            </w:r>
          </w:p>
        </w:tc>
        <w:tc>
          <w:tcPr>
            <w:tcW w:w="3514" w:type="dxa"/>
            <w:vAlign w:val="center"/>
          </w:tcPr>
          <w:p w14:paraId="1031E7C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某个方向按人眼加权后的亮度</w:t>
            </w:r>
          </w:p>
        </w:tc>
        <w:tc>
          <w:tcPr>
            <w:tcW w:w="2834" w:type="dxa"/>
            <w:vAlign w:val="center"/>
          </w:tcPr>
          <w:p w14:paraId="75A57DB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Zenith Luminance、太阳盘光度模式</w:t>
            </w:r>
          </w:p>
        </w:tc>
      </w:tr>
      <w:tr w14:paraId="550F9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F06781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立体角 Solid Angle</w:t>
            </w:r>
          </w:p>
        </w:tc>
        <w:tc>
          <w:tcPr>
            <w:tcW w:w="1814" w:type="dxa"/>
            <w:vAlign w:val="center"/>
          </w:tcPr>
          <w:p w14:paraId="1819AED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sr</w:t>
            </w:r>
          </w:p>
        </w:tc>
        <w:tc>
          <w:tcPr>
            <w:tcW w:w="3514" w:type="dxa"/>
            <w:vAlign w:val="center"/>
          </w:tcPr>
          <w:p w14:paraId="5D1C293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球面上“方向范围”的大小</w:t>
            </w:r>
          </w:p>
        </w:tc>
        <w:tc>
          <w:tcPr>
            <w:tcW w:w="2834" w:type="dxa"/>
            <w:vAlign w:val="center"/>
          </w:tcPr>
          <w:p w14:paraId="44EAFE8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太阳盘 Ωsun、天空积分</w:t>
            </w:r>
          </w:p>
        </w:tc>
      </w:tr>
    </w:tbl>
    <w:p w14:paraId="6A9061EE">
      <w:pPr>
        <w:spacing w:after="20"/>
      </w:pPr>
    </w:p>
    <w:p w14:paraId="330E156B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2.2 “方向”为什么是整个项目的核心</w:t>
      </w:r>
    </w:p>
    <w:p w14:paraId="68CC3516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CIE Sky 需要知道太阳在哪个方向；全景图需要把三维方向变成图片上的 (u,v)；透视相机需要根据 Azimuth、Elevation、Roll 算出每个像素朝向哪个方向；VTK 球也需要把同一个方向显示在正确的球面位置。因此，坐标系和方向定义必须统一。</w:t>
      </w:r>
    </w:p>
    <w:p w14:paraId="1F256D5C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3、系统总体架构</w:t>
      </w:r>
    </w:p>
    <w:p w14:paraId="05BA18CC">
      <w:pPr>
        <w:spacing w:before="0" w:after="60" w:line="300" w:lineRule="auto"/>
        <w:jc w:val="left"/>
      </w:pPr>
      <w:r>
        <w:rPr>
          <w:rFonts w:ascii="Times New Roman" w:hAnsi="Times New Roman" w:eastAsia="宋体"/>
          <w:b/>
          <w:sz w:val="20"/>
        </w:rPr>
        <w:t>3.1 CIE Sky 数据流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0"/>
      </w:tblGrid>
      <w:tr w14:paraId="4ADA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shd w:val="clear" w:color="auto" w:fill="EAF2F8"/>
            <w:vAlign w:val="center"/>
          </w:tcPr>
          <w:p w14:paraId="674563C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EPW 文件：时间、地点、DHI/DNI/GHI、照度、天顶亮度</w:t>
            </w:r>
          </w:p>
        </w:tc>
      </w:tr>
      <w:tr w14:paraId="2897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vAlign w:val="center"/>
          </w:tcPr>
          <w:p w14:paraId="6A1C71A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↓</w:t>
            </w:r>
          </w:p>
        </w:tc>
      </w:tr>
      <w:tr w14:paraId="7347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shd w:val="clear" w:color="auto" w:fill="EAF2F8"/>
            <w:vAlign w:val="center"/>
          </w:tcPr>
          <w:p w14:paraId="42322D2F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计算 EPW 报告区间中点</w:t>
            </w:r>
          </w:p>
        </w:tc>
      </w:tr>
      <w:tr w14:paraId="5869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vAlign w:val="center"/>
          </w:tcPr>
          <w:p w14:paraId="41767E96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471A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shd w:val="clear" w:color="auto" w:fill="EAF2F8"/>
            <w:vAlign w:val="center"/>
          </w:tcPr>
          <w:p w14:paraId="1C2E11F6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SunSky::SunDirection() 计算太阳 ENU 方向</w:t>
            </w:r>
          </w:p>
        </w:tc>
      </w:tr>
      <w:tr w14:paraId="2720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vAlign w:val="center"/>
          </w:tcPr>
          <w:p w14:paraId="303EE246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5B04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shd w:val="clear" w:color="auto" w:fill="EAF2F8"/>
            <w:vAlign w:val="center"/>
          </w:tcPr>
          <w:p w14:paraId="2252722C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选择 CIE 标准天空类型并计算相对分布</w:t>
            </w:r>
          </w:p>
        </w:tc>
      </w:tr>
      <w:tr w14:paraId="3AB7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vAlign w:val="center"/>
          </w:tcPr>
          <w:p w14:paraId="39D6BCFD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1824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shd w:val="clear" w:color="auto" w:fill="EAF2F8"/>
            <w:vAlign w:val="center"/>
          </w:tcPr>
          <w:p w14:paraId="5B49114A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按 DHI / 散射照度 / 天顶亮度进行绝对标定</w:t>
            </w:r>
          </w:p>
        </w:tc>
      </w:tr>
      <w:tr w14:paraId="05859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vAlign w:val="center"/>
          </w:tcPr>
          <w:p w14:paraId="75DF95AA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36F4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shd w:val="clear" w:color="auto" w:fill="EAF2F8"/>
            <w:vAlign w:val="center"/>
          </w:tcPr>
          <w:p w14:paraId="3CFDA321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 DNI / Direct Normal Illuminance 生成太阳盘</w:t>
            </w:r>
          </w:p>
        </w:tc>
      </w:tr>
      <w:tr w14:paraId="27D0A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5840" w:type="dxa"/>
            <w:vAlign w:val="center"/>
          </w:tcPr>
          <w:p w14:paraId="79A27FDE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4D982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5840" w:type="dxa"/>
            <w:shd w:val="clear" w:color="auto" w:fill="EAF2F8"/>
            <w:vAlign w:val="center"/>
          </w:tcPr>
          <w:p w14:paraId="48881814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透视渲染 + GHI / Global Illuminance 闭环验证</w:t>
            </w:r>
          </w:p>
        </w:tc>
      </w:tr>
    </w:tbl>
    <w:p w14:paraId="5330209D">
      <w:pPr>
        <w:spacing w:before="0" w:after="60" w:line="300" w:lineRule="auto"/>
        <w:jc w:val="left"/>
      </w:pPr>
      <w:r>
        <w:rPr>
          <w:rFonts w:ascii="Times New Roman" w:hAnsi="Times New Roman" w:eastAsia="宋体"/>
          <w:b/>
          <w:sz w:val="20"/>
        </w:rPr>
        <w:t>3.2 HDR / EXR 全景图数据流</w:t>
      </w:r>
    </w:p>
    <w:p w14:paraId="756CFD77">
      <w:pPr>
        <w:spacing w:before="80" w:after="60"/>
        <w:jc w:val="center"/>
      </w:pPr>
      <w:r>
        <w:drawing>
          <wp:inline distT="0" distB="0" distL="114300" distR="114300">
            <wp:extent cx="5368290" cy="27197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9CB8">
      <w:pPr>
        <w:spacing w:after="120"/>
        <w:jc w:val="center"/>
      </w:pPr>
      <w:r>
        <w:rPr>
          <w:rFonts w:eastAsia="宋体"/>
          <w:b/>
          <w:sz w:val="18"/>
        </w:rPr>
        <w:t>图3-1  CIE Sky 与 HDR/EXR 全景图的两条数据链</w:t>
      </w:r>
    </w:p>
    <w:p w14:paraId="5759EA79">
      <w:pPr>
        <w:spacing w:after="120"/>
        <w:ind w:firstLine="420"/>
      </w:pPr>
      <w:r>
        <w:rPr>
          <w:rFonts w:eastAsia="宋体"/>
        </w:rPr>
        <w:t>上面一条链是“程序自己算天空”，下面一条链是“程序读取一张真实/制作好的环境全景图”。两条链最后都要回答同一个问题：相机朝某个方向看时，这个方向应该有多亮、是什么颜色。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0"/>
      </w:tblGrid>
      <w:tr w14:paraId="43E0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shd w:val="clear" w:color="auto" w:fill="EAF2F8"/>
            <w:vAlign w:val="center"/>
          </w:tcPr>
          <w:p w14:paraId="2B6113AF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加载 HDR / EXR / PNG / JPG</w:t>
            </w:r>
          </w:p>
        </w:tc>
      </w:tr>
      <w:tr w14:paraId="669C6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6860" w:type="dxa"/>
            <w:vAlign w:val="center"/>
          </w:tcPr>
          <w:p w14:paraId="644F076B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7690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6860" w:type="dxa"/>
            <w:shd w:val="clear" w:color="auto" w:fill="EAF2F8"/>
            <w:vAlign w:val="center"/>
          </w:tcPr>
          <w:p w14:paraId="3B3C3880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转换为 HDRImage（scene-linear float）</w:t>
            </w:r>
          </w:p>
        </w:tc>
      </w:tr>
      <w:tr w14:paraId="64E7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vAlign w:val="center"/>
          </w:tcPr>
          <w:p w14:paraId="7B5117F6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0BF6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shd w:val="clear" w:color="auto" w:fill="EAF2F8"/>
            <w:vAlign w:val="center"/>
          </w:tcPr>
          <w:p w14:paraId="69ECB707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设置全景 North 在原图中的位置</w:t>
            </w:r>
          </w:p>
        </w:tc>
      </w:tr>
      <w:tr w14:paraId="07AF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vAlign w:val="center"/>
          </w:tcPr>
          <w:p w14:paraId="070CFDB3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071B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shd w:val="clear" w:color="auto" w:fill="EAF2F8"/>
            <w:vAlign w:val="center"/>
          </w:tcPr>
          <w:p w14:paraId="26C4E489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Azimuth / Elevation / Roll 构造视角</w:t>
            </w:r>
          </w:p>
        </w:tc>
      </w:tr>
      <w:tr w14:paraId="2CE3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vAlign w:val="center"/>
          </w:tcPr>
          <w:p w14:paraId="7B13F348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68129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shd w:val="clear" w:color="auto" w:fill="EAF2F8"/>
            <w:vAlign w:val="center"/>
          </w:tcPr>
          <w:p w14:paraId="2E0C5757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三维方向 -&gt; equirectangular UV</w:t>
            </w:r>
          </w:p>
        </w:tc>
      </w:tr>
      <w:tr w14:paraId="72D1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vAlign w:val="center"/>
          </w:tcPr>
          <w:p w14:paraId="17CA2ED6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↓</w:t>
            </w:r>
          </w:p>
        </w:tc>
      </w:tr>
      <w:tr w14:paraId="27CD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shd w:val="clear" w:color="auto" w:fill="EAF2F8"/>
            <w:vAlign w:val="center"/>
          </w:tcPr>
          <w:p w14:paraId="1B653C47">
            <w:pPr>
              <w:spacing w:after="0"/>
              <w:jc w:val="center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双线性采样得到 HDR 透视图</w:t>
            </w:r>
          </w:p>
        </w:tc>
      </w:tr>
      <w:tr w14:paraId="27E6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vAlign w:val="center"/>
          </w:tcPr>
          <w:p w14:paraId="0766054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↓</w:t>
            </w:r>
          </w:p>
        </w:tc>
      </w:tr>
      <w:tr w14:paraId="26239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60" w:type="dxa"/>
            <w:shd w:val="clear" w:color="auto" w:fill="EAF2F8"/>
            <w:vAlign w:val="center"/>
          </w:tcPr>
          <w:p w14:paraId="1D34A3D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Tone Mapping 后显示到 Qt / VTK</w:t>
            </w:r>
          </w:p>
        </w:tc>
      </w:tr>
    </w:tbl>
    <w:p w14:paraId="7B7E0089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4、坐标系统：ENU / NED</w:t>
      </w:r>
    </w:p>
    <w:p w14:paraId="51A1945B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4.1 默认物理坐标 ENU</w:t>
      </w:r>
    </w:p>
    <w:p w14:paraId="04CFC3B4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工程的物理层统一采用 ENU：X=East，Y=North，Z=Up。这是 CIE/EPW/SunSky 的“规范坐标”，便于直接理解太阳方位与高度。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C11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00" w:type="dxa"/>
            <w:shd w:val="clear" w:color="auto" w:fill="D9EAF7"/>
            <w:vAlign w:val="center"/>
          </w:tcPr>
          <w:p w14:paraId="4F9908C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轴</w:t>
            </w:r>
          </w:p>
        </w:tc>
        <w:tc>
          <w:tcPr>
            <w:tcW w:w="3401" w:type="dxa"/>
            <w:shd w:val="clear" w:color="auto" w:fill="D9EAF7"/>
            <w:vAlign w:val="center"/>
          </w:tcPr>
          <w:p w14:paraId="0A3043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ENU 含义</w:t>
            </w:r>
          </w:p>
        </w:tc>
        <w:tc>
          <w:tcPr>
            <w:tcW w:w="3401" w:type="dxa"/>
            <w:shd w:val="clear" w:color="auto" w:fill="D9EAF7"/>
            <w:vAlign w:val="center"/>
          </w:tcPr>
          <w:p w14:paraId="0A601DC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NED 含义</w:t>
            </w:r>
          </w:p>
        </w:tc>
      </w:tr>
      <w:tr w14:paraId="1E437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8A04D1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+X</w:t>
            </w:r>
          </w:p>
        </w:tc>
        <w:tc>
          <w:tcPr>
            <w:tcW w:w="3401" w:type="dxa"/>
            <w:vAlign w:val="center"/>
          </w:tcPr>
          <w:p w14:paraId="01772C7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East</w:t>
            </w:r>
          </w:p>
        </w:tc>
        <w:tc>
          <w:tcPr>
            <w:tcW w:w="3401" w:type="dxa"/>
            <w:vAlign w:val="center"/>
          </w:tcPr>
          <w:p w14:paraId="27A001E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North</w:t>
            </w:r>
          </w:p>
        </w:tc>
      </w:tr>
      <w:tr w14:paraId="0968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B999C2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+Y</w:t>
            </w:r>
          </w:p>
        </w:tc>
        <w:tc>
          <w:tcPr>
            <w:tcW w:w="3401" w:type="dxa"/>
            <w:vAlign w:val="center"/>
          </w:tcPr>
          <w:p w14:paraId="3A80446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North</w:t>
            </w:r>
          </w:p>
        </w:tc>
        <w:tc>
          <w:tcPr>
            <w:tcW w:w="3401" w:type="dxa"/>
            <w:vAlign w:val="center"/>
          </w:tcPr>
          <w:p w14:paraId="6495352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East</w:t>
            </w:r>
          </w:p>
        </w:tc>
      </w:tr>
      <w:tr w14:paraId="6CDCA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8AFBE6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+Z</w:t>
            </w:r>
          </w:p>
        </w:tc>
        <w:tc>
          <w:tcPr>
            <w:tcW w:w="3401" w:type="dxa"/>
            <w:vAlign w:val="center"/>
          </w:tcPr>
          <w:p w14:paraId="4123EB9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Up</w:t>
            </w:r>
          </w:p>
        </w:tc>
        <w:tc>
          <w:tcPr>
            <w:tcW w:w="3401" w:type="dxa"/>
            <w:vAlign w:val="center"/>
          </w:tcPr>
          <w:p w14:paraId="1EEA8CD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Down</w:t>
            </w:r>
          </w:p>
        </w:tc>
      </w:tr>
    </w:tbl>
    <w:p w14:paraId="5F25DBE8">
      <w:pPr>
        <w:spacing w:after="20"/>
      </w:pPr>
    </w:p>
    <w:p w14:paraId="26B60BF0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NED = (N, E, D) = (ENU.y, ENU.x, -ENU.z)</w:t>
      </w:r>
    </w:p>
    <w:p w14:paraId="57BBE5B6">
      <w:pPr>
        <w:spacing w:after="100"/>
        <w:jc w:val="center"/>
      </w:pPr>
      <w:r>
        <w:rPr>
          <w:rFonts w:ascii="Times New Roman" w:hAnsi="Times New Roman" w:eastAsia="宋体"/>
          <w:color w:val="5A5A5A"/>
          <w:sz w:val="18"/>
        </w:rPr>
        <w:t>对应 coordinate_system.h 中的 ENU ↔ NED 转换</w:t>
      </w:r>
    </w:p>
    <w:p w14:paraId="400420F7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4.2 Azimuth / Elevation 的统一语义</w:t>
      </w:r>
    </w:p>
    <w:p w14:paraId="26DFAA8E">
      <w:pPr>
        <w:spacing w:before="80" w:after="60"/>
        <w:jc w:val="center"/>
      </w:pPr>
      <w:r>
        <w:drawing>
          <wp:inline distT="0" distB="0" distL="114300" distR="114300">
            <wp:extent cx="5715000" cy="265303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0C21">
      <w:pPr>
        <w:spacing w:after="120"/>
        <w:jc w:val="center"/>
      </w:pPr>
      <w:r>
        <w:rPr>
          <w:rFonts w:eastAsia="宋体"/>
          <w:b/>
          <w:sz w:val="18"/>
        </w:rPr>
        <w:t>图4-1  ENU 与 NED 坐标轴约定</w:t>
      </w:r>
    </w:p>
    <w:p w14:paraId="12EBA995">
      <w:pPr>
        <w:spacing w:after="120"/>
        <w:ind w:firstLine="420"/>
      </w:pPr>
      <w:r>
        <w:rPr>
          <w:rFonts w:eastAsia="宋体"/>
        </w:rPr>
        <w:t>记忆方法：ENU 可以直接记成 East、North、Up；NED 可以直接记成 North、East、Down。项目的物理计算优先在 ENU 中进行，只有在需要按 NED 表达世界坐标时才转换，因此 CIE 天空中“Up”始终不会因为切换坐标系而混乱。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0"/>
        <w:gridCol w:w="2910"/>
      </w:tblGrid>
      <w:tr w14:paraId="5613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tblHeader/>
          <w:jc w:val="center"/>
        </w:trPr>
        <w:tc>
          <w:tcPr>
            <w:tcW w:w="2910" w:type="dxa"/>
            <w:shd w:val="clear" w:color="auto" w:fill="D9EAF7"/>
            <w:vAlign w:val="center"/>
          </w:tcPr>
          <w:p w14:paraId="56C485E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角度</w:t>
            </w:r>
          </w:p>
        </w:tc>
        <w:tc>
          <w:tcPr>
            <w:tcW w:w="2910" w:type="dxa"/>
            <w:shd w:val="clear" w:color="auto" w:fill="D9EAF7"/>
            <w:vAlign w:val="center"/>
          </w:tcPr>
          <w:p w14:paraId="4EB065A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</w:tr>
      <w:tr w14:paraId="574DF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910" w:type="dxa"/>
            <w:vAlign w:val="center"/>
          </w:tcPr>
          <w:p w14:paraId="1C4C82F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Az=0°</w:t>
            </w:r>
          </w:p>
        </w:tc>
        <w:tc>
          <w:tcPr>
            <w:tcW w:w="2910" w:type="dxa"/>
            <w:vAlign w:val="center"/>
          </w:tcPr>
          <w:p w14:paraId="7A71FE6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North</w:t>
            </w:r>
          </w:p>
        </w:tc>
      </w:tr>
      <w:tr w14:paraId="2BFC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910" w:type="dxa"/>
            <w:vAlign w:val="center"/>
          </w:tcPr>
          <w:p w14:paraId="137C6BA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Az=90°</w:t>
            </w:r>
          </w:p>
        </w:tc>
        <w:tc>
          <w:tcPr>
            <w:tcW w:w="2910" w:type="dxa"/>
            <w:vAlign w:val="center"/>
          </w:tcPr>
          <w:p w14:paraId="6E047F4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East</w:t>
            </w:r>
          </w:p>
        </w:tc>
      </w:tr>
      <w:tr w14:paraId="284F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910" w:type="dxa"/>
            <w:vAlign w:val="center"/>
          </w:tcPr>
          <w:p w14:paraId="75536F7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Az=180°</w:t>
            </w:r>
          </w:p>
        </w:tc>
        <w:tc>
          <w:tcPr>
            <w:tcW w:w="2910" w:type="dxa"/>
            <w:vAlign w:val="center"/>
          </w:tcPr>
          <w:p w14:paraId="3547BCC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South</w:t>
            </w:r>
          </w:p>
        </w:tc>
      </w:tr>
      <w:tr w14:paraId="0F96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910" w:type="dxa"/>
            <w:vAlign w:val="center"/>
          </w:tcPr>
          <w:p w14:paraId="649B8EF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Az=270°</w:t>
            </w:r>
          </w:p>
        </w:tc>
        <w:tc>
          <w:tcPr>
            <w:tcW w:w="2910" w:type="dxa"/>
            <w:vAlign w:val="center"/>
          </w:tcPr>
          <w:p w14:paraId="63946DA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West</w:t>
            </w:r>
          </w:p>
        </w:tc>
      </w:tr>
      <w:tr w14:paraId="3D9F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910" w:type="dxa"/>
            <w:vAlign w:val="center"/>
          </w:tcPr>
          <w:p w14:paraId="732C9BD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Elevation&gt;0</w:t>
            </w:r>
          </w:p>
        </w:tc>
        <w:tc>
          <w:tcPr>
            <w:tcW w:w="2910" w:type="dxa"/>
            <w:vAlign w:val="center"/>
          </w:tcPr>
          <w:p w14:paraId="4E59BE0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抬头 / 向上</w:t>
            </w:r>
          </w:p>
        </w:tc>
      </w:tr>
      <w:tr w14:paraId="1714E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2910" w:type="dxa"/>
            <w:vAlign w:val="center"/>
          </w:tcPr>
          <w:p w14:paraId="0DDA0C3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Elevation&lt;0</w:t>
            </w:r>
          </w:p>
        </w:tc>
        <w:tc>
          <w:tcPr>
            <w:tcW w:w="2910" w:type="dxa"/>
            <w:vAlign w:val="center"/>
          </w:tcPr>
          <w:p w14:paraId="3363429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低头 / 向下</w:t>
            </w:r>
          </w:p>
        </w:tc>
      </w:tr>
    </w:tbl>
    <w:p w14:paraId="455F5F9C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d_ENU = (cos(e)·sin(a),  cos(e)·cos(a),  sin(e))</w:t>
      </w:r>
    </w:p>
    <w:p w14:paraId="701FD220">
      <w:pPr>
        <w:spacing w:after="100"/>
        <w:jc w:val="center"/>
      </w:pPr>
      <w:r>
        <w:rPr>
          <w:rFonts w:ascii="Times New Roman" w:hAnsi="Times New Roman" w:eastAsia="宋体"/>
          <w:color w:val="5A5A5A"/>
          <w:sz w:val="18"/>
        </w:rPr>
        <w:t>a=Azimuth，e=Elevation</w:t>
      </w:r>
    </w:p>
    <w:p w14:paraId="66B8DA92">
      <w:pPr>
        <w:spacing w:before="0" w:after="40" w:line="300" w:lineRule="auto"/>
        <w:jc w:val="left"/>
      </w:pPr>
      <w:r>
        <w:rPr>
          <w:rFonts w:ascii="Times New Roman" w:hAnsi="Times New Roman" w:eastAsia="宋体"/>
          <w:b/>
          <w:sz w:val="19"/>
        </w:rPr>
        <w:t>对应代码逻辑（coordinate_system.h）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2B641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072DE01C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directionENURadians(azimuth, elevation, out):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ce = cos(elevation)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out.E = ce * sin(azimuth)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out.N = ce * cos(azimuth)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out.U = sin(elevation)</w:t>
            </w:r>
          </w:p>
        </w:tc>
      </w:tr>
      <w:tr w14:paraId="6483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</w:tcPr>
          <w:p w14:paraId="4E590515">
            <w:pPr>
              <w:spacing w:after="40"/>
            </w:pPr>
            <w:r>
              <w:rPr>
                <w:rFonts w:ascii="Times New Roman" w:hAnsi="Times New Roman" w:eastAsia="宋体"/>
                <w:b/>
                <w:sz w:val="19"/>
              </w:rPr>
              <w:t>小白提示：为什么物理层不要直接改成 NED</w:t>
            </w:r>
            <w:r>
              <w:rPr>
                <w:rFonts w:ascii="Times New Roman" w:hAnsi="Times New Roman" w:eastAsia="宋体"/>
                <w:b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sz w:val="19"/>
              </w:rPr>
              <w:t>CIE Sky 内部经常用 direction.z()&gt;0 判断“是否在天空上半球”。在 ENU 中 +Z 就是 Up，判断非常自然；如果把 NED 向量直接塞进去，+Z 变成 Down，会把天空和地面搞反。所以 NED 只在世界显示边界转换。</w:t>
            </w:r>
          </w:p>
        </w:tc>
      </w:tr>
    </w:tbl>
    <w:p w14:paraId="22B67CFE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5、EPW 气象数据与太阳位置</w:t>
      </w:r>
    </w:p>
    <w:p w14:paraId="22C264F6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5.1 项目重点使用的 EPW 字段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2246"/>
        <w:gridCol w:w="2246"/>
      </w:tblGrid>
      <w:tr w14:paraId="7F85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tblHeader/>
          <w:jc w:val="center"/>
        </w:trPr>
        <w:tc>
          <w:tcPr>
            <w:tcW w:w="2246" w:type="dxa"/>
            <w:shd w:val="clear" w:color="auto" w:fill="D9EAF7"/>
            <w:vAlign w:val="center"/>
          </w:tcPr>
          <w:p w14:paraId="0D9F231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2246" w:type="dxa"/>
            <w:shd w:val="clear" w:color="auto" w:fill="D9EAF7"/>
            <w:vAlign w:val="center"/>
          </w:tcPr>
          <w:p w14:paraId="40F569C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原始意义</w:t>
            </w:r>
          </w:p>
        </w:tc>
        <w:tc>
          <w:tcPr>
            <w:tcW w:w="2246" w:type="dxa"/>
            <w:shd w:val="clear" w:color="auto" w:fill="D9EAF7"/>
            <w:vAlign w:val="center"/>
          </w:tcPr>
          <w:p w14:paraId="73DC86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在 envLight 中的用途</w:t>
            </w:r>
          </w:p>
        </w:tc>
      </w:tr>
      <w:tr w14:paraId="2AB9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246" w:type="dxa"/>
            <w:vAlign w:val="center"/>
          </w:tcPr>
          <w:p w14:paraId="5C83A30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DHI</w:t>
            </w:r>
          </w:p>
        </w:tc>
        <w:tc>
          <w:tcPr>
            <w:tcW w:w="2246" w:type="dxa"/>
            <w:vAlign w:val="center"/>
          </w:tcPr>
          <w:p w14:paraId="7237838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Diffuse Horizontal Radiation</w:t>
            </w:r>
          </w:p>
        </w:tc>
        <w:tc>
          <w:tcPr>
            <w:tcW w:w="2246" w:type="dxa"/>
            <w:vAlign w:val="center"/>
          </w:tcPr>
          <w:p w14:paraId="01DFC53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散射天空辐照度标定目标</w:t>
            </w:r>
          </w:p>
        </w:tc>
      </w:tr>
      <w:tr w14:paraId="4F52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246" w:type="dxa"/>
            <w:vAlign w:val="center"/>
          </w:tcPr>
          <w:p w14:paraId="5ADB8F3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DNI</w:t>
            </w:r>
          </w:p>
        </w:tc>
        <w:tc>
          <w:tcPr>
            <w:tcW w:w="2246" w:type="dxa"/>
            <w:vAlign w:val="center"/>
          </w:tcPr>
          <w:p w14:paraId="1EA1577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Direct Normal Radiation</w:t>
            </w:r>
          </w:p>
        </w:tc>
        <w:tc>
          <w:tcPr>
            <w:tcW w:w="2246" w:type="dxa"/>
            <w:vAlign w:val="center"/>
          </w:tcPr>
          <w:p w14:paraId="76D0A3C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太阳直射法向辐照度目标</w:t>
            </w:r>
          </w:p>
        </w:tc>
      </w:tr>
      <w:tr w14:paraId="4D13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246" w:type="dxa"/>
            <w:vAlign w:val="center"/>
          </w:tcPr>
          <w:p w14:paraId="3BB3389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GHI</w:t>
            </w:r>
          </w:p>
        </w:tc>
        <w:tc>
          <w:tcPr>
            <w:tcW w:w="2246" w:type="dxa"/>
            <w:vAlign w:val="center"/>
          </w:tcPr>
          <w:p w14:paraId="3E0D2C9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Global Horizontal Radiation</w:t>
            </w:r>
          </w:p>
        </w:tc>
        <w:tc>
          <w:tcPr>
            <w:tcW w:w="2246" w:type="dxa"/>
            <w:vAlign w:val="center"/>
          </w:tcPr>
          <w:p w14:paraId="6FB11D8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辐射闭环验证</w:t>
            </w:r>
          </w:p>
        </w:tc>
      </w:tr>
      <w:tr w14:paraId="76A2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246" w:type="dxa"/>
            <w:vAlign w:val="center"/>
          </w:tcPr>
          <w:p w14:paraId="0E701C0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Diffuse Horizontal Illuminance</w:t>
            </w:r>
          </w:p>
        </w:tc>
        <w:tc>
          <w:tcPr>
            <w:tcW w:w="2246" w:type="dxa"/>
            <w:vAlign w:val="center"/>
          </w:tcPr>
          <w:p w14:paraId="73EAC17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散射水平照度</w:t>
            </w:r>
          </w:p>
        </w:tc>
        <w:tc>
          <w:tcPr>
            <w:tcW w:w="2246" w:type="dxa"/>
            <w:vAlign w:val="center"/>
          </w:tcPr>
          <w:p w14:paraId="77A48C8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光度天空标定目标</w:t>
            </w:r>
          </w:p>
        </w:tc>
      </w:tr>
      <w:tr w14:paraId="7272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246" w:type="dxa"/>
            <w:vAlign w:val="center"/>
          </w:tcPr>
          <w:p w14:paraId="1BC66E8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Direct Normal Illuminance</w:t>
            </w:r>
          </w:p>
        </w:tc>
        <w:tc>
          <w:tcPr>
            <w:tcW w:w="2246" w:type="dxa"/>
            <w:vAlign w:val="center"/>
          </w:tcPr>
          <w:p w14:paraId="49351E7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直射法向照度</w:t>
            </w:r>
          </w:p>
        </w:tc>
        <w:tc>
          <w:tcPr>
            <w:tcW w:w="2246" w:type="dxa"/>
            <w:vAlign w:val="center"/>
          </w:tcPr>
          <w:p w14:paraId="4B1ABC2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太阳盘光度目标</w:t>
            </w:r>
          </w:p>
        </w:tc>
      </w:tr>
      <w:tr w14:paraId="2EEA1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246" w:type="dxa"/>
            <w:vAlign w:val="center"/>
          </w:tcPr>
          <w:p w14:paraId="444A2F6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Global Horizontal Illuminance</w:t>
            </w:r>
          </w:p>
        </w:tc>
        <w:tc>
          <w:tcPr>
            <w:tcW w:w="2246" w:type="dxa"/>
            <w:vAlign w:val="center"/>
          </w:tcPr>
          <w:p w14:paraId="2D42CD2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水平总照度</w:t>
            </w:r>
          </w:p>
        </w:tc>
        <w:tc>
          <w:tcPr>
            <w:tcW w:w="2246" w:type="dxa"/>
            <w:vAlign w:val="center"/>
          </w:tcPr>
          <w:p w14:paraId="4FC94CC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光度闭环验证</w:t>
            </w:r>
          </w:p>
        </w:tc>
      </w:tr>
      <w:tr w14:paraId="3A1A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2246" w:type="dxa"/>
            <w:vAlign w:val="center"/>
          </w:tcPr>
          <w:p w14:paraId="0BA86AA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Zenith Luminance</w:t>
            </w:r>
          </w:p>
        </w:tc>
        <w:tc>
          <w:tcPr>
            <w:tcW w:w="2246" w:type="dxa"/>
            <w:vAlign w:val="center"/>
          </w:tcPr>
          <w:p w14:paraId="744B345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天顶亮度</w:t>
            </w:r>
          </w:p>
        </w:tc>
        <w:tc>
          <w:tcPr>
            <w:tcW w:w="2246" w:type="dxa"/>
            <w:vAlign w:val="center"/>
          </w:tcPr>
          <w:p w14:paraId="54750BC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第三种天空标定目标</w:t>
            </w:r>
          </w:p>
        </w:tc>
      </w:tr>
    </w:tbl>
    <w:p w14:paraId="1EE5E5A8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EPW 的 Radiation 字段是报告区间累计的 Wh/m²。若每小时有 recordsPerHour 条记录，则区间平均功率约为：Radiation(W/m²)=EPW(Wh/m²)×recordsPerHour。照度和天顶亮度不需要做这个换算。</w:t>
      </w:r>
    </w:p>
    <w:p w14:paraId="1632684A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5.2 太阳高度不是 EPW 直接给的</w:t>
      </w:r>
    </w:p>
    <w:p w14:paraId="23CB470E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程序不是从 EPW 的 GHI/DNI/DHI 反推太阳高度，而是用站点纬度、经度、时区、日期和记录代表的时间点进行天文计算。先求太阳 ENU 单位向量，再由 Z/Up 分量计算高度角。</w:t>
      </w:r>
    </w:p>
    <w:p w14:paraId="396CEFCC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Elevation = asin(Up)</w:t>
      </w:r>
    </w:p>
    <w:p w14:paraId="3E4BC28D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Azimuth = atan2(East, North)</w:t>
      </w:r>
    </w:p>
    <w:p w14:paraId="0349B697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5.3 EPW 报告区间中点</w:t>
      </w:r>
    </w:p>
    <w:p w14:paraId="15C937BA">
      <w:pPr>
        <w:spacing w:before="80" w:after="60"/>
        <w:jc w:val="center"/>
      </w:pPr>
      <w:r>
        <w:drawing>
          <wp:inline distT="0" distB="0" distL="114300" distR="114300">
            <wp:extent cx="5422265" cy="2169160"/>
            <wp:effectExtent l="0" t="0" r="698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F9DB">
      <w:pPr>
        <w:spacing w:after="120"/>
        <w:jc w:val="center"/>
      </w:pPr>
      <w:r>
        <w:rPr>
          <w:rFonts w:eastAsia="宋体"/>
          <w:b/>
          <w:sz w:val="18"/>
        </w:rPr>
        <w:t>图5-1  EPW 时间与地点如何变成太阳方位角和高度角</w:t>
      </w:r>
    </w:p>
    <w:p w14:paraId="41A9D438">
      <w:pPr>
        <w:spacing w:after="120"/>
        <w:ind w:firstLine="420"/>
      </w:pPr>
      <w:r>
        <w:rPr>
          <w:rFonts w:eastAsia="宋体"/>
        </w:rPr>
        <w:t>关键点：EPW 给的是地点和气象记录，不直接给“太阳高度”。程序先确定记录代表的时间点，再通过 SunDirection() 求出太阳在 ENU 中的单位向量，最后从 East/North/Up 三个分量得到 Azimuth 和 Elevation。</w:t>
      </w:r>
    </w:p>
    <w:p w14:paraId="448E03DF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对逐小时数据，Hour=13 并不意味着简单拿 13:00 做太阳位置。当前代码将记录理解为一个报告区间，并使用区间中点代表该时段。对常见 TMY3 的 Minute=0，兼容为该小时结束边界 60 分。</w:t>
      </w:r>
    </w:p>
    <w:p w14:paraId="53C413BA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t_mid = t_end - 1 / (2·recordsPerHour)</w:t>
      </w:r>
    </w:p>
    <w:p w14:paraId="6950B75A">
      <w:pPr>
        <w:spacing w:before="0" w:after="40" w:line="300" w:lineRule="auto"/>
        <w:jc w:val="left"/>
      </w:pPr>
      <w:r>
        <w:rPr>
          <w:rFonts w:ascii="Times New Roman" w:hAnsi="Times New Roman" w:eastAsia="宋体"/>
          <w:b/>
          <w:sz w:val="19"/>
        </w:rPr>
        <w:t>CIEWidget.cpp 中的时间处理伪代码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2A68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0636FFDF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epwMidpointHour(record):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minute2 = (record.minute &lt;= 0) ? 60 : clamp(record.minute, 1, 60)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endHour = (record.hour - 1) + minute2 / 60.0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return endHour - 0.5 / recordsPerHour</w:t>
            </w:r>
          </w:p>
        </w:tc>
      </w:tr>
    </w:tbl>
    <w:p w14:paraId="4F04BDB5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6、CIE Sky 功能与数学原理</w:t>
      </w:r>
    </w:p>
    <w:p w14:paraId="61DEE128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6.1 CIE Sky 在做什么</w:t>
      </w:r>
    </w:p>
    <w:p w14:paraId="4E81BDA4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CIE 标准天空不是直接给一张图片，而是给一个数学分布：输入“天空中的某个方向”和“太阳方向”，输出该方向相对天顶有多亮。不同的 CIE sky type 对应不同的晴天、阴天或中间状态。</w:t>
      </w:r>
    </w:p>
    <w:p w14:paraId="7EA3CCC9">
      <w:pPr>
        <w:pStyle w:val="107"/>
        <w:keepNext/>
        <w:spacing w:before="140" w:after="100"/>
        <w:rPr>
          <w:rFonts w:ascii="Times New Roman" w:hAnsi="Times New Roman" w:eastAsia="宋体"/>
          <w:b/>
          <w:sz w:val="26"/>
        </w:rPr>
      </w:pPr>
      <w:r>
        <w:rPr>
          <w:rFonts w:ascii="Times New Roman" w:hAnsi="Times New Roman" w:eastAsia="宋体"/>
          <w:b/>
          <w:sz w:val="26"/>
        </w:rPr>
        <w:t>6.2 看图：先认清三个方向与三个角</w:t>
      </w:r>
    </w:p>
    <w:p w14:paraId="65219B1E">
      <w:pPr>
        <w:spacing w:before="80" w:after="60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8430">
      <w:pPr>
        <w:spacing w:after="120"/>
        <w:jc w:val="center"/>
      </w:pPr>
      <w:r>
        <w:rPr>
          <w:rFonts w:eastAsia="宋体"/>
          <w:b/>
          <w:sz w:val="18"/>
        </w:rPr>
        <w:t>图6-1  CIE Sky 中 Up、天空采样方向 P、太阳方向 S 以及 z、Zs、χ 的三维关系</w:t>
      </w:r>
    </w:p>
    <w:p w14:paraId="4B8A5755">
      <w:pPr>
        <w:spacing w:after="120"/>
        <w:ind w:firstLine="420"/>
      </w:pPr>
      <w:r>
        <w:rPr>
          <w:rFonts w:eastAsia="宋体"/>
        </w:rPr>
        <w:t>看图时先不要急着看公式，只记住三个方向：Z 是天顶 Up；P 是“当前正在计算亮度的那一个天空方向”；S 是太阳方向。程序会对天空中的很多 P 逐个计算，因此 P 会不断变化，而 S 在某一个时刻通常固定。</w:t>
      </w:r>
    </w:p>
    <w:p w14:paraId="7718A938">
      <w:pPr>
        <w:spacing w:after="120"/>
        <w:ind w:firstLine="420"/>
      </w:pPr>
      <w:r>
        <w:rPr>
          <w:rFonts w:eastAsia="宋体"/>
        </w:rPr>
        <w:t>z（天顶角）回答“P 离头顶有多远？”。当 P 就在天顶时 z=0°；P 越接近地平线，z 越接近 90°。所以 z 主要控制天空从天顶到地平线的亮度梯度。</w:t>
      </w:r>
    </w:p>
    <w:p w14:paraId="59650F9D">
      <w:pPr>
        <w:spacing w:after="120"/>
        <w:ind w:firstLine="420"/>
      </w:pPr>
      <w:r>
        <w:rPr>
          <w:rFonts w:eastAsia="宋体"/>
        </w:rPr>
        <w:t>χ（chi）回答“P 离太阳有多远？”。P 越靠近太阳，χ 越小；P 与太阳方向完全重合时 χ=0°。所以 χ 主要控制太阳附近的散射增强、光晕或明亮区域。</w:t>
      </w:r>
    </w:p>
    <w:p w14:paraId="65E7E653">
      <w:pPr>
        <w:spacing w:after="120"/>
        <w:ind w:firstLine="420"/>
      </w:pPr>
      <w:r>
        <w:rPr>
          <w:rFonts w:eastAsia="宋体"/>
        </w:rPr>
        <w:t>Zs 是太阳自己的天顶角，它不是当前天空采样点 P 的角。它回答“太阳离天顶有多远？”，在相对亮度公式中主要用于天顶归一化。</w:t>
      </w:r>
    </w:p>
    <w:p w14:paraId="1E0DBECD">
      <w:pPr>
        <w:pStyle w:val="107"/>
        <w:keepNext/>
        <w:spacing w:before="140" w:after="100"/>
        <w:rPr>
          <w:rFonts w:ascii="Times New Roman" w:hAnsi="Times New Roman" w:eastAsia="宋体"/>
          <w:b/>
          <w:sz w:val="26"/>
        </w:rPr>
      </w:pPr>
      <w:r>
        <w:rPr>
          <w:rFonts w:ascii="Times New Roman" w:hAnsi="Times New Roman" w:eastAsia="宋体"/>
          <w:b/>
          <w:sz w:val="26"/>
        </w:rPr>
        <w:t>6.3 公式：从三个方向得到三个角</w:t>
      </w:r>
    </w:p>
    <w:p w14:paraId="0A9AB21D">
      <w:pPr>
        <w:spacing w:after="120"/>
        <w:ind w:firstLine="420"/>
      </w:pPr>
      <w:r>
        <w:rPr>
          <w:rFonts w:eastAsia="宋体"/>
        </w:rPr>
        <w:t>因为 P、S、Z 都按单位向量处理，两个单位向量的点积就是夹角余弦。ENU 中 Z=(0,0,1)，所以 z 和 Zs 还可以直接由向量的 Up/Z 分量得到。</w:t>
      </w:r>
    </w:p>
    <w:p w14:paraId="337C2A2C">
      <w:pPr>
        <w:spacing w:before="60" w:after="80"/>
        <w:jc w:val="center"/>
      </w:pPr>
      <w:r>
        <w:rPr>
          <w:rFonts w:eastAsia="等线"/>
          <w:b/>
          <w:sz w:val="22"/>
        </w:rPr>
        <w:t>z = acos(P · Z) = acos(P.z)</w:t>
      </w:r>
    </w:p>
    <w:p w14:paraId="11BE0CF4">
      <w:pPr>
        <w:spacing w:before="60" w:after="80"/>
        <w:jc w:val="center"/>
      </w:pPr>
      <w:r>
        <w:rPr>
          <w:rFonts w:eastAsia="等线"/>
          <w:b/>
          <w:sz w:val="22"/>
        </w:rPr>
        <w:t>Zs = acos(S · Z) = acos(S.z)</w:t>
      </w:r>
    </w:p>
    <w:p w14:paraId="780119B9">
      <w:pPr>
        <w:spacing w:before="60" w:after="80"/>
        <w:jc w:val="center"/>
      </w:pPr>
      <w:r>
        <w:rPr>
          <w:rFonts w:eastAsia="等线"/>
          <w:b/>
          <w:sz w:val="22"/>
        </w:rPr>
        <w:t>χ = acos(P · S)</w:t>
      </w:r>
    </w:p>
    <w:p w14:paraId="1DFAD022">
      <w:pPr>
        <w:spacing w:after="120"/>
        <w:ind w:firstLine="420"/>
      </w:pPr>
      <w:r>
        <w:rPr>
          <w:rFonts w:eastAsia="宋体"/>
        </w:rPr>
        <w:t>注意：χ 是真正的三维夹角，不只是比较两个方向的 Elevation。即使两个天空点高度相同，只要 Azimuth 不同，它们离太阳的角距离 χ 也可能完全不同。</w:t>
      </w:r>
    </w:p>
    <w:p w14:paraId="1921E0BC">
      <w:pPr>
        <w:pStyle w:val="107"/>
        <w:keepNext/>
        <w:spacing w:before="140" w:after="100"/>
        <w:rPr>
          <w:rFonts w:ascii="Times New Roman" w:hAnsi="Times New Roman" w:eastAsia="宋体"/>
          <w:b/>
          <w:sz w:val="26"/>
        </w:rPr>
      </w:pPr>
      <w:r>
        <w:rPr>
          <w:rFonts w:ascii="Times New Roman" w:hAnsi="Times New Roman" w:eastAsia="宋体"/>
          <w:b/>
          <w:sz w:val="26"/>
        </w:rPr>
        <w:t>6.4 两个核心函数：φ(z) 与 f(χ)</w:t>
      </w:r>
    </w:p>
    <w:p w14:paraId="73552804">
      <w:pPr>
        <w:spacing w:after="120"/>
        <w:ind w:firstLine="420"/>
      </w:pPr>
      <w:r>
        <w:rPr>
          <w:rFonts w:eastAsia="宋体"/>
        </w:rPr>
        <w:t>CIE 标准天空把“高度方向的变化”和“太阳附近的变化”拆成两个函数。φ(z) 只看 z，因此它主要描述从天顶到地平线的亮度梯度；f(χ) 只看 χ，因此它主要描述一个天空方向相对太阳的位置关系。</w:t>
      </w:r>
    </w:p>
    <w:p w14:paraId="3AA83ABE">
      <w:pPr>
        <w:spacing w:before="60" w:after="80"/>
        <w:jc w:val="center"/>
      </w:pPr>
      <w:r>
        <w:rPr>
          <w:rFonts w:eastAsia="等线"/>
          <w:b/>
          <w:sz w:val="22"/>
        </w:rPr>
        <w:t>φ(z) = 1 + a · exp(b / cos(z))</w:t>
      </w:r>
    </w:p>
    <w:p w14:paraId="6659E1F2">
      <w:pPr>
        <w:spacing w:before="60" w:after="80"/>
        <w:jc w:val="center"/>
      </w:pPr>
      <w:r>
        <w:rPr>
          <w:rFonts w:eastAsia="等线"/>
          <w:b/>
          <w:sz w:val="22"/>
        </w:rPr>
        <w:t>f(χ) = 1 + c · [exp(dχ) - exp(dπ/2)] + e · cos²(χ)</w:t>
      </w:r>
    </w:p>
    <w:p w14:paraId="1C4F02DB">
      <w:pPr>
        <w:spacing w:after="120"/>
        <w:ind w:firstLine="420"/>
      </w:pPr>
      <w:r>
        <w:rPr>
          <w:rFonts w:eastAsia="宋体"/>
        </w:rPr>
        <w:t>最后把两个效果相乘，并除以天顶方向对应的值，使“天顶的相对亮度=1”。太阳天顶角 Zs 就在这个归一化分母里出现。</w:t>
      </w:r>
    </w:p>
    <w:p w14:paraId="659204BC">
      <w:pPr>
        <w:spacing w:before="60" w:after="80"/>
        <w:jc w:val="center"/>
      </w:pPr>
      <w:r>
        <w:rPr>
          <w:rFonts w:eastAsia="等线"/>
          <w:b/>
          <w:sz w:val="22"/>
        </w:rPr>
        <w:t>L_rel(P) = φ(z) · f(χ) / [φ(0) · f(Zs)]</w:t>
      </w:r>
    </w:p>
    <w:p w14:paraId="5DD52384">
      <w:pPr>
        <w:spacing w:after="120"/>
        <w:ind w:firstLine="420"/>
      </w:pPr>
      <w:r>
        <w:rPr>
          <w:rFonts w:eastAsia="宋体"/>
        </w:rPr>
        <w:t>直观地说：某个天空方向 P 的相对亮度 = “它处于天顶/地平线哪个高度带” × “它离太阳有多近”，再用天顶值统一归一化。a、b、c、d、e 决定这种梯度和散射增强到底有多强，对应不同 CIE Sky Type。</w:t>
      </w:r>
    </w:p>
    <w:p w14:paraId="7D567291">
      <w:pPr>
        <w:pStyle w:val="107"/>
        <w:keepNext/>
        <w:spacing w:before="140" w:after="100"/>
        <w:rPr>
          <w:rFonts w:ascii="Times New Roman" w:hAnsi="Times New Roman" w:eastAsia="宋体"/>
          <w:b/>
          <w:sz w:val="26"/>
        </w:rPr>
      </w:pPr>
      <w:r>
        <w:rPr>
          <w:rFonts w:ascii="Times New Roman" w:hAnsi="Times New Roman" w:eastAsia="宋体"/>
          <w:b/>
          <w:sz w:val="26"/>
        </w:rPr>
        <w:t>6.5 代码对应：SunSky.cpp 在做什么</w:t>
      </w:r>
    </w:p>
    <w:p w14:paraId="151D6C8B">
      <w:pPr>
        <w:spacing w:after="120"/>
        <w:ind w:firstLine="420"/>
      </w:pPr>
      <w:r>
        <w:rPr>
          <w:rFonts w:eastAsia="宋体"/>
        </w:rPr>
        <w:t>下面是与当前 SunSky.cpp 函数命名对应的逻辑化代码。为了方便理解，省略了具体向量类型和边界保护；实际代码应对 dot 值做 [-1,1] clamp，防止浮点误差导致 acos() 非法。</w:t>
      </w:r>
    </w:p>
    <w:p w14:paraId="696AFC79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80" w:after="160"/>
        <w:ind w:left="360" w:right="240" w:firstLine="0"/>
      </w:pPr>
      <w:r>
        <w:rPr>
          <w:rFonts w:ascii="Consolas" w:hAnsi="Consolas" w:eastAsia="等线"/>
          <w:sz w:val="16"/>
        </w:rPr>
        <w:t>// P：当前天空采样方向；S：太阳方向；Z：ENU Up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P = normalize(P);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S = normalize(S);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Z = (0, 0, 1);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z   = acos(clamp(dot(P, Z), -1, 1));   // 等价于 acos(P.z)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Zs  = acos(clamp(dot(S, Z), -1, 1));   // 等价于 acos(S.z)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chi = acos(clamp(dot(P, S), -1, 1));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gradation = luminanceGradation(z, a, b);        // φ(z)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scatter   = scatteringIndicatrix(chi, c, d, e); // f(χ)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zenithNorm =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 xml:space="preserve">    luminanceGradation(0, a, b) *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 xml:space="preserve">    scatteringIndicatrix(Zs, c, d, e);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Lrel = gradation * scatter / zenithNorm;         // relativeLuminance()</w:t>
      </w:r>
    </w:p>
    <w:p w14:paraId="370CFC90">
      <w:pPr>
        <w:spacing w:after="120"/>
        <w:ind w:firstLine="420"/>
      </w:pPr>
      <w:r>
        <w:rPr>
          <w:rFonts w:eastAsia="宋体"/>
        </w:rPr>
        <w:t>代码对应关系可以记成一句话：luminanceGradation() 看“离天顶多远”；scatteringIndicatrix() 看“离太阳多远”；relativeLuminance() 把两者组合并做天顶归一化。</w:t>
      </w:r>
    </w:p>
    <w:p w14:paraId="17A003C1">
      <w:pPr>
        <w:pStyle w:val="107"/>
        <w:keepNext/>
        <w:spacing w:before="140" w:after="100"/>
        <w:rPr>
          <w:rFonts w:ascii="Times New Roman" w:hAnsi="Times New Roman" w:eastAsia="宋体"/>
          <w:b/>
          <w:sz w:val="26"/>
        </w:rPr>
      </w:pPr>
      <w:r>
        <w:rPr>
          <w:rFonts w:ascii="Times New Roman" w:hAnsi="Times New Roman" w:eastAsia="宋体"/>
          <w:b/>
          <w:sz w:val="26"/>
        </w:rPr>
        <w:t>6.6 数值例子：为什么 z 和 χ 不是一回事</w:t>
      </w:r>
    </w:p>
    <w:p w14:paraId="37620F23">
      <w:pPr>
        <w:spacing w:after="120"/>
        <w:ind w:firstLine="420"/>
      </w:pPr>
      <w:r>
        <w:rPr>
          <w:rFonts w:eastAsia="宋体"/>
        </w:rPr>
        <w:t>假设当前采样天空点 P 的 Azimuth=90°（东）、Elevation=40°；太阳 S 的 Azimuth=135°（东南）、Elevation=30°。</w:t>
      </w:r>
    </w:p>
    <w:p w14:paraId="18BF84B2">
      <w:pPr>
        <w:spacing w:before="60" w:after="80"/>
        <w:jc w:val="center"/>
      </w:pPr>
      <w:r>
        <w:rPr>
          <w:rFonts w:eastAsia="等线"/>
          <w:b/>
          <w:sz w:val="22"/>
        </w:rPr>
        <w:t>z = 90° - Elevation_P = 50°</w:t>
      </w:r>
    </w:p>
    <w:p w14:paraId="4474F3D9">
      <w:pPr>
        <w:spacing w:before="60" w:after="80"/>
        <w:jc w:val="center"/>
      </w:pPr>
      <w:r>
        <w:rPr>
          <w:rFonts w:eastAsia="等线"/>
          <w:b/>
          <w:sz w:val="22"/>
        </w:rPr>
        <w:t>Zs = 90° - Elevation_S = 60°</w:t>
      </w:r>
    </w:p>
    <w:p w14:paraId="72033A5C">
      <w:pPr>
        <w:spacing w:after="120"/>
        <w:ind w:firstLine="420"/>
      </w:pPr>
      <w:r>
        <w:rPr>
          <w:rFonts w:eastAsia="宋体"/>
        </w:rPr>
        <w:t>χ 不能简单用 50°-60° 得到，因为 P 和 S 的 Azimuth 还差 45°。应使用三维单位向量点积，或等价的球面夹角公式：</w:t>
      </w:r>
    </w:p>
    <w:p w14:paraId="247FF77F">
      <w:pPr>
        <w:spacing w:before="60" w:after="80"/>
        <w:jc w:val="center"/>
      </w:pPr>
      <w:r>
        <w:rPr>
          <w:rFonts w:eastAsia="等线"/>
          <w:b/>
          <w:sz w:val="22"/>
        </w:rPr>
        <w:t>cos(χ) = sin(40°)sin(30°) + cos(40°)cos(30°)cos(45°)</w:t>
      </w:r>
    </w:p>
    <w:p w14:paraId="07434E8D">
      <w:pPr>
        <w:spacing w:before="60" w:after="80"/>
        <w:jc w:val="center"/>
      </w:pPr>
      <w:r>
        <w:rPr>
          <w:rFonts w:eastAsia="等线"/>
          <w:b/>
          <w:sz w:val="22"/>
        </w:rPr>
        <w:t>χ ≈ 37.8°</w:t>
      </w:r>
    </w:p>
    <w:p w14:paraId="5FAB8412">
      <w:pPr>
        <w:spacing w:after="120"/>
        <w:ind w:firstLine="420"/>
      </w:pPr>
      <w:r>
        <w:rPr>
          <w:rFonts w:eastAsia="宋体"/>
        </w:rPr>
        <w:t>所以这个 P 虽然离天顶有 50°，但它离太阳只有约 37.8°。换一个同样 Elevation=40°、但朝西的天空点，z 仍然是 50°，χ 却会变得很大，f(χ) 也会不同。这正是 CIE Sky 能表现“太阳附近更亮、远离太阳区域较暗”的关键。</w:t>
      </w:r>
    </w:p>
    <w:tbl>
      <w:tblPr>
        <w:tblStyle w:val="3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F02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2CC"/>
          </w:tcPr>
          <w:p w14:paraId="7C125019">
            <w:r>
              <w:rPr>
                <w:rFonts w:eastAsia="微软雅黑"/>
                <w:b/>
              </w:rPr>
              <w:t>小白提示：怎么快速检查自己是否理解？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宋体"/>
              </w:rPr>
              <w:t>只改变 P 的 Azimuth、保持 Elevation 不变：z 应保持不变；太阳方向 S 固定时，χ 通常会变化。也就是说，z 看“高度”，χ 看“离太阳的球面距离”。</w:t>
            </w:r>
          </w:p>
        </w:tc>
      </w:tr>
      <w:tr w14:paraId="75EC4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2CC"/>
          </w:tcPr>
          <w:p w14:paraId="318F1C6E">
            <w:r>
              <w:rPr>
                <w:rFonts w:eastAsia="微软雅黑"/>
                <w:b/>
              </w:rPr>
              <w:t>小白提示：“相对亮度”为什么还不够？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宋体"/>
              </w:rPr>
              <w:t>relativeLuminance() 只能告诉你“这个方向是天顶的几倍”，但不知道实际是 1000 cd/m² 还是 10000 cd/m²。因此第 7 节还要使用 EPW 的 DHI、照度或 Zenith Luminance 把相对分布缩放到真实量级。</w:t>
            </w:r>
          </w:p>
        </w:tc>
      </w:tr>
    </w:tbl>
    <w:p w14:paraId="21A8E45C">
      <w:pPr>
        <w:pStyle w:val="106"/>
        <w:keepNext/>
        <w:spacing w:before="200" w:after="100"/>
      </w:pPr>
      <w:bookmarkStart w:id="0" w:name="_GoBack"/>
      <w:bookmarkEnd w:id="0"/>
      <w:r>
        <w:rPr>
          <w:rFonts w:ascii="Times New Roman" w:hAnsi="Times New Roman" w:eastAsia="宋体"/>
          <w:b/>
          <w:sz w:val="30"/>
        </w:rPr>
        <w:t>7、三种绝对标定与太阳盘</w:t>
      </w:r>
    </w:p>
    <w:p w14:paraId="5D459D2C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7.1 三种标定方式</w:t>
      </w:r>
    </w:p>
    <w:p w14:paraId="3E3B7533">
      <w:pPr>
        <w:spacing w:before="80" w:after="60"/>
        <w:jc w:val="center"/>
      </w:pPr>
      <w:r>
        <w:drawing>
          <wp:inline distT="0" distB="0" distL="114300" distR="114300">
            <wp:extent cx="4658995" cy="236093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D5D">
      <w:pPr>
        <w:spacing w:after="120"/>
        <w:jc w:val="center"/>
      </w:pPr>
      <w:r>
        <w:rPr>
          <w:rFonts w:eastAsia="宋体"/>
          <w:b/>
          <w:sz w:val="18"/>
        </w:rPr>
        <w:t>图7-1  三种 CIE Sky 绝对标定方式</w:t>
      </w:r>
    </w:p>
    <w:p w14:paraId="2DEF6488">
      <w:pPr>
        <w:spacing w:after="120"/>
        <w:ind w:firstLine="420"/>
      </w:pPr>
      <w:r>
        <w:rPr>
          <w:rFonts w:eastAsia="宋体"/>
        </w:rPr>
        <w:t>“相对分布”和“绝对亮度”要分开理解。CIE 公式先告诉你各方向之间谁亮谁暗，EPW 再告诉程序整片天空和太阳到底应该有多强。GHI / Global Horizontal Illuminance 更适合拿来检查最终结果是否自洽，而不是再把天空整体缩放一次。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095"/>
        <w:gridCol w:w="2095"/>
        <w:gridCol w:w="2095"/>
      </w:tblGrid>
      <w:tr w14:paraId="1D6E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tblHeader/>
          <w:jc w:val="center"/>
        </w:trPr>
        <w:tc>
          <w:tcPr>
            <w:tcW w:w="2095" w:type="dxa"/>
            <w:shd w:val="clear" w:color="auto" w:fill="D9EAF7"/>
            <w:vAlign w:val="center"/>
          </w:tcPr>
          <w:p w14:paraId="39D6B2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标定模式</w:t>
            </w:r>
          </w:p>
        </w:tc>
        <w:tc>
          <w:tcPr>
            <w:tcW w:w="2095" w:type="dxa"/>
            <w:shd w:val="clear" w:color="auto" w:fill="D9EAF7"/>
            <w:vAlign w:val="center"/>
          </w:tcPr>
          <w:p w14:paraId="1E64E6B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天空目标</w:t>
            </w:r>
          </w:p>
        </w:tc>
        <w:tc>
          <w:tcPr>
            <w:tcW w:w="2095" w:type="dxa"/>
            <w:shd w:val="clear" w:color="auto" w:fill="D9EAF7"/>
            <w:vAlign w:val="center"/>
          </w:tcPr>
          <w:p w14:paraId="14CFF9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太阳目标</w:t>
            </w:r>
          </w:p>
        </w:tc>
        <w:tc>
          <w:tcPr>
            <w:tcW w:w="2095" w:type="dxa"/>
            <w:shd w:val="clear" w:color="auto" w:fill="D9EAF7"/>
            <w:vAlign w:val="center"/>
          </w:tcPr>
          <w:p w14:paraId="514AE32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适合检查什么</w:t>
            </w:r>
          </w:p>
        </w:tc>
      </w:tr>
      <w:tr w14:paraId="1E48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2095" w:type="dxa"/>
            <w:vAlign w:val="center"/>
          </w:tcPr>
          <w:p w14:paraId="4A24B36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水平散射辐照度</w:t>
            </w:r>
          </w:p>
        </w:tc>
        <w:tc>
          <w:tcPr>
            <w:tcW w:w="2095" w:type="dxa"/>
            <w:vAlign w:val="center"/>
          </w:tcPr>
          <w:p w14:paraId="4DC769A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DHI (W/m²)</w:t>
            </w:r>
          </w:p>
        </w:tc>
        <w:tc>
          <w:tcPr>
            <w:tcW w:w="2095" w:type="dxa"/>
            <w:vAlign w:val="center"/>
          </w:tcPr>
          <w:p w14:paraId="64214B5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DNI (W/m²)</w:t>
            </w:r>
          </w:p>
        </w:tc>
        <w:tc>
          <w:tcPr>
            <w:tcW w:w="2095" w:type="dxa"/>
            <w:vAlign w:val="center"/>
          </w:tcPr>
          <w:p w14:paraId="571163B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辐射能量</w:t>
            </w:r>
          </w:p>
        </w:tc>
      </w:tr>
      <w:tr w14:paraId="153BC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  <w:jc w:val="center"/>
        </w:trPr>
        <w:tc>
          <w:tcPr>
            <w:tcW w:w="2095" w:type="dxa"/>
            <w:vAlign w:val="center"/>
          </w:tcPr>
          <w:p w14:paraId="2999C8D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水平散射照度</w:t>
            </w:r>
          </w:p>
        </w:tc>
        <w:tc>
          <w:tcPr>
            <w:tcW w:w="2095" w:type="dxa"/>
            <w:vAlign w:val="center"/>
          </w:tcPr>
          <w:p w14:paraId="668723B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Diffuse Horizontal Illuminance (lx)</w:t>
            </w:r>
          </w:p>
        </w:tc>
        <w:tc>
          <w:tcPr>
            <w:tcW w:w="2095" w:type="dxa"/>
            <w:vAlign w:val="center"/>
          </w:tcPr>
          <w:p w14:paraId="0CFD158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Direct Normal Illuminance (lx)</w:t>
            </w:r>
          </w:p>
        </w:tc>
        <w:tc>
          <w:tcPr>
            <w:tcW w:w="2095" w:type="dxa"/>
            <w:vAlign w:val="center"/>
          </w:tcPr>
          <w:p w14:paraId="7B23A6C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人眼光度</w:t>
            </w:r>
          </w:p>
        </w:tc>
      </w:tr>
      <w:tr w14:paraId="28CB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  <w:jc w:val="center"/>
        </w:trPr>
        <w:tc>
          <w:tcPr>
            <w:tcW w:w="2095" w:type="dxa"/>
            <w:vAlign w:val="center"/>
          </w:tcPr>
          <w:p w14:paraId="3ACDE2A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天顶亮度</w:t>
            </w:r>
          </w:p>
        </w:tc>
        <w:tc>
          <w:tcPr>
            <w:tcW w:w="2095" w:type="dxa"/>
            <w:vAlign w:val="center"/>
          </w:tcPr>
          <w:p w14:paraId="1E0040F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Zenith Luminance (cd/m²)</w:t>
            </w:r>
          </w:p>
        </w:tc>
        <w:tc>
          <w:tcPr>
            <w:tcW w:w="2095" w:type="dxa"/>
            <w:vAlign w:val="center"/>
          </w:tcPr>
          <w:p w14:paraId="13966EF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Direct Normal Illuminance (lx)</w:t>
            </w:r>
          </w:p>
        </w:tc>
        <w:tc>
          <w:tcPr>
            <w:tcW w:w="2095" w:type="dxa"/>
            <w:vAlign w:val="center"/>
          </w:tcPr>
          <w:p w14:paraId="2DC30C8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天空亮度分布</w:t>
            </w:r>
          </w:p>
        </w:tc>
      </w:tr>
    </w:tbl>
    <w:p w14:paraId="7ED24B21">
      <w:pPr>
        <w:spacing w:after="20"/>
      </w:pPr>
    </w:p>
    <w:p w14:paraId="04974798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7.2 天空半球积分</w:t>
      </w:r>
    </w:p>
    <w:p w14:paraId="1DE245C8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水平面只关心光从上半球照下来多少，因此每个方向要乘 cos(θ) 作为投影权重。θ 是该方向相对 Up 的天顶角。</w:t>
      </w:r>
    </w:p>
    <w:p w14:paraId="7466BEE5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E_diffuse = ∫(上半球) L(θ,φ)·cos(θ)·dΩ</w:t>
      </w:r>
    </w:p>
    <w:p w14:paraId="36985330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scale = Target / ∫ L_rel(θ,φ)·cos(θ)·dΩ</w:t>
      </w:r>
    </w:p>
    <w:p w14:paraId="7A7F4CA6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7.3 太阳立体角从哪里来</w:t>
      </w:r>
    </w:p>
    <w:p w14:paraId="1572EBAD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太阳立体角不是 EPW 文件给的。项目把太阳视为半径约 0.2665° 的圆盘。球面圆盘的立体角为：</w:t>
      </w:r>
    </w:p>
    <w:p w14:paraId="6F5A9D82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Ωsun = 2π·[1 - cos(0.2665°)] ≈ 6.8×10⁻⁵ sr</w:t>
      </w:r>
    </w:p>
    <w:p w14:paraId="19E452E2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DNI 是“正对太阳的平面每平方米收到多少功率”，而渲染太阳盘需要“每个方向的辐亮度”，因此要除以太阳占据的立体角。</w:t>
      </w:r>
    </w:p>
    <w:p w14:paraId="63A2DC1D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Lsun = DNI / Ωsun</w:t>
      </w:r>
    </w:p>
    <w:p w14:paraId="5C0D7E17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Lv,sun = DirectNormalIlluminance / Ωsun</w:t>
      </w:r>
    </w:p>
    <w:p w14:paraId="1F3EA046">
      <w:pPr>
        <w:spacing w:before="0" w:after="40" w:line="300" w:lineRule="auto"/>
        <w:jc w:val="left"/>
      </w:pPr>
      <w:r>
        <w:rPr>
          <w:rFonts w:ascii="Times New Roman" w:hAnsi="Times New Roman" w:eastAsia="宋体"/>
          <w:b/>
          <w:sz w:val="19"/>
        </w:rPr>
        <w:t>CIEWidget / SkyPerspectiveWidget 的太阳盘核心逻辑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06A8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4C402837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sunDiskValue(directNormal, mode):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alpha = radians(0.2665)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omega = 2*pi*(1-cos(alpha))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return directNormal / omega</w:t>
            </w:r>
          </w:p>
        </w:tc>
      </w:tr>
    </w:tbl>
    <w:p w14:paraId="37B85D2A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8、GHI / Global Illuminance 闭环验证</w:t>
      </w:r>
    </w:p>
    <w:p w14:paraId="42352965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GHI 和 Global Horizontal Illuminance 不应该再拿来“重新缩放”天空，因为天空已经由 DHI（或散射照度/天顶亮度）标定，太阳已经由 DNI（或直射法向照度）标定。它们最适合作为独立的结果校验。</w:t>
      </w:r>
    </w:p>
    <w:p w14:paraId="3914A591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GHI_model = DHI_model + DNI·sin(SolarElevation)</w:t>
      </w:r>
    </w:p>
    <w:p w14:paraId="7DE3C19C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GlobalIllum_model = DiffuseIllum_model + DirectNormalIllum·sin(SolarElevation)</w:t>
      </w:r>
    </w:p>
    <w:p w14:paraId="195FAC17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如果模型 GHI 与 EPW GHI 差距很大，优先检查：① EPW 时间中点是否正确；② 经纬度/时区是否正确；③ 太阳高度是否正确；④ DNI/DHI 字段是否读错；⑤ CIE sky type 是否适合当前天气。</w:t>
      </w:r>
    </w:p>
    <w:p w14:paraId="400307C5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8.1 示例</w:t>
      </w:r>
    </w:p>
    <w:p w14:paraId="77728262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以前面测试过的 San Francisco TMY3 某条记录为例：DHI=125 W/m²、DNI=919 W/m²、GHI=1009 W/m²，太阳高度约 74.26°。</w:t>
      </w:r>
    </w:p>
    <w:p w14:paraId="595EBCB8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125 + 919·sin(74.26°) ≈ 1009.55 W/m²</w:t>
      </w:r>
    </w:p>
    <w:p w14:paraId="2A85190B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与 EPW GHI=1009 W/m² 的误差约 0.05%，说明时间、太阳位置和水平投影关系在该样本上闭环一致。</w:t>
      </w:r>
    </w:p>
    <w:p w14:paraId="5DDC2F23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9、CIE Sky 透视相机：Az / El / Roll / HFOV / VFOV</w:t>
      </w:r>
    </w:p>
    <w:p w14:paraId="5AA901A9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SkyPerspectiveWidget::cameraRay() 要做的事情很简单：屏幕上每个像素都对应一条从相机射出去的三维方向。这个方向由相机朝向和视场角决定。</w:t>
      </w:r>
    </w:p>
    <w:p w14:paraId="0CF1893A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9.1 相机三个方向轴</w:t>
      </w:r>
    </w:p>
    <w:p w14:paraId="57B45493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forward：相机正前方；right：画面右边；up：画面上边。先由 Azimuth/Elevation 得到 forward，再用叉乘得到 right/up。Roll 则是在不改变 forward 的情况下旋转画面的 right/up。</w:t>
      </w:r>
    </w:p>
    <w:p w14:paraId="73149BA1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right = normalize(forward × WorldUp)</w:t>
      </w:r>
    </w:p>
    <w:p w14:paraId="4A980B70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up = normalize(right × forward)</w:t>
      </w:r>
    </w:p>
    <w:p w14:paraId="3C3FA19F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9.2 HFOV / VFOV</w:t>
      </w:r>
    </w:p>
    <w:p w14:paraId="44EC7568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sx = (2(x+0.5)/W - 1)·tan(HFOV/2)</w:t>
      </w:r>
    </w:p>
    <w:p w14:paraId="17B7D0F9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sy = (1 - 2(y+0.5)/H)·tan(VFOV/2)</w:t>
      </w:r>
    </w:p>
    <w:p w14:paraId="13493944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ray = normalize(forward + sx·rightRoll + sy·upRoll)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3D94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5401D39D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cameraRay(x,y):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forward = directionENU(Azimuth, Elevation)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right = normalize(cross(forward, Up))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up = normalize(cross(right, forward))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(right, up) = rotateAroundForward(right, up, Roll)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sx = normalizedX * tan(HFOV/2)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sy = normalizedY * tan(VFOV/2)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return normalize(forward + sx*right + sy*up)</w:t>
            </w:r>
          </w:p>
        </w:tc>
      </w:tr>
    </w:tbl>
    <w:p w14:paraId="5911A3D2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10、HDR / EXR 全景图加载与高动态范围</w:t>
      </w:r>
    </w:p>
    <w:p w14:paraId="00B03419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10.1 为什么必须保留 float</w:t>
      </w:r>
    </w:p>
    <w:p w14:paraId="75CF637D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HDR/EXR 最有价值的地方是亮度可以远大于 1.0。例如普通天空可能是 1~10，而太阳附近可能是几千甚至更高。如果在加载后立刻转成 uint8_t（0~255），这些真实亮度差异就丢失了。</w:t>
      </w:r>
    </w:p>
    <w:p w14:paraId="1D55B2AC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因此当前设计使用 HDRImage / LinearRGB 保存 scene-linear float：加载、双线性采样、透视生成都保持 float；只有 Qt/VTK 显示时才生成 tone-mapped RGB8。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2473"/>
        <w:gridCol w:w="2473"/>
      </w:tblGrid>
      <w:tr w14:paraId="561F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tblHeader/>
          <w:jc w:val="center"/>
        </w:trPr>
        <w:tc>
          <w:tcPr>
            <w:tcW w:w="2473" w:type="dxa"/>
            <w:shd w:val="clear" w:color="auto" w:fill="D9EAF7"/>
            <w:vAlign w:val="center"/>
          </w:tcPr>
          <w:p w14:paraId="4B5DA38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格式</w:t>
            </w:r>
          </w:p>
        </w:tc>
        <w:tc>
          <w:tcPr>
            <w:tcW w:w="2473" w:type="dxa"/>
            <w:shd w:val="clear" w:color="auto" w:fill="D9EAF7"/>
            <w:vAlign w:val="center"/>
          </w:tcPr>
          <w:p w14:paraId="7D4EDF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加载方式</w:t>
            </w:r>
          </w:p>
        </w:tc>
        <w:tc>
          <w:tcPr>
            <w:tcW w:w="2473" w:type="dxa"/>
            <w:shd w:val="clear" w:color="auto" w:fill="D9EAF7"/>
            <w:vAlign w:val="center"/>
          </w:tcPr>
          <w:p w14:paraId="5F5D6C5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进入 HDRImage 前的处理</w:t>
            </w:r>
          </w:p>
        </w:tc>
      </w:tr>
      <w:tr w14:paraId="3498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2473" w:type="dxa"/>
            <w:vAlign w:val="center"/>
          </w:tcPr>
          <w:p w14:paraId="0EE66A4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EXR</w:t>
            </w:r>
          </w:p>
        </w:tc>
        <w:tc>
          <w:tcPr>
            <w:tcW w:w="2473" w:type="dxa"/>
            <w:vAlign w:val="center"/>
          </w:tcPr>
          <w:p w14:paraId="5B4D598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TinyEXR float 通道</w:t>
            </w:r>
          </w:p>
        </w:tc>
        <w:tc>
          <w:tcPr>
            <w:tcW w:w="2473" w:type="dxa"/>
            <w:vAlign w:val="center"/>
          </w:tcPr>
          <w:p w14:paraId="31E3B2A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直接保留线性浮点</w:t>
            </w:r>
          </w:p>
        </w:tc>
      </w:tr>
      <w:tr w14:paraId="56CC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2473" w:type="dxa"/>
            <w:vAlign w:val="center"/>
          </w:tcPr>
          <w:p w14:paraId="529ED6D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HDR/RGBE</w:t>
            </w:r>
          </w:p>
        </w:tc>
        <w:tc>
          <w:tcPr>
            <w:tcW w:w="2473" w:type="dxa"/>
            <w:vAlign w:val="center"/>
          </w:tcPr>
          <w:p w14:paraId="4F61B8E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stbi_loadf_from_file</w:t>
            </w:r>
          </w:p>
        </w:tc>
        <w:tc>
          <w:tcPr>
            <w:tcW w:w="2473" w:type="dxa"/>
            <w:vAlign w:val="center"/>
          </w:tcPr>
          <w:p w14:paraId="264B9E7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直接得到 float</w:t>
            </w:r>
          </w:p>
        </w:tc>
      </w:tr>
      <w:tr w14:paraId="2881B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2473" w:type="dxa"/>
            <w:vAlign w:val="center"/>
          </w:tcPr>
          <w:p w14:paraId="796F288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PNG/JPG</w:t>
            </w:r>
          </w:p>
        </w:tc>
        <w:tc>
          <w:tcPr>
            <w:tcW w:w="2473" w:type="dxa"/>
            <w:vAlign w:val="center"/>
          </w:tcPr>
          <w:p w14:paraId="692D51B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LDR 解码</w:t>
            </w:r>
          </w:p>
        </w:tc>
        <w:tc>
          <w:tcPr>
            <w:tcW w:w="2473" w:type="dxa"/>
            <w:vAlign w:val="center"/>
          </w:tcPr>
          <w:p w14:paraId="4774D41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从 sRGB 解码到线性 float</w:t>
            </w:r>
          </w:p>
        </w:tc>
      </w:tr>
    </w:tbl>
    <w:p w14:paraId="34DF531E">
      <w:pPr>
        <w:spacing w:after="20"/>
      </w:pP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64093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59DFEE8A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loadImage(path):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if EXR: return loadImageEXR_float()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if HDR: return stbi_loadf_from_file()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if PNG/JPG: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rgb8 = loadLDR()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return sRGB_to_linear(rgb8)</w:t>
            </w:r>
          </w:p>
        </w:tc>
      </w:tr>
    </w:tbl>
    <w:p w14:paraId="2845182B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11、全景图 NSWE 方位校准</w:t>
      </w:r>
    </w:p>
    <w:p w14:paraId="0876D2D0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不同来源的 equirectangular 全景图，其图片正中间不一定是真实 North。为了让全景图、太阳方位、VTK 球和相机方位统一，界面允许用户指定“源全景图中 North 在横向哪个角度/位置”。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0"/>
        <w:gridCol w:w="3130"/>
      </w:tblGrid>
      <w:tr w14:paraId="5B02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tblHeader/>
          <w:jc w:val="center"/>
        </w:trPr>
        <w:tc>
          <w:tcPr>
            <w:tcW w:w="3130" w:type="dxa"/>
            <w:shd w:val="clear" w:color="auto" w:fill="D9EAF7"/>
            <w:vAlign w:val="center"/>
          </w:tcPr>
          <w:p w14:paraId="1E30E7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North 设置</w:t>
            </w:r>
          </w:p>
        </w:tc>
        <w:tc>
          <w:tcPr>
            <w:tcW w:w="3130" w:type="dxa"/>
            <w:shd w:val="clear" w:color="auto" w:fill="D9EAF7"/>
            <w:vAlign w:val="center"/>
          </w:tcPr>
          <w:p w14:paraId="7970876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源图位置</w:t>
            </w:r>
          </w:p>
        </w:tc>
      </w:tr>
      <w:tr w14:paraId="1608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3130" w:type="dxa"/>
            <w:vAlign w:val="center"/>
          </w:tcPr>
          <w:p w14:paraId="786B36B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0°</w:t>
            </w:r>
          </w:p>
        </w:tc>
        <w:tc>
          <w:tcPr>
            <w:tcW w:w="3130" w:type="dxa"/>
            <w:vAlign w:val="center"/>
          </w:tcPr>
          <w:p w14:paraId="1B8D438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最左/接缝位置</w:t>
            </w:r>
          </w:p>
        </w:tc>
      </w:tr>
      <w:tr w14:paraId="744AD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3130" w:type="dxa"/>
            <w:vAlign w:val="center"/>
          </w:tcPr>
          <w:p w14:paraId="46FD175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90°</w:t>
            </w:r>
          </w:p>
        </w:tc>
        <w:tc>
          <w:tcPr>
            <w:tcW w:w="3130" w:type="dxa"/>
            <w:vAlign w:val="center"/>
          </w:tcPr>
          <w:p w14:paraId="4CFE63D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宽度 25%</w:t>
            </w:r>
          </w:p>
        </w:tc>
      </w:tr>
      <w:tr w14:paraId="7FA0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3130" w:type="dxa"/>
            <w:vAlign w:val="center"/>
          </w:tcPr>
          <w:p w14:paraId="6426EF1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180°</w:t>
            </w:r>
          </w:p>
        </w:tc>
        <w:tc>
          <w:tcPr>
            <w:tcW w:w="3130" w:type="dxa"/>
            <w:vAlign w:val="center"/>
          </w:tcPr>
          <w:p w14:paraId="62C3DBB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图像中央</w:t>
            </w:r>
          </w:p>
        </w:tc>
      </w:tr>
      <w:tr w14:paraId="4291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3130" w:type="dxa"/>
            <w:vAlign w:val="center"/>
          </w:tcPr>
          <w:p w14:paraId="5AC1FF7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270°</w:t>
            </w:r>
          </w:p>
        </w:tc>
        <w:tc>
          <w:tcPr>
            <w:tcW w:w="3130" w:type="dxa"/>
            <w:vAlign w:val="center"/>
          </w:tcPr>
          <w:p w14:paraId="5DD6505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宽度 75%</w:t>
            </w:r>
          </w:p>
        </w:tc>
      </w:tr>
    </w:tbl>
    <w:p w14:paraId="6C438C53">
      <w:pPr>
        <w:spacing w:after="20"/>
      </w:pPr>
    </w:p>
    <w:p w14:paraId="71B8F8F9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只需要设置 North，因为 East/South/West 应严格与 North 相差 90°。代码通过 applyNorthPanoramaOffset() 对 u 坐标做周期偏移，不重新采样整张 HDR，因此不会损失原始亮度。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500A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</w:tcPr>
          <w:p w14:paraId="56339038">
            <w:pPr>
              <w:spacing w:after="40"/>
            </w:pPr>
            <w:r>
              <w:rPr>
                <w:rFonts w:ascii="Times New Roman" w:hAnsi="Times New Roman" w:eastAsia="宋体"/>
                <w:b/>
                <w:sz w:val="19"/>
              </w:rPr>
              <w:t>小白提示：方向校准和坐标系是两回事</w:t>
            </w:r>
            <w:r>
              <w:rPr>
                <w:rFonts w:ascii="Times New Roman" w:hAnsi="Times New Roman" w:eastAsia="宋体"/>
                <w:b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sz w:val="19"/>
              </w:rPr>
              <w:t>North 设置回答“原图片哪一列是真实北方”；ENU/NED 回答“真实世界的 XYZ 怎么表示”；Azimuth 回答“相机现在朝哪个真实方向”。三者不要混在一起。</w:t>
            </w:r>
          </w:p>
        </w:tc>
      </w:tr>
    </w:tbl>
    <w:p w14:paraId="4348E57C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12、全景图透视投影与双线性采样</w:t>
      </w:r>
    </w:p>
    <w:p w14:paraId="15B59D3C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12.1 三维方向转全景 UV</w:t>
      </w:r>
    </w:p>
    <w:p w14:paraId="2320F42F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Equirectangular 全景图可以理解为“把地球仪展开成长方形”。横坐标 u 表示方位角，纵坐标 v 表示从天顶到地面的天顶角。worldDirectionToPanoramaUV() 先恢复 East/North/Up，再计算：</w:t>
      </w:r>
    </w:p>
    <w:p w14:paraId="3503EF5B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azimuth = atan2(East, North)</w:t>
      </w:r>
    </w:p>
    <w:p w14:paraId="21A211B5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u = (azimuth + π) / (2π)</w:t>
      </w:r>
    </w:p>
    <w:p w14:paraId="57CE5D94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v = acos(Up) / π</w:t>
      </w:r>
    </w:p>
    <w:p w14:paraId="160BA808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在默认约定下：North→u=0.5，East→0.75，South→0/1 接缝，West→0.25，Up→v=0。然后再应用 North 偏移。</w:t>
      </w:r>
    </w:p>
    <w:p w14:paraId="5C705343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12.2 双线性采样</w:t>
      </w:r>
    </w:p>
    <w:p w14:paraId="2D6DA4EF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当 UV 落在四个像素中间时，不能只取最近像素，否则透视图会出现明显锯齿。双线性插值用四个邻居按距离混合。水平 u 是 360° 环绕，所以要 wrap；垂直 v 只在顶部/底部夹紧。</w:t>
      </w:r>
    </w:p>
    <w:p w14:paraId="1770271C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C = (1-dx)(1-dy)C00 + dx(1-dy)C10 + (1-dx)dyC01 + dxdyC11</w:t>
      </w:r>
    </w:p>
    <w:p w14:paraId="17F62F19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12.3 透视图生成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7D80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2FDE5440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perspectiveFromPanorama():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R = buildNavigationRotation(Az, El, Roll, coordinateSystem)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for each output pixel: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rayLocal = buildCameraRay(HFOV, VFOV, x, y)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rayWorld = R * rayLocal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hitDir = raySphereIntersection(cameraPosition, rayWorld)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(u,v) = worldDirectionToPanoramaUV(hitDir)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u = applyNorthPanoramaOffset(u)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    outputHDR[x,y] = samplePanoramaBilinear(inputHDR,u,v)</w:t>
            </w:r>
          </w:p>
        </w:tc>
      </w:tr>
    </w:tbl>
    <w:p w14:paraId="44CC7B9F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13、VTK 球面全景显示</w:t>
      </w:r>
    </w:p>
    <w:p w14:paraId="75688C92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VTK 球的作用是把全景图“贴回一个球面”，让用户从三维场景看到方向关系。vtkTexture 只负责纹理图像；球体还必须有 Texture Coordinates（UV），否则 SetTexture() 也无法正确铺图。</w:t>
      </w:r>
    </w:p>
    <w:p w14:paraId="03D588CE">
      <w:pPr>
        <w:spacing w:before="0" w:after="60" w:line="300" w:lineRule="auto"/>
        <w:jc w:val="left"/>
      </w:pPr>
      <w:r>
        <w:rPr>
          <w:rFonts w:ascii="Times New Roman" w:hAnsi="Times New Roman" w:eastAsia="宋体"/>
          <w:b/>
          <w:sz w:val="20"/>
        </w:rPr>
        <w:t>13.1 VTK 纹理管线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0"/>
      </w:tblGrid>
      <w:tr w14:paraId="612D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shd w:val="clear" w:color="auto" w:fill="EAF2F8"/>
            <w:vAlign w:val="center"/>
          </w:tcPr>
          <w:p w14:paraId="5E2D41F2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9"/>
              </w:rPr>
              <w:t>HDRImage 原始 float</w:t>
            </w:r>
          </w:p>
        </w:tc>
      </w:tr>
      <w:tr w14:paraId="386F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vAlign w:val="center"/>
          </w:tcPr>
          <w:p w14:paraId="0B4595AA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24"/>
              </w:rPr>
              <w:t>↓</w:t>
            </w:r>
          </w:p>
        </w:tc>
      </w:tr>
      <w:tr w14:paraId="49DC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shd w:val="clear" w:color="auto" w:fill="EAF2F8"/>
            <w:vAlign w:val="center"/>
          </w:tcPr>
          <w:p w14:paraId="44D482B1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9"/>
              </w:rPr>
              <w:t>仅为显示执行 toneMapForDisplay()</w:t>
            </w:r>
          </w:p>
        </w:tc>
      </w:tr>
      <w:tr w14:paraId="4A1E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vAlign w:val="center"/>
          </w:tcPr>
          <w:p w14:paraId="0FA270BD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24"/>
              </w:rPr>
              <w:t>↓</w:t>
            </w:r>
          </w:p>
        </w:tc>
      </w:tr>
      <w:tr w14:paraId="020A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shd w:val="clear" w:color="auto" w:fill="EAF2F8"/>
            <w:vAlign w:val="center"/>
          </w:tcPr>
          <w:p w14:paraId="1AF57E56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9"/>
              </w:rPr>
              <w:t>生成 RGB8 vtkImageData</w:t>
            </w:r>
          </w:p>
        </w:tc>
      </w:tr>
      <w:tr w14:paraId="4FC5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vAlign w:val="center"/>
          </w:tcPr>
          <w:p w14:paraId="5F7DECA0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24"/>
              </w:rPr>
              <w:t>↓</w:t>
            </w:r>
          </w:p>
        </w:tc>
      </w:tr>
      <w:tr w14:paraId="2AF2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shd w:val="clear" w:color="auto" w:fill="EAF2F8"/>
            <w:vAlign w:val="center"/>
          </w:tcPr>
          <w:p w14:paraId="2D82F328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9"/>
              </w:rPr>
              <w:t>vtkTexture</w:t>
            </w:r>
          </w:p>
        </w:tc>
      </w:tr>
      <w:tr w14:paraId="1DFE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vAlign w:val="center"/>
          </w:tcPr>
          <w:p w14:paraId="1E5BB988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24"/>
              </w:rPr>
              <w:t>↓</w:t>
            </w:r>
          </w:p>
        </w:tc>
      </w:tr>
      <w:tr w14:paraId="6F91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shd w:val="clear" w:color="auto" w:fill="EAF2F8"/>
            <w:vAlign w:val="center"/>
          </w:tcPr>
          <w:p w14:paraId="7D9B5B7E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9"/>
              </w:rPr>
              <w:t>球面纹理坐标 / equirectangular 对齐</w:t>
            </w:r>
          </w:p>
        </w:tc>
      </w:tr>
      <w:tr w14:paraId="3605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6080" w:type="dxa"/>
            <w:vAlign w:val="center"/>
          </w:tcPr>
          <w:p w14:paraId="6DD3DA49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24"/>
              </w:rPr>
              <w:t>↓</w:t>
            </w:r>
          </w:p>
        </w:tc>
      </w:tr>
      <w:tr w14:paraId="4722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080" w:type="dxa"/>
            <w:shd w:val="clear" w:color="auto" w:fill="EAF2F8"/>
            <w:vAlign w:val="center"/>
          </w:tcPr>
          <w:p w14:paraId="482C7B5E">
            <w:pPr>
              <w:spacing w:after="0"/>
              <w:jc w:val="center"/>
              <w:rPr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9"/>
              </w:rPr>
              <w:t>vtkSphereActor 显示</w:t>
            </w:r>
          </w:p>
        </w:tc>
      </w:tr>
    </w:tbl>
    <w:p w14:paraId="1E2ED8E2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初始化阶段不要把一个“没有输入图像”的 vtkTexture 直接挂到球上并 Render。之前出现 vtkRenderingOpenGL2-9.1.dll 空指针崩溃，就是因为第一次 Render 时纹理输入为空。当前做法是：先创建 texture，但 SetTexture(nullptr)；加载全景、准备 vtkImageData 后再绑定。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5EE2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419AABBC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setupScene():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texture = vtkTexture::New()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sphereActor-&gt;SetTexture(nullptr)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setPanorama(hdr):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display = toneMapForDisplay(hdr)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textureImage = makeVtkImageData(display)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texture-&gt;SetInputData(textureImage)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texture-&gt;Update()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sphereActor-&gt;SetTexture(texture)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Render()</w:t>
            </w:r>
          </w:p>
        </w:tc>
      </w:tr>
    </w:tbl>
    <w:p w14:paraId="072AB900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14、Tone Mapping 与显示链路</w:t>
      </w:r>
    </w:p>
    <w:p w14:paraId="2AB4A52A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HDR 的真实数值可能远超显示器 0~1 / 0~255 能显示的范围，因此需要 Tone Mapping。但它只能用于“预览”，不能覆盖原 HDR 数据。</w:t>
      </w:r>
    </w:p>
    <w:p w14:paraId="35AF4D37">
      <w:pPr>
        <w:spacing w:before="80" w:after="80"/>
        <w:jc w:val="center"/>
      </w:pPr>
      <w:r>
        <w:rPr>
          <w:rFonts w:ascii="Times New Roman" w:hAnsi="Times New Roman" w:eastAsia="宋体"/>
          <w:b/>
          <w:sz w:val="22"/>
        </w:rPr>
        <w:t>Lmapped = L·(1 + L/Lwhite²) / (1 + L)</w:t>
      </w:r>
    </w:p>
    <w:p w14:paraId="1418E812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toneMapForDisplay() 对亮度做压缩，再做线性到 sRGB / Gamma 和 8-bit 量化。这样 Qt QLabel 与 VTK 可以显示，但 HDRImage 仍保持原值供透视采样、亮度分析或后续环境光积分使用。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21A6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</w:tcPr>
          <w:p w14:paraId="1296CDA0">
            <w:pPr>
              <w:spacing w:after="40"/>
            </w:pPr>
            <w:r>
              <w:rPr>
                <w:rFonts w:ascii="Times New Roman" w:hAnsi="Times New Roman" w:eastAsia="宋体"/>
                <w:b/>
                <w:sz w:val="19"/>
              </w:rPr>
              <w:t>小白提示：常见错误</w:t>
            </w:r>
            <w:r>
              <w:rPr>
                <w:rFonts w:ascii="Times New Roman" w:hAnsi="Times New Roman" w:eastAsia="宋体"/>
                <w:b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sz w:val="19"/>
              </w:rPr>
              <w:t>如果你发现加载 EXR/HDR 后 maxRGB 永远不超过 1 或 255，很可能在某个中间环节已经量化或归一化了。正确链路应允许原始 float 出现远大于 1 的值。</w:t>
            </w:r>
          </w:p>
        </w:tc>
      </w:tr>
    </w:tbl>
    <w:p w14:paraId="414A0E2D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15、代码文件与函数对应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84A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041B7B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文件/模块</w:t>
            </w:r>
          </w:p>
        </w:tc>
        <w:tc>
          <w:tcPr>
            <w:tcW w:w="4251" w:type="dxa"/>
            <w:shd w:val="clear" w:color="auto" w:fill="D9EAF7"/>
            <w:vAlign w:val="center"/>
          </w:tcPr>
          <w:p w14:paraId="7BA61F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关键职责</w:t>
            </w:r>
          </w:p>
        </w:tc>
        <w:tc>
          <w:tcPr>
            <w:tcW w:w="3968" w:type="dxa"/>
            <w:shd w:val="clear" w:color="auto" w:fill="D9EAF7"/>
            <w:vAlign w:val="center"/>
          </w:tcPr>
          <w:p w14:paraId="750753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典型函数/成员</w:t>
            </w:r>
          </w:p>
        </w:tc>
      </w:tr>
      <w:tr w14:paraId="74FE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D4FA3D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coordinate_system.h</w:t>
            </w:r>
          </w:p>
        </w:tc>
        <w:tc>
          <w:tcPr>
            <w:tcW w:w="4251" w:type="dxa"/>
            <w:vAlign w:val="center"/>
          </w:tcPr>
          <w:p w14:paraId="7E70264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规范 ENU、NED 转换、导航方向</w:t>
            </w:r>
          </w:p>
        </w:tc>
        <w:tc>
          <w:tcPr>
            <w:tcW w:w="3968" w:type="dxa"/>
            <w:vAlign w:val="center"/>
          </w:tcPr>
          <w:p w14:paraId="26E50FF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WorldCoordinateSystem, directionENU(), convertVector()</w:t>
            </w:r>
          </w:p>
        </w:tc>
      </w:tr>
      <w:tr w14:paraId="3A45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40FA03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EpwData.hpp / EpwReader.cpp</w:t>
            </w:r>
          </w:p>
        </w:tc>
        <w:tc>
          <w:tcPr>
            <w:tcW w:w="4251" w:type="dxa"/>
            <w:vAlign w:val="center"/>
          </w:tcPr>
          <w:p w14:paraId="3BBCC28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EPW 字段存储与解析</w:t>
            </w:r>
          </w:p>
        </w:tc>
        <w:tc>
          <w:tcPr>
            <w:tcW w:w="3968" w:type="dxa"/>
            <w:vAlign w:val="center"/>
          </w:tcPr>
          <w:p w14:paraId="6317D8F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DHI/DNI/GHI、照度、地点、时间</w:t>
            </w:r>
          </w:p>
        </w:tc>
      </w:tr>
      <w:tr w14:paraId="7DF6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3A8975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SunSky.cpp</w:t>
            </w:r>
          </w:p>
        </w:tc>
        <w:tc>
          <w:tcPr>
            <w:tcW w:w="4251" w:type="dxa"/>
            <w:vAlign w:val="center"/>
          </w:tcPr>
          <w:p w14:paraId="6483577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太阳位置与 CIE 15 类天空</w:t>
            </w:r>
          </w:p>
        </w:tc>
        <w:tc>
          <w:tcPr>
            <w:tcW w:w="3968" w:type="dxa"/>
            <w:vAlign w:val="center"/>
          </w:tcPr>
          <w:p w14:paraId="33D955B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SunDirection(), relativeLuminance(), kCoefficients</w:t>
            </w:r>
          </w:p>
        </w:tc>
      </w:tr>
      <w:tr w14:paraId="1991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5545DB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CIEWidget.cpp</w:t>
            </w:r>
          </w:p>
        </w:tc>
        <w:tc>
          <w:tcPr>
            <w:tcW w:w="4251" w:type="dxa"/>
            <w:vAlign w:val="center"/>
          </w:tcPr>
          <w:p w14:paraId="1CB3014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EPW 时间中点、标定输入、太阳目标、闭环 UI</w:t>
            </w:r>
          </w:p>
        </w:tc>
        <w:tc>
          <w:tcPr>
            <w:tcW w:w="3968" w:type="dxa"/>
            <w:vAlign w:val="center"/>
          </w:tcPr>
          <w:p w14:paraId="69FEB41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epwMidpointHour(), currentSunDirectionENU(), updateScale...</w:t>
            </w:r>
          </w:p>
        </w:tc>
      </w:tr>
      <w:tr w14:paraId="2CA2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770419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SkyPerspectiveWidget.cpp</w:t>
            </w:r>
          </w:p>
        </w:tc>
        <w:tc>
          <w:tcPr>
            <w:tcW w:w="4251" w:type="dxa"/>
            <w:vAlign w:val="center"/>
          </w:tcPr>
          <w:p w14:paraId="101E3EA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CIE 天空数值积分、太阳盘、透视相机</w:t>
            </w:r>
          </w:p>
        </w:tc>
        <w:tc>
          <w:tcPr>
            <w:tcW w:w="3968" w:type="dxa"/>
            <w:vAlign w:val="center"/>
          </w:tcPr>
          <w:p w14:paraId="3471977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cameraRay(), sky integration, sun disk</w:t>
            </w:r>
          </w:p>
        </w:tc>
      </w:tr>
      <w:tr w14:paraId="528E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AC90AA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panorama_processor.cpp</w:t>
            </w:r>
          </w:p>
        </w:tc>
        <w:tc>
          <w:tcPr>
            <w:tcW w:w="4251" w:type="dxa"/>
            <w:vAlign w:val="center"/>
          </w:tcPr>
          <w:p w14:paraId="72A7CE7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HDR/EXR/LDR、全景 UV、透视、Tone Mapping</w:t>
            </w:r>
          </w:p>
        </w:tc>
        <w:tc>
          <w:tcPr>
            <w:tcW w:w="3968" w:type="dxa"/>
            <w:vAlign w:val="center"/>
          </w:tcPr>
          <w:p w14:paraId="76EC742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loadImage(), worldDirectionToPanoramaUV(), perspectiveFromPanorama()</w:t>
            </w:r>
          </w:p>
        </w:tc>
      </w:tr>
      <w:tr w14:paraId="48BF9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1AEC2A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vtk_scene.cpp</w:t>
            </w:r>
          </w:p>
        </w:tc>
        <w:tc>
          <w:tcPr>
            <w:tcW w:w="4251" w:type="dxa"/>
            <w:vAlign w:val="center"/>
          </w:tcPr>
          <w:p w14:paraId="01663E5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球面全景、ROI、射线、ENU/NED 世界显示</w:t>
            </w:r>
          </w:p>
        </w:tc>
        <w:tc>
          <w:tcPr>
            <w:tcW w:w="3968" w:type="dxa"/>
            <w:vAlign w:val="center"/>
          </w:tcPr>
          <w:p w14:paraId="5E93A40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setupScene(), setPanorama(), updateROIAndRay()</w:t>
            </w:r>
          </w:p>
        </w:tc>
      </w:tr>
      <w:tr w14:paraId="30FA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7B977C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mainwindow.cpp</w:t>
            </w:r>
          </w:p>
        </w:tc>
        <w:tc>
          <w:tcPr>
            <w:tcW w:w="4251" w:type="dxa"/>
            <w:vAlign w:val="center"/>
          </w:tcPr>
          <w:p w14:paraId="503A288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UI 参数联动与模式切换</w:t>
            </w:r>
          </w:p>
        </w:tc>
        <w:tc>
          <w:tcPr>
            <w:tcW w:w="3968" w:type="dxa"/>
            <w:vAlign w:val="center"/>
          </w:tcPr>
          <w:p w14:paraId="18B2021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加载文件、坐标系、North、相机参数</w:t>
            </w:r>
          </w:p>
        </w:tc>
      </w:tr>
    </w:tbl>
    <w:p w14:paraId="38403A92">
      <w:pPr>
        <w:spacing w:after="20"/>
      </w:pPr>
    </w:p>
    <w:p w14:paraId="6F4C613C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16、核心流程伪代码</w:t>
      </w:r>
    </w:p>
    <w:p w14:paraId="2D5C5D2C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16.1 CIE Sky 总流程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43672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6194CECC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record = epw[current]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t = epwMidpointHour(record)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sunENU = SunDirection(t, location)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solarAz, solarEl = directionToAzEl(sunENU)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skyShape = CIEStandardSky(type)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if mode == DHI: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skyScale = calibrateByDiffuseIrradiance(record.DHI)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sunDisk  = record.DNI / omegaSun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elif mode == DiffuseIlluminance: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skyScale = calibrateByDiffuseIlluminance(record.diffuseLux)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sunDisk  = record.directNormalLux / omegaSun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else:  # Zenith Luminance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skyScale = calibrateByZenithLuminance(record.zenithLuminance)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 xml:space="preserve">    sunDisk  = record.directNormalLux / omegaSun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renderPerspective(Az, El, Roll, HFOV, VFOV)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validateGHIandGlobalIlluminance()</w:t>
            </w:r>
          </w:p>
        </w:tc>
      </w:tr>
    </w:tbl>
    <w:p w14:paraId="578E03B2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16.2 全景图总流程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13A5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2F2"/>
          </w:tcPr>
          <w:p w14:paraId="6D2E5539">
            <w:pPr>
              <w:spacing w:after="0"/>
              <w:ind w:left="68"/>
            </w:pPr>
            <w:r>
              <w:rPr>
                <w:rFonts w:ascii="Times New Roman" w:hAnsi="Times New Roman" w:eastAsia="等线"/>
                <w:sz w:val="16"/>
              </w:rPr>
              <w:t>hdr = PanoramaProcessor::loadImage(file)        # float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setPanoramaNorth(northDeg)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setWorldCoordinateSystem(ENU_or_NED)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R = buildNavigationRotation(Az, El, Roll)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perspectiveHDR = perspectiveFromPanorama(hdr, R, HFOV, VFOV)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uiPreview  = toneMapForDisplay(perspectiveHDR)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vtkPreview = toneMapForDisplay(hdr)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VTKSceneWidget::setPanorama(hdr)</w:t>
            </w:r>
            <w:r>
              <w:rPr>
                <w:rFonts w:ascii="Times New Roman" w:hAnsi="Times New Roman" w:eastAsia="等线"/>
                <w:sz w:val="16"/>
              </w:rPr>
              <w:br w:type="textWrapping"/>
            </w:r>
            <w:r>
              <w:rPr>
                <w:rFonts w:ascii="Times New Roman" w:hAnsi="Times New Roman" w:eastAsia="等线"/>
                <w:sz w:val="16"/>
              </w:rPr>
              <w:t>updateROIAndRay()</w:t>
            </w:r>
          </w:p>
        </w:tc>
      </w:tr>
    </w:tbl>
    <w:p w14:paraId="08B3B044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17、测试与验证方法</w:t>
      </w:r>
    </w:p>
    <w:p w14:paraId="3732AB28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17.1 坐标方向单元测试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0"/>
        <w:gridCol w:w="3180"/>
      </w:tblGrid>
      <w:tr w14:paraId="43DA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tblHeader/>
          <w:jc w:val="center"/>
        </w:trPr>
        <w:tc>
          <w:tcPr>
            <w:tcW w:w="3180" w:type="dxa"/>
            <w:shd w:val="clear" w:color="auto" w:fill="D9EAF7"/>
            <w:vAlign w:val="center"/>
          </w:tcPr>
          <w:p w14:paraId="3C75713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输入</w:t>
            </w:r>
          </w:p>
        </w:tc>
        <w:tc>
          <w:tcPr>
            <w:tcW w:w="3180" w:type="dxa"/>
            <w:shd w:val="clear" w:color="auto" w:fill="D9EAF7"/>
            <w:vAlign w:val="center"/>
          </w:tcPr>
          <w:p w14:paraId="51A7421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ENU 期望方向</w:t>
            </w:r>
          </w:p>
        </w:tc>
      </w:tr>
      <w:tr w14:paraId="56E5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3180" w:type="dxa"/>
            <w:vAlign w:val="center"/>
          </w:tcPr>
          <w:p w14:paraId="6F3C205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Az=0, El=0</w:t>
            </w:r>
          </w:p>
        </w:tc>
        <w:tc>
          <w:tcPr>
            <w:tcW w:w="3180" w:type="dxa"/>
            <w:vAlign w:val="center"/>
          </w:tcPr>
          <w:p w14:paraId="4AF884B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(0,1,0) North</w:t>
            </w:r>
          </w:p>
        </w:tc>
      </w:tr>
      <w:tr w14:paraId="27A8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3180" w:type="dxa"/>
            <w:vAlign w:val="center"/>
          </w:tcPr>
          <w:p w14:paraId="3D0E7C5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Az=90, El=0</w:t>
            </w:r>
          </w:p>
        </w:tc>
        <w:tc>
          <w:tcPr>
            <w:tcW w:w="3180" w:type="dxa"/>
            <w:vAlign w:val="center"/>
          </w:tcPr>
          <w:p w14:paraId="4A2EE82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(1,0,0) East</w:t>
            </w:r>
          </w:p>
        </w:tc>
      </w:tr>
      <w:tr w14:paraId="04B8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3180" w:type="dxa"/>
            <w:vAlign w:val="center"/>
          </w:tcPr>
          <w:p w14:paraId="722CE19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Az=180, El=0</w:t>
            </w:r>
          </w:p>
        </w:tc>
        <w:tc>
          <w:tcPr>
            <w:tcW w:w="3180" w:type="dxa"/>
            <w:vAlign w:val="center"/>
          </w:tcPr>
          <w:p w14:paraId="29294CB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(0,-1,0) South</w:t>
            </w:r>
          </w:p>
        </w:tc>
      </w:tr>
      <w:tr w14:paraId="54E3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3180" w:type="dxa"/>
            <w:vAlign w:val="center"/>
          </w:tcPr>
          <w:p w14:paraId="682D040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Az=270, El=0</w:t>
            </w:r>
          </w:p>
        </w:tc>
        <w:tc>
          <w:tcPr>
            <w:tcW w:w="3180" w:type="dxa"/>
            <w:vAlign w:val="center"/>
          </w:tcPr>
          <w:p w14:paraId="6FC93D9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(-1,0,0) West</w:t>
            </w:r>
          </w:p>
        </w:tc>
      </w:tr>
      <w:tr w14:paraId="7518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3180" w:type="dxa"/>
            <w:vAlign w:val="center"/>
          </w:tcPr>
          <w:p w14:paraId="1E21338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Az=0, El=30</w:t>
            </w:r>
          </w:p>
        </w:tc>
        <w:tc>
          <w:tcPr>
            <w:tcW w:w="3180" w:type="dxa"/>
            <w:vAlign w:val="center"/>
          </w:tcPr>
          <w:p w14:paraId="54060BC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Up 分量=+0.5</w:t>
            </w:r>
          </w:p>
        </w:tc>
      </w:tr>
    </w:tbl>
    <w:p w14:paraId="4C27371C">
      <w:pPr>
        <w:spacing w:after="20"/>
      </w:pPr>
    </w:p>
    <w:p w14:paraId="3A1D861D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17.2 EPW 闭环测试</w:t>
      </w:r>
    </w:p>
    <w:p w14:paraId="664D5787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随机选取白天记录，计算太阳高度 h，并比较 GHI_model=DHI+DNI·sin(h) 与 EPW GHI。若误差突然很大，先检查时间中点和时区。照度侧同样比较 Global Horizontal Illuminance。</w:t>
      </w:r>
    </w:p>
    <w:p w14:paraId="4144B790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17.3 HDR 动态范围测试</w:t>
      </w:r>
    </w:p>
    <w:p w14:paraId="6E63ED40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加载 HDR/EXR 后打印 min/max/mean。若太阳区域真实高亮，应能看到 maxRGB 明显大于 1。再比较 tone mapping 前后的统计，确认只有显示图被压缩。</w:t>
      </w:r>
    </w:p>
    <w:p w14:paraId="07EE42D4">
      <w:pPr>
        <w:pStyle w:val="107"/>
        <w:keepNext/>
        <w:spacing w:before="140" w:after="100"/>
      </w:pPr>
      <w:r>
        <w:rPr>
          <w:rFonts w:ascii="Times New Roman" w:hAnsi="Times New Roman" w:eastAsia="宋体"/>
          <w:b/>
          <w:sz w:val="26"/>
        </w:rPr>
        <w:t>17.4 方向一致性测试</w:t>
      </w:r>
    </w:p>
    <w:p w14:paraId="229ACC21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把全景图中一个容易识别的地标或太阳设置为 North/某个方位；分别观察：二维全景 NSWE 标记、VTK 球面位置、透视图中心、ROI/射线。四者应对应同一个真实方向。</w:t>
      </w:r>
    </w:p>
    <w:p w14:paraId="3526B7A6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18、常见问题与调试建议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457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8" w:type="dxa"/>
            <w:shd w:val="clear" w:color="auto" w:fill="D9EAF7"/>
            <w:vAlign w:val="center"/>
          </w:tcPr>
          <w:p w14:paraId="6B58301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现象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75805DC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优先检查</w:t>
            </w:r>
          </w:p>
        </w:tc>
      </w:tr>
      <w:tr w14:paraId="5BDB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2E11970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HDR/EXR 看起来和 PNG 一样平</w:t>
            </w:r>
          </w:p>
        </w:tc>
        <w:tc>
          <w:tcPr>
            <w:tcW w:w="6236" w:type="dxa"/>
            <w:vAlign w:val="center"/>
          </w:tcPr>
          <w:p w14:paraId="079E9AB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是否过早转 uint8_t；是否把 float clamp 到 0~1</w:t>
            </w:r>
          </w:p>
        </w:tc>
      </w:tr>
      <w:tr w14:paraId="0C65B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5B1A12A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球面贴图能显示但左右反</w:t>
            </w:r>
          </w:p>
        </w:tc>
        <w:tc>
          <w:tcPr>
            <w:tcW w:w="6236" w:type="dxa"/>
            <w:vAlign w:val="center"/>
          </w:tcPr>
          <w:p w14:paraId="57348D3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North 偏移、u 方位角正方向、VTK texture 坐标</w:t>
            </w:r>
          </w:p>
        </w:tc>
      </w:tr>
      <w:tr w14:paraId="73C9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59FD7CD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球面贴图上下颠倒</w:t>
            </w:r>
          </w:p>
        </w:tc>
        <w:tc>
          <w:tcPr>
            <w:tcW w:w="6236" w:type="dxa"/>
            <w:vAlign w:val="center"/>
          </w:tcPr>
          <w:p w14:paraId="6F9039B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ENU/NED Up/Down、v=acos(Up)/π、纹理 V 翻转</w:t>
            </w:r>
          </w:p>
        </w:tc>
      </w:tr>
      <w:tr w14:paraId="175F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24CF734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Yaw=0 不是北</w:t>
            </w:r>
          </w:p>
        </w:tc>
        <w:tc>
          <w:tcPr>
            <w:tcW w:w="6236" w:type="dxa"/>
            <w:vAlign w:val="center"/>
          </w:tcPr>
          <w:p w14:paraId="610EF70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是否还在使用旧 Y-up 旋转矩阵；是否统一 directionENU()</w:t>
            </w:r>
          </w:p>
        </w:tc>
      </w:tr>
      <w:tr w14:paraId="7A587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432A2E0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切换 NED 后天空变成地面</w:t>
            </w:r>
          </w:p>
        </w:tc>
        <w:tc>
          <w:tcPr>
            <w:tcW w:w="6236" w:type="dxa"/>
            <w:vAlign w:val="center"/>
          </w:tcPr>
          <w:p w14:paraId="40D0DF4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是否把 NED 向量传进了 CIE/SkyPerspective 物理模型</w:t>
            </w:r>
          </w:p>
        </w:tc>
      </w:tr>
      <w:tr w14:paraId="0F6AD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5422BA1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GHI 验证误差很大</w:t>
            </w:r>
          </w:p>
        </w:tc>
        <w:tc>
          <w:tcPr>
            <w:tcW w:w="6236" w:type="dxa"/>
            <w:vAlign w:val="center"/>
          </w:tcPr>
          <w:p w14:paraId="7EC21DF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EPW Hour/Minute、时区、经纬度、DNI/DHI 字段索引</w:t>
            </w:r>
          </w:p>
        </w:tc>
      </w:tr>
      <w:tr w14:paraId="504D8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7C2CDE9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VTK OpenGL 空指针崩溃</w:t>
            </w:r>
          </w:p>
        </w:tc>
        <w:tc>
          <w:tcPr>
            <w:tcW w:w="6236" w:type="dxa"/>
            <w:vAlign w:val="center"/>
          </w:tcPr>
          <w:p w14:paraId="2E1BB58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第一次 Render 时 actor 是否绑定了无输入的 vtkTexture</w:t>
            </w:r>
          </w:p>
        </w:tc>
      </w:tr>
      <w:tr w14:paraId="27F1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8" w:type="dxa"/>
            <w:vAlign w:val="center"/>
          </w:tcPr>
          <w:p w14:paraId="631E966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太阳盘过暗/过亮</w:t>
            </w:r>
          </w:p>
        </w:tc>
        <w:tc>
          <w:tcPr>
            <w:tcW w:w="6236" w:type="dxa"/>
            <w:vAlign w:val="center"/>
          </w:tcPr>
          <w:p w14:paraId="4C084AB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DNI 是否被天气视觉衰减再次修改；Ωsun 是否使用统一角半径</w:t>
            </w:r>
          </w:p>
        </w:tc>
      </w:tr>
    </w:tbl>
    <w:p w14:paraId="1635A1C2">
      <w:pPr>
        <w:spacing w:after="20"/>
      </w:pPr>
    </w:p>
    <w:p w14:paraId="094CE11E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19、术语与参数速查表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6C0C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  <w:jc w:val="center"/>
        </w:trPr>
        <w:tc>
          <w:tcPr>
            <w:tcW w:w="2840" w:type="dxa"/>
            <w:shd w:val="clear" w:color="auto" w:fill="D9EAF7"/>
            <w:vAlign w:val="center"/>
          </w:tcPr>
          <w:p w14:paraId="4C22E60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术语/参数</w:t>
            </w:r>
          </w:p>
        </w:tc>
        <w:tc>
          <w:tcPr>
            <w:tcW w:w="2840" w:type="dxa"/>
            <w:shd w:val="clear" w:color="auto" w:fill="D9EAF7"/>
            <w:vAlign w:val="center"/>
          </w:tcPr>
          <w:p w14:paraId="0BD794E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tcW w:w="2840" w:type="dxa"/>
            <w:shd w:val="clear" w:color="auto" w:fill="D9EAF7"/>
            <w:vAlign w:val="center"/>
          </w:tcPr>
          <w:p w14:paraId="1B5D0C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推荐/当前语义</w:t>
            </w:r>
          </w:p>
        </w:tc>
      </w:tr>
      <w:tr w14:paraId="0BE1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66F72EC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ENU</w:t>
            </w:r>
          </w:p>
        </w:tc>
        <w:tc>
          <w:tcPr>
            <w:tcW w:w="2840" w:type="dxa"/>
            <w:vAlign w:val="center"/>
          </w:tcPr>
          <w:p w14:paraId="02B69CE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East-North-Up</w:t>
            </w:r>
          </w:p>
        </w:tc>
        <w:tc>
          <w:tcPr>
            <w:tcW w:w="2840" w:type="dxa"/>
            <w:vAlign w:val="center"/>
          </w:tcPr>
          <w:p w14:paraId="77D65D6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物理层 canonical 坐标</w:t>
            </w:r>
          </w:p>
        </w:tc>
      </w:tr>
      <w:tr w14:paraId="2F01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0C285BE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NED</w:t>
            </w:r>
          </w:p>
        </w:tc>
        <w:tc>
          <w:tcPr>
            <w:tcW w:w="2840" w:type="dxa"/>
            <w:vAlign w:val="center"/>
          </w:tcPr>
          <w:p w14:paraId="0D9D974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North-East-Down</w:t>
            </w:r>
          </w:p>
        </w:tc>
        <w:tc>
          <w:tcPr>
            <w:tcW w:w="2840" w:type="dxa"/>
            <w:vAlign w:val="center"/>
          </w:tcPr>
          <w:p w14:paraId="1FD9FD9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可选世界显示坐标</w:t>
            </w:r>
          </w:p>
        </w:tc>
      </w:tr>
      <w:tr w14:paraId="412A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3807C41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Azimuth</w:t>
            </w:r>
          </w:p>
        </w:tc>
        <w:tc>
          <w:tcPr>
            <w:tcW w:w="2840" w:type="dxa"/>
            <w:vAlign w:val="center"/>
          </w:tcPr>
          <w:p w14:paraId="27EBB97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水平面方位角</w:t>
            </w:r>
          </w:p>
        </w:tc>
        <w:tc>
          <w:tcPr>
            <w:tcW w:w="2840" w:type="dxa"/>
            <w:vAlign w:val="center"/>
          </w:tcPr>
          <w:p w14:paraId="44E69AB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0=N,90=E,180=S,270=W</w:t>
            </w:r>
          </w:p>
        </w:tc>
      </w:tr>
      <w:tr w14:paraId="0255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59B4A75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Elevation</w:t>
            </w:r>
          </w:p>
        </w:tc>
        <w:tc>
          <w:tcPr>
            <w:tcW w:w="2840" w:type="dxa"/>
            <w:vAlign w:val="center"/>
          </w:tcPr>
          <w:p w14:paraId="232515E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仰角</w:t>
            </w:r>
          </w:p>
        </w:tc>
        <w:tc>
          <w:tcPr>
            <w:tcW w:w="2840" w:type="dxa"/>
            <w:vAlign w:val="center"/>
          </w:tcPr>
          <w:p w14:paraId="6F47154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正=向上，负=向下</w:t>
            </w:r>
          </w:p>
        </w:tc>
      </w:tr>
      <w:tr w14:paraId="13A0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5DBF856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Roll</w:t>
            </w:r>
          </w:p>
        </w:tc>
        <w:tc>
          <w:tcPr>
            <w:tcW w:w="2840" w:type="dxa"/>
            <w:vAlign w:val="center"/>
          </w:tcPr>
          <w:p w14:paraId="6B7D7CD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绕 forward 旋转画面</w:t>
            </w:r>
          </w:p>
        </w:tc>
        <w:tc>
          <w:tcPr>
            <w:tcW w:w="2840" w:type="dxa"/>
            <w:vAlign w:val="center"/>
          </w:tcPr>
          <w:p w14:paraId="4DB6934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-180°~180°</w:t>
            </w:r>
          </w:p>
        </w:tc>
      </w:tr>
      <w:tr w14:paraId="65F49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616B5B2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HFOV</w:t>
            </w:r>
          </w:p>
        </w:tc>
        <w:tc>
          <w:tcPr>
            <w:tcW w:w="2840" w:type="dxa"/>
            <w:vAlign w:val="center"/>
          </w:tcPr>
          <w:p w14:paraId="6A7912C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水平视场角</w:t>
            </w:r>
          </w:p>
        </w:tc>
        <w:tc>
          <w:tcPr>
            <w:tcW w:w="2840" w:type="dxa"/>
            <w:vAlign w:val="center"/>
          </w:tcPr>
          <w:p w14:paraId="670DFC6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决定左右范围</w:t>
            </w:r>
          </w:p>
        </w:tc>
      </w:tr>
      <w:tr w14:paraId="1A8B7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1BB685E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VFOV</w:t>
            </w:r>
          </w:p>
        </w:tc>
        <w:tc>
          <w:tcPr>
            <w:tcW w:w="2840" w:type="dxa"/>
            <w:vAlign w:val="center"/>
          </w:tcPr>
          <w:p w14:paraId="04AAB57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垂直视场角</w:t>
            </w:r>
          </w:p>
        </w:tc>
        <w:tc>
          <w:tcPr>
            <w:tcW w:w="2840" w:type="dxa"/>
            <w:vAlign w:val="center"/>
          </w:tcPr>
          <w:p w14:paraId="243F082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决定上下范围</w:t>
            </w:r>
          </w:p>
        </w:tc>
      </w:tr>
      <w:tr w14:paraId="57D02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2D0DB04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North Direction</w:t>
            </w:r>
          </w:p>
        </w:tc>
        <w:tc>
          <w:tcPr>
            <w:tcW w:w="2840" w:type="dxa"/>
            <w:vAlign w:val="center"/>
          </w:tcPr>
          <w:p w14:paraId="049EE05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源全景 North 位置</w:t>
            </w:r>
          </w:p>
        </w:tc>
        <w:tc>
          <w:tcPr>
            <w:tcW w:w="2840" w:type="dxa"/>
            <w:vAlign w:val="center"/>
          </w:tcPr>
          <w:p w14:paraId="7669FFA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只校准图片方位，不改 HDR 像素</w:t>
            </w:r>
          </w:p>
        </w:tc>
      </w:tr>
      <w:tr w14:paraId="02BA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78D9ADE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DHI</w:t>
            </w:r>
          </w:p>
        </w:tc>
        <w:tc>
          <w:tcPr>
            <w:tcW w:w="2840" w:type="dxa"/>
            <w:vAlign w:val="center"/>
          </w:tcPr>
          <w:p w14:paraId="376FDB9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散射水平辐照度</w:t>
            </w:r>
          </w:p>
        </w:tc>
        <w:tc>
          <w:tcPr>
            <w:tcW w:w="2840" w:type="dxa"/>
            <w:vAlign w:val="center"/>
          </w:tcPr>
          <w:p w14:paraId="4FE5589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天空辐射标定</w:t>
            </w:r>
          </w:p>
        </w:tc>
      </w:tr>
      <w:tr w14:paraId="57F7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234F78D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DNI</w:t>
            </w:r>
          </w:p>
        </w:tc>
        <w:tc>
          <w:tcPr>
            <w:tcW w:w="2840" w:type="dxa"/>
            <w:vAlign w:val="center"/>
          </w:tcPr>
          <w:p w14:paraId="12E473F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直射法向辐照度</w:t>
            </w:r>
          </w:p>
        </w:tc>
        <w:tc>
          <w:tcPr>
            <w:tcW w:w="2840" w:type="dxa"/>
            <w:vAlign w:val="center"/>
          </w:tcPr>
          <w:p w14:paraId="00A072C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太阳辐射标定</w:t>
            </w:r>
          </w:p>
        </w:tc>
      </w:tr>
      <w:tr w14:paraId="2E69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53E33AC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GHI</w:t>
            </w:r>
          </w:p>
        </w:tc>
        <w:tc>
          <w:tcPr>
            <w:tcW w:w="2840" w:type="dxa"/>
            <w:vAlign w:val="center"/>
          </w:tcPr>
          <w:p w14:paraId="44E12D6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水平总辐照度</w:t>
            </w:r>
          </w:p>
        </w:tc>
        <w:tc>
          <w:tcPr>
            <w:tcW w:w="2840" w:type="dxa"/>
            <w:vAlign w:val="center"/>
          </w:tcPr>
          <w:p w14:paraId="6AC187A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闭环验证</w:t>
            </w:r>
          </w:p>
        </w:tc>
      </w:tr>
      <w:tr w14:paraId="00B5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4EE51D9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Zenith Luminance</w:t>
            </w:r>
          </w:p>
        </w:tc>
        <w:tc>
          <w:tcPr>
            <w:tcW w:w="2840" w:type="dxa"/>
            <w:vAlign w:val="center"/>
          </w:tcPr>
          <w:p w14:paraId="26753AC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天顶亮度</w:t>
            </w:r>
          </w:p>
        </w:tc>
        <w:tc>
          <w:tcPr>
            <w:tcW w:w="2840" w:type="dxa"/>
            <w:vAlign w:val="center"/>
          </w:tcPr>
          <w:p w14:paraId="1355CE3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第三种 CIE 标定</w:t>
            </w:r>
          </w:p>
        </w:tc>
      </w:tr>
      <w:tr w14:paraId="03C3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5D22778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Ωsun</w:t>
            </w:r>
          </w:p>
        </w:tc>
        <w:tc>
          <w:tcPr>
            <w:tcW w:w="2840" w:type="dxa"/>
            <w:vAlign w:val="center"/>
          </w:tcPr>
          <w:p w14:paraId="2DFFB72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太阳立体角</w:t>
            </w:r>
          </w:p>
        </w:tc>
        <w:tc>
          <w:tcPr>
            <w:tcW w:w="2840" w:type="dxa"/>
            <w:vAlign w:val="center"/>
          </w:tcPr>
          <w:p w14:paraId="031A7D7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由 0.2665° 角半径计算</w:t>
            </w:r>
          </w:p>
        </w:tc>
      </w:tr>
      <w:tr w14:paraId="2AB4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2840" w:type="dxa"/>
            <w:vAlign w:val="center"/>
          </w:tcPr>
          <w:p w14:paraId="50AC197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HDRImage</w:t>
            </w:r>
          </w:p>
        </w:tc>
        <w:tc>
          <w:tcPr>
            <w:tcW w:w="2840" w:type="dxa"/>
            <w:vAlign w:val="center"/>
          </w:tcPr>
          <w:p w14:paraId="1D10AB6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线性 float 图像</w:t>
            </w:r>
          </w:p>
        </w:tc>
        <w:tc>
          <w:tcPr>
            <w:tcW w:w="2840" w:type="dxa"/>
            <w:vAlign w:val="center"/>
          </w:tcPr>
          <w:p w14:paraId="662B681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计算链路的主数据结构</w:t>
            </w:r>
          </w:p>
        </w:tc>
      </w:tr>
      <w:tr w14:paraId="3306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2840" w:type="dxa"/>
            <w:vAlign w:val="center"/>
          </w:tcPr>
          <w:p w14:paraId="574E287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Tone Mapping</w:t>
            </w:r>
          </w:p>
        </w:tc>
        <w:tc>
          <w:tcPr>
            <w:tcW w:w="2840" w:type="dxa"/>
            <w:vAlign w:val="center"/>
          </w:tcPr>
          <w:p w14:paraId="2EA7DFF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HDR 到显示范围</w:t>
            </w:r>
          </w:p>
        </w:tc>
        <w:tc>
          <w:tcPr>
            <w:tcW w:w="2840" w:type="dxa"/>
            <w:vAlign w:val="center"/>
          </w:tcPr>
          <w:p w14:paraId="26DFB62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仅用于预览</w:t>
            </w:r>
          </w:p>
        </w:tc>
      </w:tr>
    </w:tbl>
    <w:p w14:paraId="5E71E23C">
      <w:pPr>
        <w:spacing w:after="20"/>
      </w:pPr>
    </w:p>
    <w:p w14:paraId="40D590A4">
      <w:pPr>
        <w:pStyle w:val="106"/>
        <w:keepNext/>
        <w:spacing w:before="200" w:after="100"/>
      </w:pPr>
      <w:r>
        <w:rPr>
          <w:rFonts w:ascii="Times New Roman" w:hAnsi="Times New Roman" w:eastAsia="宋体"/>
          <w:b/>
          <w:sz w:val="30"/>
        </w:rPr>
        <w:t>20、结论</w:t>
      </w:r>
    </w:p>
    <w:p w14:paraId="1C51F2B3">
      <w:pPr>
        <w:spacing w:before="0" w:after="10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envLight 的关键设计可以归纳为三条：第一，物理层统一 ENU，NED 只作为世界表示；第二，CIE Sky 的相对分布必须通过 EPW 的 DHI/照度/天顶亮度进行绝对标定，太阳盘独立由 DNI/直射法向照度标定，并使用 GHI/Global Illuminance 做闭环验证；第三，HDR/EXR 的高动态范围必须在加载、采样、透视计算中一直保持 float，Tone Mapping 只用于 Qt/VTK 显示。只要这三条边界保持清晰，后续扩展 Perez Sky、太阳光谱、HDR 辐照度积分或光照分析时都不容易出现“方向对不上、亮度被压扁、单位混用”的问题。</w:t>
      </w:r>
    </w:p>
    <w:sectPr>
      <w:pgSz w:w="11906" w:h="16838"/>
      <w:pgMar w:top="1247" w:right="1134" w:bottom="1191" w:left="1134" w:header="851" w:footer="992" w:gutter="0"/>
      <w:cols w:space="425" w:num="1"/>
      <w:titlePg/>
      <w:docGrid w:type="lines" w:linePitch="40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ˎ̥">
    <w:altName w:val="Noto Sans CJK JP Light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Noto Sans CJK JP Light">
    <w:panose1 w:val="020B0300000000000000"/>
    <w:charset w:val="86"/>
    <w:family w:val="auto"/>
    <w:pitch w:val="default"/>
    <w:sig w:usb0="30000003" w:usb1="2BDF3C10" w:usb2="00000016" w:usb3="00000000" w:csb0="602E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1A63A">
    <w:pPr>
      <w:pBdr>
        <w:top w:val="single" w:color="000000" w:sz="8" w:space="1"/>
      </w:pBdr>
      <w:jc w:val="center"/>
    </w:pPr>
    <w:r>
      <w:rPr>
        <w:rFonts w:ascii="Times New Roman" w:hAnsi="Times New Roman" w:eastAsia="宋体"/>
        <w:sz w:val="17"/>
      </w:rPr>
      <w:t>envLight 项目开发文档    第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宋体"/>
        <w:sz w:val="17"/>
      </w:rPr>
      <w:t>页 / 共</w:t>
    </w:r>
    <w:r>
      <w:fldChar w:fldCharType="begin"/>
    </w:r>
    <w:r>
      <w:instrText xml:space="preserve">NUMPAGES</w:instrText>
    </w:r>
    <w:r>
      <w:fldChar w:fldCharType="end"/>
    </w:r>
    <w:r>
      <w:rPr>
        <w:rFonts w:ascii="Times New Roman" w:hAnsi="Times New Roman" w:eastAsia="宋体"/>
        <w:sz w:val="17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9EA32">
    <w:pPr>
      <w:spacing w:before="48" w:after="48"/>
      <w:ind w:right="210" w:firstLine="420"/>
    </w:pPr>
  </w:p>
  <w:p w14:paraId="680A5AD3">
    <w:pPr>
      <w:spacing w:before="48" w:after="4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FE40C">
    <w:pPr>
      <w:pStyle w:val="57"/>
      <w:spacing w:before="48" w:after="48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94D6E">
    <w:pPr>
      <w:pBdr>
        <w:bottom w:val="single" w:color="000000" w:sz="8" w:space="1"/>
      </w:pBdr>
      <w:jc w:val="right"/>
    </w:pPr>
    <w:r>
      <w:rPr>
        <w:rFonts w:ascii="Times New Roman" w:hAnsi="Times New Roman" w:eastAsia="宋体"/>
        <w:sz w:val="18"/>
      </w:rPr>
      <w:t>文件编号/版本：ENV</w:t>
    </w:r>
    <w:r>
      <w:rPr>
        <w:rFonts w:hint="eastAsia" w:eastAsia="宋体"/>
        <w:sz w:val="18"/>
        <w:lang w:val="en-US" w:eastAsia="zh-CN"/>
      </w:rPr>
      <w:t>Light</w:t>
    </w:r>
    <w:r>
      <w:rPr>
        <w:rFonts w:ascii="Times New Roman" w:hAnsi="Times New Roman" w:eastAsia="宋体"/>
        <w:sz w:val="18"/>
      </w:rPr>
      <w:t>-001/V1.1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9D95D">
    <w:pPr>
      <w:spacing w:before="48" w:after="48"/>
      <w:ind w:firstLine="360"/>
    </w:pPr>
  </w:p>
  <w:p w14:paraId="5EB489DE">
    <w:pPr>
      <w:spacing w:before="48" w:after="4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7192">
    <w:pPr>
      <w:pStyle w:val="25"/>
      <w:pBdr>
        <w:bottom w:val="none" w:color="auto" w:sz="0" w:space="0"/>
      </w:pBdr>
      <w:spacing w:before="48" w:after="48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C2905"/>
    <w:multiLevelType w:val="multilevel"/>
    <w:tmpl w:val="07EC2905"/>
    <w:lvl w:ilvl="0" w:tentative="0">
      <w:start w:val="1"/>
      <w:numFmt w:val="decimal"/>
      <w:pStyle w:val="96"/>
      <w:lvlText w:val="表%1"/>
      <w:legacy w:legacy="1" w:legacySpace="0" w:legacyIndent="360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3E2669C"/>
    <w:multiLevelType w:val="multilevel"/>
    <w:tmpl w:val="13E2669C"/>
    <w:lvl w:ilvl="0" w:tentative="0">
      <w:start w:val="1"/>
      <w:numFmt w:val="upperLetter"/>
      <w:pStyle w:val="69"/>
      <w:lvlText w:val="附录%1"/>
      <w:lvlJc w:val="left"/>
      <w:pPr>
        <w:ind w:left="0" w:firstLine="0"/>
      </w:pPr>
      <w:rPr>
        <w:rFonts w:hint="eastAsia"/>
        <w:b/>
        <w:i w:val="0"/>
        <w:sz w:val="32"/>
      </w:rPr>
    </w:lvl>
    <w:lvl w:ilvl="1" w:tentative="0">
      <w:start w:val="1"/>
      <w:numFmt w:val="decimal"/>
      <w:pStyle w:val="70"/>
      <w:lvlText w:val="%1.%2"/>
      <w:lvlJc w:val="left"/>
      <w:pPr>
        <w:ind w:left="0" w:firstLine="0"/>
      </w:pPr>
      <w:rPr>
        <w:rFonts w:hint="default" w:ascii="Times New Roman" w:hAnsi="Times New Roman"/>
        <w:b/>
        <w:i w:val="0"/>
        <w:sz w:val="30"/>
      </w:rPr>
    </w:lvl>
    <w:lvl w:ilvl="2" w:tentative="0">
      <w:start w:val="1"/>
      <w:numFmt w:val="decimal"/>
      <w:pStyle w:val="71"/>
      <w:lvlText w:val="%1.%2.%3"/>
      <w:lvlJc w:val="left"/>
      <w:pPr>
        <w:ind w:left="0" w:firstLine="0"/>
      </w:pPr>
      <w:rPr>
        <w:rFonts w:hint="default" w:ascii="Times New Roman" w:hAnsi="Times New Roman"/>
        <w:b/>
        <w:i w:val="0"/>
        <w:sz w:val="28"/>
      </w:rPr>
    </w:lvl>
    <w:lvl w:ilvl="3" w:tentative="0">
      <w:start w:val="1"/>
      <w:numFmt w:val="decimal"/>
      <w:pStyle w:val="72"/>
      <w:lvlText w:val="%1.%2.%3.%4"/>
      <w:lvlJc w:val="left"/>
      <w:pPr>
        <w:ind w:left="0" w:firstLine="0"/>
      </w:pPr>
      <w:rPr>
        <w:rFonts w:hint="default" w:ascii="Times New Roman" w:hAnsi="Times New Roman"/>
        <w:b/>
        <w:i w:val="0"/>
        <w:sz w:val="28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>
    <w:nsid w:val="22ED087C"/>
    <w:multiLevelType w:val="multilevel"/>
    <w:tmpl w:val="22ED087C"/>
    <w:lvl w:ilvl="0" w:tentative="0">
      <w:start w:val="1"/>
      <w:numFmt w:val="decimal"/>
      <w:pStyle w:val="55"/>
      <w:lvlText w:val="图%1"/>
      <w:lvlJc w:val="left"/>
      <w:pPr>
        <w:ind w:left="420" w:hanging="420"/>
      </w:pPr>
      <w:rPr>
        <w:rFonts w:hint="default" w:ascii="Times New Roman" w:hAnsi="Times New Roman" w:eastAsia="仿宋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2B7004"/>
    <w:multiLevelType w:val="multilevel"/>
    <w:tmpl w:val="482B7004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7C4C413E"/>
    <w:multiLevelType w:val="multilevel"/>
    <w:tmpl w:val="7C4C413E"/>
    <w:lvl w:ilvl="0" w:tentative="0">
      <w:start w:val="1"/>
      <w:numFmt w:val="decimal"/>
      <w:pStyle w:val="54"/>
      <w:lvlText w:val="表%1"/>
      <w:lvlJc w:val="left"/>
      <w:pPr>
        <w:ind w:left="420" w:hanging="420"/>
      </w:pPr>
      <w:rPr>
        <w:rFonts w:hint="default" w:ascii="Times New Roman" w:hAnsi="Times New Roman" w:eastAsia="仿宋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204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326"/>
    <w:rsid w:val="000019BC"/>
    <w:rsid w:val="000060FB"/>
    <w:rsid w:val="00006CA7"/>
    <w:rsid w:val="00016968"/>
    <w:rsid w:val="00016AE9"/>
    <w:rsid w:val="00016C24"/>
    <w:rsid w:val="00025D6F"/>
    <w:rsid w:val="000320DA"/>
    <w:rsid w:val="00032B66"/>
    <w:rsid w:val="0003413A"/>
    <w:rsid w:val="00034A25"/>
    <w:rsid w:val="000424DF"/>
    <w:rsid w:val="000443D5"/>
    <w:rsid w:val="00045CC8"/>
    <w:rsid w:val="00047636"/>
    <w:rsid w:val="00053079"/>
    <w:rsid w:val="00054676"/>
    <w:rsid w:val="000663A0"/>
    <w:rsid w:val="00072C07"/>
    <w:rsid w:val="00074B90"/>
    <w:rsid w:val="00086245"/>
    <w:rsid w:val="00090C35"/>
    <w:rsid w:val="00090E2E"/>
    <w:rsid w:val="00091544"/>
    <w:rsid w:val="00092D9E"/>
    <w:rsid w:val="000931B0"/>
    <w:rsid w:val="000934DE"/>
    <w:rsid w:val="00093D0D"/>
    <w:rsid w:val="000975FF"/>
    <w:rsid w:val="000A1A3A"/>
    <w:rsid w:val="000A7D80"/>
    <w:rsid w:val="000B04AB"/>
    <w:rsid w:val="000B768A"/>
    <w:rsid w:val="000B7ED2"/>
    <w:rsid w:val="000C1466"/>
    <w:rsid w:val="000C47CF"/>
    <w:rsid w:val="000C542D"/>
    <w:rsid w:val="000D0F52"/>
    <w:rsid w:val="000D6165"/>
    <w:rsid w:val="000D6CB2"/>
    <w:rsid w:val="000D7573"/>
    <w:rsid w:val="000E170A"/>
    <w:rsid w:val="000E62AA"/>
    <w:rsid w:val="000F022C"/>
    <w:rsid w:val="000F26FA"/>
    <w:rsid w:val="000F29A1"/>
    <w:rsid w:val="000F5076"/>
    <w:rsid w:val="00101FF4"/>
    <w:rsid w:val="00103CD6"/>
    <w:rsid w:val="0010548B"/>
    <w:rsid w:val="001061E4"/>
    <w:rsid w:val="0011051A"/>
    <w:rsid w:val="00116FCD"/>
    <w:rsid w:val="001179DC"/>
    <w:rsid w:val="00117DED"/>
    <w:rsid w:val="00125A1E"/>
    <w:rsid w:val="00133856"/>
    <w:rsid w:val="00133BEA"/>
    <w:rsid w:val="00136237"/>
    <w:rsid w:val="001407EC"/>
    <w:rsid w:val="00141B8C"/>
    <w:rsid w:val="00142AE6"/>
    <w:rsid w:val="001436B0"/>
    <w:rsid w:val="0015048A"/>
    <w:rsid w:val="00151AD9"/>
    <w:rsid w:val="00152E33"/>
    <w:rsid w:val="0015432B"/>
    <w:rsid w:val="00162185"/>
    <w:rsid w:val="001627BE"/>
    <w:rsid w:val="001627CE"/>
    <w:rsid w:val="00163A0E"/>
    <w:rsid w:val="00163B21"/>
    <w:rsid w:val="001715E0"/>
    <w:rsid w:val="001723A3"/>
    <w:rsid w:val="001724C8"/>
    <w:rsid w:val="00175643"/>
    <w:rsid w:val="00175F2E"/>
    <w:rsid w:val="0018229C"/>
    <w:rsid w:val="00196C00"/>
    <w:rsid w:val="001A0555"/>
    <w:rsid w:val="001A332A"/>
    <w:rsid w:val="001A3965"/>
    <w:rsid w:val="001B46C8"/>
    <w:rsid w:val="001B63C0"/>
    <w:rsid w:val="001B7F0D"/>
    <w:rsid w:val="001C0F0D"/>
    <w:rsid w:val="001C177D"/>
    <w:rsid w:val="001C2038"/>
    <w:rsid w:val="001C3F24"/>
    <w:rsid w:val="001C4227"/>
    <w:rsid w:val="001C79AC"/>
    <w:rsid w:val="001C7DC7"/>
    <w:rsid w:val="001D1383"/>
    <w:rsid w:val="001D4897"/>
    <w:rsid w:val="001D507A"/>
    <w:rsid w:val="001D5676"/>
    <w:rsid w:val="001D7512"/>
    <w:rsid w:val="001E6FA8"/>
    <w:rsid w:val="001F0FA1"/>
    <w:rsid w:val="001F1196"/>
    <w:rsid w:val="001F2912"/>
    <w:rsid w:val="001F2C22"/>
    <w:rsid w:val="001F3389"/>
    <w:rsid w:val="001F63B3"/>
    <w:rsid w:val="00204D57"/>
    <w:rsid w:val="00211450"/>
    <w:rsid w:val="00217B77"/>
    <w:rsid w:val="00221500"/>
    <w:rsid w:val="00230A9B"/>
    <w:rsid w:val="00243CF6"/>
    <w:rsid w:val="00246043"/>
    <w:rsid w:val="002504AF"/>
    <w:rsid w:val="0025577E"/>
    <w:rsid w:val="0026129A"/>
    <w:rsid w:val="002654D8"/>
    <w:rsid w:val="002703F9"/>
    <w:rsid w:val="002713CB"/>
    <w:rsid w:val="002732E9"/>
    <w:rsid w:val="00283289"/>
    <w:rsid w:val="002832C7"/>
    <w:rsid w:val="00284B37"/>
    <w:rsid w:val="00287DFD"/>
    <w:rsid w:val="002946C0"/>
    <w:rsid w:val="002A2E5E"/>
    <w:rsid w:val="002A602F"/>
    <w:rsid w:val="002B27C0"/>
    <w:rsid w:val="002B2859"/>
    <w:rsid w:val="002B3F0D"/>
    <w:rsid w:val="002B57B3"/>
    <w:rsid w:val="002C6165"/>
    <w:rsid w:val="002C69D1"/>
    <w:rsid w:val="002D20A3"/>
    <w:rsid w:val="002D3D12"/>
    <w:rsid w:val="002E21EF"/>
    <w:rsid w:val="003045FE"/>
    <w:rsid w:val="00306293"/>
    <w:rsid w:val="003079DF"/>
    <w:rsid w:val="00310845"/>
    <w:rsid w:val="003110F1"/>
    <w:rsid w:val="00312903"/>
    <w:rsid w:val="00324A1C"/>
    <w:rsid w:val="00336EAE"/>
    <w:rsid w:val="00337316"/>
    <w:rsid w:val="00342A7F"/>
    <w:rsid w:val="00344E0F"/>
    <w:rsid w:val="003479AF"/>
    <w:rsid w:val="00351A44"/>
    <w:rsid w:val="00363EED"/>
    <w:rsid w:val="00363FFE"/>
    <w:rsid w:val="0036539B"/>
    <w:rsid w:val="003659E5"/>
    <w:rsid w:val="00366704"/>
    <w:rsid w:val="00367E20"/>
    <w:rsid w:val="00370201"/>
    <w:rsid w:val="00376DDC"/>
    <w:rsid w:val="00377CE0"/>
    <w:rsid w:val="003873BA"/>
    <w:rsid w:val="00390D0B"/>
    <w:rsid w:val="0039403D"/>
    <w:rsid w:val="0039521D"/>
    <w:rsid w:val="00396217"/>
    <w:rsid w:val="00396649"/>
    <w:rsid w:val="00396AE6"/>
    <w:rsid w:val="003978EF"/>
    <w:rsid w:val="003A4203"/>
    <w:rsid w:val="003A44DC"/>
    <w:rsid w:val="003B0662"/>
    <w:rsid w:val="003B1BCA"/>
    <w:rsid w:val="003B340D"/>
    <w:rsid w:val="003C764F"/>
    <w:rsid w:val="003D379B"/>
    <w:rsid w:val="003D5017"/>
    <w:rsid w:val="003E7048"/>
    <w:rsid w:val="003F4F66"/>
    <w:rsid w:val="00401810"/>
    <w:rsid w:val="00403CE5"/>
    <w:rsid w:val="00406119"/>
    <w:rsid w:val="00407135"/>
    <w:rsid w:val="00417322"/>
    <w:rsid w:val="004260B5"/>
    <w:rsid w:val="00430FA4"/>
    <w:rsid w:val="00433C86"/>
    <w:rsid w:val="00437549"/>
    <w:rsid w:val="0043761F"/>
    <w:rsid w:val="004445C7"/>
    <w:rsid w:val="0044504B"/>
    <w:rsid w:val="00445E07"/>
    <w:rsid w:val="00450F4B"/>
    <w:rsid w:val="00456852"/>
    <w:rsid w:val="0047235F"/>
    <w:rsid w:val="00474096"/>
    <w:rsid w:val="00474A07"/>
    <w:rsid w:val="00476AA8"/>
    <w:rsid w:val="004775A3"/>
    <w:rsid w:val="004802C5"/>
    <w:rsid w:val="00484345"/>
    <w:rsid w:val="0048449B"/>
    <w:rsid w:val="0048465C"/>
    <w:rsid w:val="00486A68"/>
    <w:rsid w:val="00487681"/>
    <w:rsid w:val="00492835"/>
    <w:rsid w:val="004A0179"/>
    <w:rsid w:val="004A2BAB"/>
    <w:rsid w:val="004A4C4B"/>
    <w:rsid w:val="004A6597"/>
    <w:rsid w:val="004A744A"/>
    <w:rsid w:val="004B1824"/>
    <w:rsid w:val="004B3ECD"/>
    <w:rsid w:val="004B74A7"/>
    <w:rsid w:val="004C7AB9"/>
    <w:rsid w:val="004D26CE"/>
    <w:rsid w:val="004D2CAF"/>
    <w:rsid w:val="004D37A3"/>
    <w:rsid w:val="004D6CE2"/>
    <w:rsid w:val="004D6E58"/>
    <w:rsid w:val="004E13BA"/>
    <w:rsid w:val="004E5265"/>
    <w:rsid w:val="004F23B4"/>
    <w:rsid w:val="004F7D1A"/>
    <w:rsid w:val="00502981"/>
    <w:rsid w:val="00505218"/>
    <w:rsid w:val="00505611"/>
    <w:rsid w:val="00505647"/>
    <w:rsid w:val="00530F8C"/>
    <w:rsid w:val="005312BF"/>
    <w:rsid w:val="0053164F"/>
    <w:rsid w:val="00532CC7"/>
    <w:rsid w:val="00535017"/>
    <w:rsid w:val="0053566D"/>
    <w:rsid w:val="00540141"/>
    <w:rsid w:val="0054197F"/>
    <w:rsid w:val="00541AF5"/>
    <w:rsid w:val="0054393B"/>
    <w:rsid w:val="00544124"/>
    <w:rsid w:val="0054617B"/>
    <w:rsid w:val="00547D58"/>
    <w:rsid w:val="00557BF1"/>
    <w:rsid w:val="00560033"/>
    <w:rsid w:val="005654AD"/>
    <w:rsid w:val="00567060"/>
    <w:rsid w:val="00567316"/>
    <w:rsid w:val="005708CC"/>
    <w:rsid w:val="00570F1B"/>
    <w:rsid w:val="0057729B"/>
    <w:rsid w:val="00580640"/>
    <w:rsid w:val="005851D7"/>
    <w:rsid w:val="005875DA"/>
    <w:rsid w:val="00590916"/>
    <w:rsid w:val="00591BA6"/>
    <w:rsid w:val="0059289F"/>
    <w:rsid w:val="0059548D"/>
    <w:rsid w:val="005957B6"/>
    <w:rsid w:val="005A50FD"/>
    <w:rsid w:val="005A6819"/>
    <w:rsid w:val="005B1FE5"/>
    <w:rsid w:val="005B26D9"/>
    <w:rsid w:val="005B43CA"/>
    <w:rsid w:val="005B6458"/>
    <w:rsid w:val="005C4362"/>
    <w:rsid w:val="005C4873"/>
    <w:rsid w:val="005C54CE"/>
    <w:rsid w:val="005C7ACD"/>
    <w:rsid w:val="005D31C6"/>
    <w:rsid w:val="005D730D"/>
    <w:rsid w:val="005D7DCA"/>
    <w:rsid w:val="005E04A5"/>
    <w:rsid w:val="005E051D"/>
    <w:rsid w:val="005E1263"/>
    <w:rsid w:val="005E1C04"/>
    <w:rsid w:val="005E394B"/>
    <w:rsid w:val="005E5284"/>
    <w:rsid w:val="005E6762"/>
    <w:rsid w:val="005E7BA4"/>
    <w:rsid w:val="005F214D"/>
    <w:rsid w:val="005F4AF8"/>
    <w:rsid w:val="005F68AD"/>
    <w:rsid w:val="00604549"/>
    <w:rsid w:val="00606069"/>
    <w:rsid w:val="00606904"/>
    <w:rsid w:val="00606DCE"/>
    <w:rsid w:val="00607E3B"/>
    <w:rsid w:val="00611681"/>
    <w:rsid w:val="006143F1"/>
    <w:rsid w:val="00614498"/>
    <w:rsid w:val="006145B5"/>
    <w:rsid w:val="006171D2"/>
    <w:rsid w:val="00621FCB"/>
    <w:rsid w:val="006225AA"/>
    <w:rsid w:val="00624D75"/>
    <w:rsid w:val="00627498"/>
    <w:rsid w:val="00630B66"/>
    <w:rsid w:val="00632C30"/>
    <w:rsid w:val="00636E9F"/>
    <w:rsid w:val="006400BE"/>
    <w:rsid w:val="00640224"/>
    <w:rsid w:val="00641099"/>
    <w:rsid w:val="00641127"/>
    <w:rsid w:val="00643714"/>
    <w:rsid w:val="00646B06"/>
    <w:rsid w:val="00653293"/>
    <w:rsid w:val="00655BF4"/>
    <w:rsid w:val="00656D3C"/>
    <w:rsid w:val="006610B3"/>
    <w:rsid w:val="00662CDA"/>
    <w:rsid w:val="006652E2"/>
    <w:rsid w:val="006653F4"/>
    <w:rsid w:val="00665AFF"/>
    <w:rsid w:val="00666551"/>
    <w:rsid w:val="006668CA"/>
    <w:rsid w:val="00666E52"/>
    <w:rsid w:val="006671B3"/>
    <w:rsid w:val="00670426"/>
    <w:rsid w:val="006729B4"/>
    <w:rsid w:val="00673F09"/>
    <w:rsid w:val="006746C5"/>
    <w:rsid w:val="00676C0E"/>
    <w:rsid w:val="0068001F"/>
    <w:rsid w:val="00681988"/>
    <w:rsid w:val="00684EF7"/>
    <w:rsid w:val="0068555F"/>
    <w:rsid w:val="00686F6F"/>
    <w:rsid w:val="00687635"/>
    <w:rsid w:val="00691618"/>
    <w:rsid w:val="00697BAD"/>
    <w:rsid w:val="006A3510"/>
    <w:rsid w:val="006A3BD7"/>
    <w:rsid w:val="006A7C40"/>
    <w:rsid w:val="006B3DD1"/>
    <w:rsid w:val="006B7CC9"/>
    <w:rsid w:val="006C1775"/>
    <w:rsid w:val="006C28F8"/>
    <w:rsid w:val="006C2DF6"/>
    <w:rsid w:val="006C5310"/>
    <w:rsid w:val="006D1FD3"/>
    <w:rsid w:val="006D7082"/>
    <w:rsid w:val="006E35A7"/>
    <w:rsid w:val="006E5807"/>
    <w:rsid w:val="006E73B4"/>
    <w:rsid w:val="006F1A1F"/>
    <w:rsid w:val="006F2AC0"/>
    <w:rsid w:val="006F3DA2"/>
    <w:rsid w:val="006F4CF0"/>
    <w:rsid w:val="006F527F"/>
    <w:rsid w:val="006F585E"/>
    <w:rsid w:val="007003FE"/>
    <w:rsid w:val="007006B5"/>
    <w:rsid w:val="007009D3"/>
    <w:rsid w:val="007055A8"/>
    <w:rsid w:val="00713A24"/>
    <w:rsid w:val="007174B5"/>
    <w:rsid w:val="0072422A"/>
    <w:rsid w:val="00726E39"/>
    <w:rsid w:val="00732F1A"/>
    <w:rsid w:val="00737B4C"/>
    <w:rsid w:val="00746A14"/>
    <w:rsid w:val="00750443"/>
    <w:rsid w:val="00750BE9"/>
    <w:rsid w:val="00750F12"/>
    <w:rsid w:val="00753C3D"/>
    <w:rsid w:val="00753E6D"/>
    <w:rsid w:val="007555F4"/>
    <w:rsid w:val="0075628C"/>
    <w:rsid w:val="007565E8"/>
    <w:rsid w:val="00761AC6"/>
    <w:rsid w:val="0077124E"/>
    <w:rsid w:val="007775A1"/>
    <w:rsid w:val="0078009A"/>
    <w:rsid w:val="00780F84"/>
    <w:rsid w:val="00783691"/>
    <w:rsid w:val="00783D09"/>
    <w:rsid w:val="00785C9B"/>
    <w:rsid w:val="00787062"/>
    <w:rsid w:val="007A74BC"/>
    <w:rsid w:val="007B18F7"/>
    <w:rsid w:val="007B2EBB"/>
    <w:rsid w:val="007B7D78"/>
    <w:rsid w:val="007C0D92"/>
    <w:rsid w:val="007C13D1"/>
    <w:rsid w:val="007C1862"/>
    <w:rsid w:val="007C1BDD"/>
    <w:rsid w:val="007C2058"/>
    <w:rsid w:val="007C285A"/>
    <w:rsid w:val="007C6132"/>
    <w:rsid w:val="007C64CB"/>
    <w:rsid w:val="007C7A31"/>
    <w:rsid w:val="007C7C56"/>
    <w:rsid w:val="007D5EE3"/>
    <w:rsid w:val="007E1540"/>
    <w:rsid w:val="007E47F4"/>
    <w:rsid w:val="007E6907"/>
    <w:rsid w:val="007F08D0"/>
    <w:rsid w:val="007F1499"/>
    <w:rsid w:val="007F2794"/>
    <w:rsid w:val="007F547F"/>
    <w:rsid w:val="00801C3B"/>
    <w:rsid w:val="00802C85"/>
    <w:rsid w:val="00805405"/>
    <w:rsid w:val="00812A0A"/>
    <w:rsid w:val="0081362A"/>
    <w:rsid w:val="008170A8"/>
    <w:rsid w:val="0082350C"/>
    <w:rsid w:val="00824950"/>
    <w:rsid w:val="00826317"/>
    <w:rsid w:val="008300E8"/>
    <w:rsid w:val="0083433B"/>
    <w:rsid w:val="008360F1"/>
    <w:rsid w:val="00836CD3"/>
    <w:rsid w:val="00841DFD"/>
    <w:rsid w:val="00842FC7"/>
    <w:rsid w:val="0084308B"/>
    <w:rsid w:val="00845EF8"/>
    <w:rsid w:val="00847B88"/>
    <w:rsid w:val="00850721"/>
    <w:rsid w:val="00851BD3"/>
    <w:rsid w:val="00852903"/>
    <w:rsid w:val="008544A9"/>
    <w:rsid w:val="008617BD"/>
    <w:rsid w:val="00861DB9"/>
    <w:rsid w:val="00861E37"/>
    <w:rsid w:val="00865C70"/>
    <w:rsid w:val="00870BD8"/>
    <w:rsid w:val="00871229"/>
    <w:rsid w:val="00871642"/>
    <w:rsid w:val="00871E31"/>
    <w:rsid w:val="00872E3B"/>
    <w:rsid w:val="008730C9"/>
    <w:rsid w:val="008730F4"/>
    <w:rsid w:val="00874CDE"/>
    <w:rsid w:val="00876422"/>
    <w:rsid w:val="00880D09"/>
    <w:rsid w:val="008826D6"/>
    <w:rsid w:val="00883967"/>
    <w:rsid w:val="0088566D"/>
    <w:rsid w:val="00885A24"/>
    <w:rsid w:val="008917D7"/>
    <w:rsid w:val="008951C3"/>
    <w:rsid w:val="008977A7"/>
    <w:rsid w:val="008A147D"/>
    <w:rsid w:val="008A6336"/>
    <w:rsid w:val="008B008C"/>
    <w:rsid w:val="008B2AC9"/>
    <w:rsid w:val="008B71BB"/>
    <w:rsid w:val="008B72F9"/>
    <w:rsid w:val="008B7FD7"/>
    <w:rsid w:val="008C00F8"/>
    <w:rsid w:val="008C1460"/>
    <w:rsid w:val="008C31DF"/>
    <w:rsid w:val="008C3724"/>
    <w:rsid w:val="008C394F"/>
    <w:rsid w:val="008C7810"/>
    <w:rsid w:val="008D471A"/>
    <w:rsid w:val="008E05DD"/>
    <w:rsid w:val="008E092C"/>
    <w:rsid w:val="008E3162"/>
    <w:rsid w:val="008E4E4F"/>
    <w:rsid w:val="008F0663"/>
    <w:rsid w:val="008F2E8D"/>
    <w:rsid w:val="00901921"/>
    <w:rsid w:val="00901FD5"/>
    <w:rsid w:val="00902FEB"/>
    <w:rsid w:val="009042C9"/>
    <w:rsid w:val="009051B9"/>
    <w:rsid w:val="00912793"/>
    <w:rsid w:val="00913840"/>
    <w:rsid w:val="0091549B"/>
    <w:rsid w:val="00923DDC"/>
    <w:rsid w:val="00924C49"/>
    <w:rsid w:val="009260DF"/>
    <w:rsid w:val="00930031"/>
    <w:rsid w:val="009300CE"/>
    <w:rsid w:val="0093660F"/>
    <w:rsid w:val="00943D73"/>
    <w:rsid w:val="0094626D"/>
    <w:rsid w:val="00947378"/>
    <w:rsid w:val="00950FA4"/>
    <w:rsid w:val="009516E5"/>
    <w:rsid w:val="00951E29"/>
    <w:rsid w:val="00964A4B"/>
    <w:rsid w:val="00964EDA"/>
    <w:rsid w:val="0097054F"/>
    <w:rsid w:val="00971B47"/>
    <w:rsid w:val="00972F7C"/>
    <w:rsid w:val="00976F54"/>
    <w:rsid w:val="00982608"/>
    <w:rsid w:val="0098442F"/>
    <w:rsid w:val="00993EF6"/>
    <w:rsid w:val="009A121A"/>
    <w:rsid w:val="009B7FE4"/>
    <w:rsid w:val="009C0F56"/>
    <w:rsid w:val="009C19BB"/>
    <w:rsid w:val="009C2343"/>
    <w:rsid w:val="009C323A"/>
    <w:rsid w:val="009C3401"/>
    <w:rsid w:val="009C4202"/>
    <w:rsid w:val="009C6326"/>
    <w:rsid w:val="009D04A8"/>
    <w:rsid w:val="009D2454"/>
    <w:rsid w:val="009D324A"/>
    <w:rsid w:val="009D77EE"/>
    <w:rsid w:val="009E5572"/>
    <w:rsid w:val="009E7BF8"/>
    <w:rsid w:val="009F103F"/>
    <w:rsid w:val="009F4BB4"/>
    <w:rsid w:val="009F507E"/>
    <w:rsid w:val="009F556A"/>
    <w:rsid w:val="009F7E87"/>
    <w:rsid w:val="00A001E0"/>
    <w:rsid w:val="00A02B91"/>
    <w:rsid w:val="00A03C7D"/>
    <w:rsid w:val="00A040FA"/>
    <w:rsid w:val="00A053A5"/>
    <w:rsid w:val="00A0769F"/>
    <w:rsid w:val="00A1171C"/>
    <w:rsid w:val="00A120D4"/>
    <w:rsid w:val="00A13D8F"/>
    <w:rsid w:val="00A14AAB"/>
    <w:rsid w:val="00A1600F"/>
    <w:rsid w:val="00A16583"/>
    <w:rsid w:val="00A1665B"/>
    <w:rsid w:val="00A16D36"/>
    <w:rsid w:val="00A208E2"/>
    <w:rsid w:val="00A2325E"/>
    <w:rsid w:val="00A32A6C"/>
    <w:rsid w:val="00A36760"/>
    <w:rsid w:val="00A36C4B"/>
    <w:rsid w:val="00A407B5"/>
    <w:rsid w:val="00A41DAA"/>
    <w:rsid w:val="00A4261C"/>
    <w:rsid w:val="00A42C97"/>
    <w:rsid w:val="00A435B0"/>
    <w:rsid w:val="00A44011"/>
    <w:rsid w:val="00A509FF"/>
    <w:rsid w:val="00A50E18"/>
    <w:rsid w:val="00A53B57"/>
    <w:rsid w:val="00A55F5A"/>
    <w:rsid w:val="00A607F7"/>
    <w:rsid w:val="00A6219E"/>
    <w:rsid w:val="00A62697"/>
    <w:rsid w:val="00A632AE"/>
    <w:rsid w:val="00A64599"/>
    <w:rsid w:val="00A663FD"/>
    <w:rsid w:val="00A67E94"/>
    <w:rsid w:val="00A70158"/>
    <w:rsid w:val="00A73577"/>
    <w:rsid w:val="00A74283"/>
    <w:rsid w:val="00A76855"/>
    <w:rsid w:val="00A82A76"/>
    <w:rsid w:val="00A84D45"/>
    <w:rsid w:val="00A8522E"/>
    <w:rsid w:val="00A9176B"/>
    <w:rsid w:val="00A9496F"/>
    <w:rsid w:val="00A94B3A"/>
    <w:rsid w:val="00A971D8"/>
    <w:rsid w:val="00AA071C"/>
    <w:rsid w:val="00AA74BA"/>
    <w:rsid w:val="00AB0DAC"/>
    <w:rsid w:val="00AB1245"/>
    <w:rsid w:val="00AB15DE"/>
    <w:rsid w:val="00AB2FBE"/>
    <w:rsid w:val="00AB6346"/>
    <w:rsid w:val="00AB6EFF"/>
    <w:rsid w:val="00AB718E"/>
    <w:rsid w:val="00AC05CC"/>
    <w:rsid w:val="00AC29FC"/>
    <w:rsid w:val="00AC3721"/>
    <w:rsid w:val="00AC3C1A"/>
    <w:rsid w:val="00AC5D59"/>
    <w:rsid w:val="00AD0E53"/>
    <w:rsid w:val="00AD19C8"/>
    <w:rsid w:val="00AD3FBE"/>
    <w:rsid w:val="00AD44B5"/>
    <w:rsid w:val="00AD6C22"/>
    <w:rsid w:val="00AE09F5"/>
    <w:rsid w:val="00AE676B"/>
    <w:rsid w:val="00AF7BCE"/>
    <w:rsid w:val="00B031F2"/>
    <w:rsid w:val="00B110F3"/>
    <w:rsid w:val="00B12500"/>
    <w:rsid w:val="00B16E13"/>
    <w:rsid w:val="00B26424"/>
    <w:rsid w:val="00B30AFB"/>
    <w:rsid w:val="00B33842"/>
    <w:rsid w:val="00B342C8"/>
    <w:rsid w:val="00B41124"/>
    <w:rsid w:val="00B462FC"/>
    <w:rsid w:val="00B517C8"/>
    <w:rsid w:val="00B52D3E"/>
    <w:rsid w:val="00B53963"/>
    <w:rsid w:val="00B57CBC"/>
    <w:rsid w:val="00B601A8"/>
    <w:rsid w:val="00B61F6C"/>
    <w:rsid w:val="00B80BF0"/>
    <w:rsid w:val="00B830F3"/>
    <w:rsid w:val="00B83517"/>
    <w:rsid w:val="00B85C90"/>
    <w:rsid w:val="00B864D7"/>
    <w:rsid w:val="00B869B4"/>
    <w:rsid w:val="00B870DD"/>
    <w:rsid w:val="00B90A5B"/>
    <w:rsid w:val="00B914D8"/>
    <w:rsid w:val="00B93AEF"/>
    <w:rsid w:val="00B95DE8"/>
    <w:rsid w:val="00B97F93"/>
    <w:rsid w:val="00BA4EFA"/>
    <w:rsid w:val="00BA5230"/>
    <w:rsid w:val="00BA6F91"/>
    <w:rsid w:val="00BA7355"/>
    <w:rsid w:val="00BB43EA"/>
    <w:rsid w:val="00BB57F1"/>
    <w:rsid w:val="00BB70CA"/>
    <w:rsid w:val="00BC1400"/>
    <w:rsid w:val="00BD47D3"/>
    <w:rsid w:val="00BD6B80"/>
    <w:rsid w:val="00BE02F9"/>
    <w:rsid w:val="00BE351B"/>
    <w:rsid w:val="00BE43EE"/>
    <w:rsid w:val="00BE48BB"/>
    <w:rsid w:val="00BE498B"/>
    <w:rsid w:val="00BE79BC"/>
    <w:rsid w:val="00BF05C6"/>
    <w:rsid w:val="00BF46D6"/>
    <w:rsid w:val="00BF4795"/>
    <w:rsid w:val="00BF50E6"/>
    <w:rsid w:val="00BF571E"/>
    <w:rsid w:val="00BF6919"/>
    <w:rsid w:val="00C13550"/>
    <w:rsid w:val="00C13C62"/>
    <w:rsid w:val="00C21315"/>
    <w:rsid w:val="00C31C46"/>
    <w:rsid w:val="00C3611B"/>
    <w:rsid w:val="00C37237"/>
    <w:rsid w:val="00C4279F"/>
    <w:rsid w:val="00C447A8"/>
    <w:rsid w:val="00C5091B"/>
    <w:rsid w:val="00C50B74"/>
    <w:rsid w:val="00C553A3"/>
    <w:rsid w:val="00C55B05"/>
    <w:rsid w:val="00C560EB"/>
    <w:rsid w:val="00C656DE"/>
    <w:rsid w:val="00C65E24"/>
    <w:rsid w:val="00C67E15"/>
    <w:rsid w:val="00C7334F"/>
    <w:rsid w:val="00C75F85"/>
    <w:rsid w:val="00C801C6"/>
    <w:rsid w:val="00C8087E"/>
    <w:rsid w:val="00C91CF0"/>
    <w:rsid w:val="00C93C3C"/>
    <w:rsid w:val="00C951FE"/>
    <w:rsid w:val="00C959A9"/>
    <w:rsid w:val="00CA3A92"/>
    <w:rsid w:val="00CA6837"/>
    <w:rsid w:val="00CA73D5"/>
    <w:rsid w:val="00CB38B5"/>
    <w:rsid w:val="00CC1CA0"/>
    <w:rsid w:val="00CC59B2"/>
    <w:rsid w:val="00CD2BCF"/>
    <w:rsid w:val="00CD3DC5"/>
    <w:rsid w:val="00CE0CF6"/>
    <w:rsid w:val="00CE36B0"/>
    <w:rsid w:val="00CE607D"/>
    <w:rsid w:val="00CE7D4D"/>
    <w:rsid w:val="00CF0150"/>
    <w:rsid w:val="00CF1444"/>
    <w:rsid w:val="00CF2F1C"/>
    <w:rsid w:val="00CF3933"/>
    <w:rsid w:val="00CF4362"/>
    <w:rsid w:val="00CF4951"/>
    <w:rsid w:val="00D0201A"/>
    <w:rsid w:val="00D02BCF"/>
    <w:rsid w:val="00D0768A"/>
    <w:rsid w:val="00D1105A"/>
    <w:rsid w:val="00D16278"/>
    <w:rsid w:val="00D16441"/>
    <w:rsid w:val="00D31FE0"/>
    <w:rsid w:val="00D5512F"/>
    <w:rsid w:val="00D62761"/>
    <w:rsid w:val="00D63EEF"/>
    <w:rsid w:val="00D67F5C"/>
    <w:rsid w:val="00D7177D"/>
    <w:rsid w:val="00D749C5"/>
    <w:rsid w:val="00D77E5E"/>
    <w:rsid w:val="00D8182C"/>
    <w:rsid w:val="00D85432"/>
    <w:rsid w:val="00D856E1"/>
    <w:rsid w:val="00D91242"/>
    <w:rsid w:val="00D92FF7"/>
    <w:rsid w:val="00D953AA"/>
    <w:rsid w:val="00D9584F"/>
    <w:rsid w:val="00D964B6"/>
    <w:rsid w:val="00D96FC8"/>
    <w:rsid w:val="00DA7399"/>
    <w:rsid w:val="00DA7E1E"/>
    <w:rsid w:val="00DB0874"/>
    <w:rsid w:val="00DB0B7C"/>
    <w:rsid w:val="00DB4A06"/>
    <w:rsid w:val="00DB64EA"/>
    <w:rsid w:val="00DB773F"/>
    <w:rsid w:val="00DC1F03"/>
    <w:rsid w:val="00DC3CC9"/>
    <w:rsid w:val="00DC4820"/>
    <w:rsid w:val="00DC553D"/>
    <w:rsid w:val="00DC5856"/>
    <w:rsid w:val="00DC61CF"/>
    <w:rsid w:val="00DC772A"/>
    <w:rsid w:val="00DD0573"/>
    <w:rsid w:val="00DD1AB0"/>
    <w:rsid w:val="00DD22B5"/>
    <w:rsid w:val="00DE0EB4"/>
    <w:rsid w:val="00DE46E1"/>
    <w:rsid w:val="00DE4C36"/>
    <w:rsid w:val="00DE7FF7"/>
    <w:rsid w:val="00DF12A3"/>
    <w:rsid w:val="00DF1845"/>
    <w:rsid w:val="00DF20A3"/>
    <w:rsid w:val="00DF6414"/>
    <w:rsid w:val="00E0100E"/>
    <w:rsid w:val="00E02545"/>
    <w:rsid w:val="00E03EBC"/>
    <w:rsid w:val="00E03F00"/>
    <w:rsid w:val="00E105F8"/>
    <w:rsid w:val="00E11693"/>
    <w:rsid w:val="00E11821"/>
    <w:rsid w:val="00E118AB"/>
    <w:rsid w:val="00E1611B"/>
    <w:rsid w:val="00E20C68"/>
    <w:rsid w:val="00E21735"/>
    <w:rsid w:val="00E22E1E"/>
    <w:rsid w:val="00E232D2"/>
    <w:rsid w:val="00E248E9"/>
    <w:rsid w:val="00E25E93"/>
    <w:rsid w:val="00E30D95"/>
    <w:rsid w:val="00E32486"/>
    <w:rsid w:val="00E353D6"/>
    <w:rsid w:val="00E407D1"/>
    <w:rsid w:val="00E454A8"/>
    <w:rsid w:val="00E45C45"/>
    <w:rsid w:val="00E46BC8"/>
    <w:rsid w:val="00E510E1"/>
    <w:rsid w:val="00E521F5"/>
    <w:rsid w:val="00E5288D"/>
    <w:rsid w:val="00E55B5B"/>
    <w:rsid w:val="00E566BA"/>
    <w:rsid w:val="00E67EC7"/>
    <w:rsid w:val="00E71431"/>
    <w:rsid w:val="00E725F7"/>
    <w:rsid w:val="00E72670"/>
    <w:rsid w:val="00E752C7"/>
    <w:rsid w:val="00E76964"/>
    <w:rsid w:val="00E76E74"/>
    <w:rsid w:val="00E83A5E"/>
    <w:rsid w:val="00E846EC"/>
    <w:rsid w:val="00E85B8D"/>
    <w:rsid w:val="00E906E6"/>
    <w:rsid w:val="00EA1959"/>
    <w:rsid w:val="00EA3DAA"/>
    <w:rsid w:val="00EA7357"/>
    <w:rsid w:val="00EB3905"/>
    <w:rsid w:val="00EB5D2D"/>
    <w:rsid w:val="00EC2114"/>
    <w:rsid w:val="00EC2ACB"/>
    <w:rsid w:val="00ED0358"/>
    <w:rsid w:val="00ED3A1E"/>
    <w:rsid w:val="00ED43B5"/>
    <w:rsid w:val="00ED76E9"/>
    <w:rsid w:val="00EE3854"/>
    <w:rsid w:val="00EF677F"/>
    <w:rsid w:val="00EF7724"/>
    <w:rsid w:val="00F02898"/>
    <w:rsid w:val="00F02DB5"/>
    <w:rsid w:val="00F22681"/>
    <w:rsid w:val="00F23E4A"/>
    <w:rsid w:val="00F24561"/>
    <w:rsid w:val="00F2468D"/>
    <w:rsid w:val="00F26E15"/>
    <w:rsid w:val="00F349E5"/>
    <w:rsid w:val="00F425C2"/>
    <w:rsid w:val="00F45A61"/>
    <w:rsid w:val="00F4677E"/>
    <w:rsid w:val="00F46E84"/>
    <w:rsid w:val="00F5039C"/>
    <w:rsid w:val="00F51CEB"/>
    <w:rsid w:val="00F524E1"/>
    <w:rsid w:val="00F52FBB"/>
    <w:rsid w:val="00F534BD"/>
    <w:rsid w:val="00F560BE"/>
    <w:rsid w:val="00F56DB0"/>
    <w:rsid w:val="00F60D93"/>
    <w:rsid w:val="00F61466"/>
    <w:rsid w:val="00F62A35"/>
    <w:rsid w:val="00F641B5"/>
    <w:rsid w:val="00F67DEE"/>
    <w:rsid w:val="00F70737"/>
    <w:rsid w:val="00F71764"/>
    <w:rsid w:val="00F73502"/>
    <w:rsid w:val="00F7398A"/>
    <w:rsid w:val="00F73BDB"/>
    <w:rsid w:val="00F753F1"/>
    <w:rsid w:val="00F84902"/>
    <w:rsid w:val="00F922D0"/>
    <w:rsid w:val="00F92936"/>
    <w:rsid w:val="00F93D23"/>
    <w:rsid w:val="00F9704B"/>
    <w:rsid w:val="00F97CAA"/>
    <w:rsid w:val="00FA6BEE"/>
    <w:rsid w:val="00FA7B6B"/>
    <w:rsid w:val="00FB11A2"/>
    <w:rsid w:val="00FC0C9F"/>
    <w:rsid w:val="00FC0FBF"/>
    <w:rsid w:val="00FC1582"/>
    <w:rsid w:val="00FD061B"/>
    <w:rsid w:val="00FD3B21"/>
    <w:rsid w:val="00FE771C"/>
    <w:rsid w:val="00FE78E7"/>
    <w:rsid w:val="00FE7C36"/>
    <w:rsid w:val="00FF08C9"/>
    <w:rsid w:val="00FF1675"/>
    <w:rsid w:val="00FF1728"/>
    <w:rsid w:val="00FF643D"/>
    <w:rsid w:val="00FF6BE6"/>
    <w:rsid w:val="08CA4C07"/>
    <w:rsid w:val="1CC730D8"/>
    <w:rsid w:val="1DAC2C51"/>
    <w:rsid w:val="1E2361BC"/>
    <w:rsid w:val="1F3D1A42"/>
    <w:rsid w:val="21AD0AEE"/>
    <w:rsid w:val="2DD5052C"/>
    <w:rsid w:val="2E5234A6"/>
    <w:rsid w:val="30397CB1"/>
    <w:rsid w:val="35A16764"/>
    <w:rsid w:val="36FF05F6"/>
    <w:rsid w:val="37B25189"/>
    <w:rsid w:val="3E040B90"/>
    <w:rsid w:val="42FE6FA4"/>
    <w:rsid w:val="472D60AA"/>
    <w:rsid w:val="4CE23ED5"/>
    <w:rsid w:val="4E487B78"/>
    <w:rsid w:val="5304589A"/>
    <w:rsid w:val="60E35E5E"/>
    <w:rsid w:val="61881DC6"/>
    <w:rsid w:val="66FF4CE7"/>
    <w:rsid w:val="68792A1F"/>
    <w:rsid w:val="69310AF9"/>
    <w:rsid w:val="6A323933"/>
    <w:rsid w:val="6A406EA3"/>
    <w:rsid w:val="703A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before="20" w:beforeLines="20" w:after="20" w:afterLines="20" w:line="400" w:lineRule="atLeast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numPr>
        <w:ilvl w:val="0"/>
        <w:numId w:val="1"/>
      </w:numPr>
      <w:spacing w:before="50" w:beforeLines="50"/>
      <w:outlineLvl w:val="0"/>
    </w:pPr>
    <w:rPr>
      <w:rFonts w:ascii="Times New Roman" w:hAnsi="Times New Roman"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5"/>
    <w:unhideWhenUsed/>
    <w:qFormat/>
    <w:uiPriority w:val="9"/>
    <w:pPr>
      <w:keepNext/>
      <w:keepLines/>
      <w:numPr>
        <w:ilvl w:val="1"/>
        <w:numId w:val="1"/>
      </w:numPr>
      <w:spacing w:before="50" w:beforeLines="50"/>
      <w:jc w:val="left"/>
      <w:outlineLvl w:val="1"/>
    </w:pPr>
    <w:rPr>
      <w:rFonts w:ascii="Times New Roman" w:hAnsi="Times New Roman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numPr>
        <w:ilvl w:val="2"/>
        <w:numId w:val="1"/>
      </w:numPr>
      <w:spacing w:before="50" w:beforeLines="50"/>
      <w:jc w:val="left"/>
      <w:outlineLvl w:val="2"/>
    </w:pPr>
    <w:rPr>
      <w:rFonts w:ascii="Times New Roman" w:hAnsi="Times New Roman" w:eastAsiaTheme="majorEastAsia"/>
      <w:b/>
      <w:bCs/>
      <w:sz w:val="28"/>
      <w:szCs w:val="32"/>
    </w:rPr>
  </w:style>
  <w:style w:type="paragraph" w:styleId="5">
    <w:name w:val="heading 4"/>
    <w:basedOn w:val="1"/>
    <w:next w:val="1"/>
    <w:link w:val="47"/>
    <w:unhideWhenUsed/>
    <w:qFormat/>
    <w:uiPriority w:val="0"/>
    <w:pPr>
      <w:keepNext/>
      <w:keepLines/>
      <w:numPr>
        <w:ilvl w:val="3"/>
        <w:numId w:val="1"/>
      </w:numPr>
      <w:spacing w:before="50" w:beforeLines="50"/>
      <w:outlineLvl w:val="3"/>
    </w:pPr>
    <w:rPr>
      <w:rFonts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8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49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50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51"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52"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overflowPunct/>
      <w:spacing w:before="0" w:beforeLines="0" w:after="0" w:afterLines="0" w:line="240" w:lineRule="auto"/>
      <w:ind w:left="2520" w:leftChars="1200"/>
    </w:pPr>
    <w:rPr>
      <w:rFonts w:ascii="Calibri" w:hAnsi="Calibri" w:eastAsia="宋体" w:cs="Times New Roman"/>
      <w:szCs w:val="22"/>
    </w:rPr>
  </w:style>
  <w:style w:type="paragraph" w:styleId="12">
    <w:name w:val="Normal Indent"/>
    <w:basedOn w:val="1"/>
    <w:qFormat/>
    <w:uiPriority w:val="0"/>
    <w:pPr>
      <w:overflowPunct/>
      <w:spacing w:before="0" w:beforeLines="0" w:after="0" w:afterLines="0" w:line="240" w:lineRule="auto"/>
      <w:ind w:firstLine="200" w:firstLineChars="200"/>
    </w:pPr>
    <w:rPr>
      <w:rFonts w:eastAsia="宋体" w:cs="Times New Roman"/>
      <w:szCs w:val="24"/>
    </w:rPr>
  </w:style>
  <w:style w:type="paragraph" w:styleId="13">
    <w:name w:val="caption"/>
    <w:basedOn w:val="1"/>
    <w:next w:val="12"/>
    <w:qFormat/>
    <w:uiPriority w:val="0"/>
    <w:pPr>
      <w:overflowPunct/>
      <w:spacing w:before="152" w:beforeLines="0" w:after="160" w:afterLines="0" w:line="240" w:lineRule="auto"/>
      <w:jc w:val="center"/>
    </w:pPr>
    <w:rPr>
      <w:rFonts w:ascii="Arial" w:hAnsi="Arial" w:eastAsia="黑体" w:cs="Arial"/>
      <w:sz w:val="20"/>
      <w:szCs w:val="20"/>
    </w:rPr>
  </w:style>
  <w:style w:type="paragraph" w:styleId="14">
    <w:name w:val="Document Map"/>
    <w:basedOn w:val="1"/>
    <w:link w:val="77"/>
    <w:qFormat/>
    <w:uiPriority w:val="0"/>
    <w:pPr>
      <w:overflowPunct/>
      <w:spacing w:before="0" w:beforeLines="0" w:after="0" w:afterLines="0" w:line="240" w:lineRule="auto"/>
    </w:pPr>
    <w:rPr>
      <w:rFonts w:ascii="宋体" w:eastAsia="宋体" w:cs="Times New Roman"/>
      <w:sz w:val="18"/>
      <w:szCs w:val="18"/>
    </w:rPr>
  </w:style>
  <w:style w:type="paragraph" w:styleId="15">
    <w:name w:val="annotation text"/>
    <w:basedOn w:val="1"/>
    <w:link w:val="101"/>
    <w:semiHidden/>
    <w:unhideWhenUsed/>
    <w:qFormat/>
    <w:uiPriority w:val="99"/>
    <w:pPr>
      <w:jc w:val="left"/>
    </w:pPr>
  </w:style>
  <w:style w:type="paragraph" w:styleId="16">
    <w:name w:val="Body Text"/>
    <w:basedOn w:val="1"/>
    <w:link w:val="75"/>
    <w:unhideWhenUsed/>
    <w:qFormat/>
    <w:uiPriority w:val="0"/>
    <w:pPr>
      <w:spacing w:after="120"/>
    </w:pPr>
  </w:style>
  <w:style w:type="paragraph" w:styleId="17">
    <w:name w:val="List Continue"/>
    <w:basedOn w:val="1"/>
    <w:qFormat/>
    <w:uiPriority w:val="0"/>
    <w:pPr>
      <w:overflowPunct/>
      <w:autoSpaceDE w:val="0"/>
      <w:autoSpaceDN w:val="0"/>
      <w:adjustRightInd w:val="0"/>
      <w:spacing w:before="0" w:beforeLines="0" w:after="120" w:afterLines="0" w:line="240" w:lineRule="auto"/>
      <w:ind w:left="420" w:leftChars="200"/>
      <w:jc w:val="left"/>
    </w:pPr>
    <w:rPr>
      <w:rFonts w:eastAsia="宋体" w:cs="Times New Roman"/>
      <w:kern w:val="0"/>
      <w:sz w:val="20"/>
      <w:szCs w:val="20"/>
    </w:rPr>
  </w:style>
  <w:style w:type="paragraph" w:styleId="18">
    <w:name w:val="toc 5"/>
    <w:basedOn w:val="1"/>
    <w:next w:val="1"/>
    <w:unhideWhenUsed/>
    <w:qFormat/>
    <w:uiPriority w:val="39"/>
    <w:pPr>
      <w:overflowPunct/>
      <w:spacing w:before="0" w:beforeLines="0" w:after="0" w:afterLines="0" w:line="240" w:lineRule="auto"/>
      <w:ind w:left="1680" w:leftChars="800"/>
    </w:pPr>
    <w:rPr>
      <w:rFonts w:ascii="Calibri" w:hAnsi="Calibri" w:eastAsia="宋体" w:cs="Times New Roman"/>
      <w:szCs w:val="22"/>
    </w:rPr>
  </w:style>
  <w:style w:type="paragraph" w:styleId="19">
    <w:name w:val="toc 3"/>
    <w:basedOn w:val="1"/>
    <w:next w:val="1"/>
    <w:autoRedefine/>
    <w:unhideWhenUsed/>
    <w:qFormat/>
    <w:uiPriority w:val="39"/>
    <w:pPr>
      <w:tabs>
        <w:tab w:val="left" w:pos="1470"/>
        <w:tab w:val="right" w:leader="dot" w:pos="9004"/>
      </w:tabs>
      <w:spacing w:before="0" w:beforeLines="0" w:after="0" w:afterLines="0" w:line="360" w:lineRule="atLeast"/>
      <w:ind w:left="840" w:leftChars="400"/>
    </w:pPr>
  </w:style>
  <w:style w:type="paragraph" w:styleId="20">
    <w:name w:val="Plain Text"/>
    <w:basedOn w:val="1"/>
    <w:link w:val="78"/>
    <w:qFormat/>
    <w:uiPriority w:val="0"/>
    <w:pPr>
      <w:overflowPunct/>
      <w:spacing w:before="0" w:beforeLines="0" w:after="0" w:afterLines="0" w:line="240" w:lineRule="auto"/>
    </w:pPr>
    <w:rPr>
      <w:rFonts w:ascii="宋体" w:hAnsi="Courier New" w:eastAsia="宋体" w:cs="Times New Roman"/>
    </w:rPr>
  </w:style>
  <w:style w:type="paragraph" w:styleId="21">
    <w:name w:val="toc 8"/>
    <w:basedOn w:val="1"/>
    <w:next w:val="1"/>
    <w:unhideWhenUsed/>
    <w:qFormat/>
    <w:uiPriority w:val="39"/>
    <w:pPr>
      <w:overflowPunct/>
      <w:spacing w:before="0" w:beforeLines="0" w:after="0" w:afterLines="0" w:line="240" w:lineRule="auto"/>
      <w:ind w:left="2940" w:leftChars="1400"/>
    </w:pPr>
    <w:rPr>
      <w:rFonts w:ascii="Calibri" w:hAnsi="Calibri" w:eastAsia="宋体" w:cs="Times New Roman"/>
      <w:szCs w:val="22"/>
    </w:rPr>
  </w:style>
  <w:style w:type="paragraph" w:styleId="22">
    <w:name w:val="Date"/>
    <w:basedOn w:val="1"/>
    <w:next w:val="1"/>
    <w:link w:val="79"/>
    <w:qFormat/>
    <w:uiPriority w:val="99"/>
    <w:pPr>
      <w:overflowPunct/>
      <w:spacing w:before="0" w:beforeLines="0" w:after="0" w:afterLines="0" w:line="240" w:lineRule="auto"/>
      <w:ind w:left="100" w:leftChars="2500"/>
    </w:pPr>
    <w:rPr>
      <w:rFonts w:eastAsia="宋体" w:cs="Times New Roman"/>
      <w:szCs w:val="24"/>
    </w:rPr>
  </w:style>
  <w:style w:type="paragraph" w:styleId="23">
    <w:name w:val="Balloon Text"/>
    <w:basedOn w:val="1"/>
    <w:link w:val="58"/>
    <w:unhideWhenUsed/>
    <w:qFormat/>
    <w:uiPriority w:val="99"/>
    <w:rPr>
      <w:sz w:val="18"/>
      <w:szCs w:val="18"/>
    </w:rPr>
  </w:style>
  <w:style w:type="paragraph" w:styleId="24">
    <w:name w:val="footer"/>
    <w:basedOn w:val="1"/>
    <w:link w:val="7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25">
    <w:name w:val="header"/>
    <w:basedOn w:val="1"/>
    <w:link w:val="7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26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004"/>
      </w:tabs>
      <w:spacing w:before="122" w:beforeLines="30" w:after="122" w:afterLines="30"/>
    </w:pPr>
    <w:rPr>
      <w:b/>
    </w:rPr>
  </w:style>
  <w:style w:type="paragraph" w:styleId="27">
    <w:name w:val="toc 4"/>
    <w:basedOn w:val="1"/>
    <w:next w:val="1"/>
    <w:unhideWhenUsed/>
    <w:qFormat/>
    <w:uiPriority w:val="39"/>
    <w:pPr>
      <w:overflowPunct/>
      <w:spacing w:before="0" w:beforeLines="0" w:after="0" w:afterLines="0" w:line="240" w:lineRule="auto"/>
      <w:ind w:left="1260" w:leftChars="600"/>
    </w:pPr>
    <w:rPr>
      <w:rFonts w:ascii="Calibri" w:hAnsi="Calibri" w:eastAsia="宋体" w:cs="Times New Roman"/>
      <w:szCs w:val="22"/>
    </w:rPr>
  </w:style>
  <w:style w:type="paragraph" w:styleId="28">
    <w:name w:val="toc 6"/>
    <w:basedOn w:val="1"/>
    <w:next w:val="1"/>
    <w:unhideWhenUsed/>
    <w:qFormat/>
    <w:uiPriority w:val="39"/>
    <w:pPr>
      <w:overflowPunct/>
      <w:spacing w:before="0" w:beforeLines="0" w:after="0" w:afterLines="0" w:line="240" w:lineRule="auto"/>
      <w:ind w:left="2100" w:leftChars="1000"/>
    </w:pPr>
    <w:rPr>
      <w:rFonts w:ascii="Calibri" w:hAnsi="Calibri" w:eastAsia="宋体" w:cs="Times New Roman"/>
      <w:szCs w:val="22"/>
    </w:rPr>
  </w:style>
  <w:style w:type="paragraph" w:styleId="29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30">
    <w:name w:val="toc 2"/>
    <w:basedOn w:val="1"/>
    <w:next w:val="1"/>
    <w:autoRedefine/>
    <w:unhideWhenUsed/>
    <w:qFormat/>
    <w:uiPriority w:val="39"/>
    <w:pPr>
      <w:tabs>
        <w:tab w:val="left" w:pos="840"/>
        <w:tab w:val="right" w:leader="dot" w:pos="9004"/>
      </w:tabs>
      <w:spacing w:before="0" w:beforeLines="0" w:after="0" w:afterLines="0"/>
      <w:ind w:left="420" w:leftChars="200"/>
    </w:pPr>
  </w:style>
  <w:style w:type="paragraph" w:styleId="31">
    <w:name w:val="toc 9"/>
    <w:basedOn w:val="1"/>
    <w:next w:val="1"/>
    <w:unhideWhenUsed/>
    <w:qFormat/>
    <w:uiPriority w:val="39"/>
    <w:pPr>
      <w:overflowPunct/>
      <w:spacing w:before="0" w:beforeLines="0" w:after="0" w:afterLines="0" w:line="240" w:lineRule="auto"/>
      <w:ind w:left="3360" w:leftChars="1600"/>
    </w:pPr>
    <w:rPr>
      <w:rFonts w:ascii="Calibri" w:hAnsi="Calibri" w:eastAsia="宋体" w:cs="Times New Roman"/>
      <w:szCs w:val="22"/>
    </w:rPr>
  </w:style>
  <w:style w:type="paragraph" w:styleId="32">
    <w:name w:val="Normal (Web)"/>
    <w:basedOn w:val="1"/>
    <w:qFormat/>
    <w:uiPriority w:val="0"/>
    <w:pPr>
      <w:widowControl/>
      <w:overflowPunct/>
      <w:spacing w:before="100" w:beforeLines="0" w:beforeAutospacing="1" w:after="100" w:afterLines="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3">
    <w:name w:val="Title"/>
    <w:basedOn w:val="1"/>
    <w:link w:val="80"/>
    <w:qFormat/>
    <w:uiPriority w:val="0"/>
    <w:pPr>
      <w:overflowPunct/>
      <w:adjustRightInd w:val="0"/>
      <w:spacing w:before="0" w:beforeLines="0" w:after="0" w:afterLines="0" w:line="300" w:lineRule="auto"/>
      <w:jc w:val="center"/>
      <w:textAlignment w:val="baseline"/>
    </w:pPr>
    <w:rPr>
      <w:rFonts w:ascii="Arial" w:hAnsi="Arial" w:eastAsia="宋体" w:cs="Times New Roman"/>
      <w:b/>
      <w:kern w:val="0"/>
      <w:position w:val="-14"/>
      <w:sz w:val="28"/>
      <w:szCs w:val="20"/>
    </w:rPr>
  </w:style>
  <w:style w:type="paragraph" w:styleId="34">
    <w:name w:val="annotation subject"/>
    <w:basedOn w:val="15"/>
    <w:next w:val="15"/>
    <w:link w:val="102"/>
    <w:semiHidden/>
    <w:unhideWhenUsed/>
    <w:qFormat/>
    <w:uiPriority w:val="99"/>
    <w:rPr>
      <w:b/>
      <w:bCs/>
    </w:rPr>
  </w:style>
  <w:style w:type="paragraph" w:styleId="35">
    <w:name w:val="Body Text First Indent"/>
    <w:basedOn w:val="1"/>
    <w:link w:val="76"/>
    <w:qFormat/>
    <w:uiPriority w:val="0"/>
    <w:pPr>
      <w:overflowPunct/>
      <w:autoSpaceDE w:val="0"/>
      <w:autoSpaceDN w:val="0"/>
      <w:adjustRightInd w:val="0"/>
      <w:spacing w:before="105" w:beforeLines="0" w:after="0" w:afterLines="0" w:line="240" w:lineRule="auto"/>
      <w:ind w:left="1134"/>
    </w:pPr>
    <w:rPr>
      <w:rFonts w:eastAsia="宋体" w:cs="Times New Roman"/>
      <w:kern w:val="0"/>
    </w:rPr>
  </w:style>
  <w:style w:type="table" w:styleId="37">
    <w:name w:val="Table Grid"/>
    <w:basedOn w:val="3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Strong"/>
    <w:basedOn w:val="38"/>
    <w:qFormat/>
    <w:uiPriority w:val="22"/>
    <w:rPr>
      <w:b/>
      <w:bCs/>
    </w:rPr>
  </w:style>
  <w:style w:type="character" w:styleId="40">
    <w:name w:val="page number"/>
    <w:basedOn w:val="38"/>
    <w:qFormat/>
    <w:uiPriority w:val="0"/>
  </w:style>
  <w:style w:type="character" w:styleId="41">
    <w:name w:val="Hyperlink"/>
    <w:basedOn w:val="3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2">
    <w:name w:val="annotation reference"/>
    <w:basedOn w:val="38"/>
    <w:semiHidden/>
    <w:unhideWhenUsed/>
    <w:qFormat/>
    <w:uiPriority w:val="99"/>
    <w:rPr>
      <w:sz w:val="21"/>
      <w:szCs w:val="21"/>
    </w:rPr>
  </w:style>
  <w:style w:type="paragraph" w:customStyle="1" w:styleId="43">
    <w:name w:val="封面主标题"/>
    <w:basedOn w:val="1"/>
    <w:next w:val="1"/>
    <w:qFormat/>
    <w:uiPriority w:val="0"/>
    <w:pPr>
      <w:spacing w:before="150" w:beforeLines="150" w:after="50" w:afterLines="50"/>
      <w:jc w:val="center"/>
    </w:pPr>
    <w:rPr>
      <w:rFonts w:eastAsia="黑体"/>
      <w:sz w:val="48"/>
      <w:szCs w:val="44"/>
    </w:rPr>
  </w:style>
  <w:style w:type="character" w:customStyle="1" w:styleId="44">
    <w:name w:val="标题 1 Char"/>
    <w:basedOn w:val="38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45">
    <w:name w:val="标题 2 Char"/>
    <w:basedOn w:val="38"/>
    <w:link w:val="3"/>
    <w:qFormat/>
    <w:uiPriority w:val="9"/>
    <w:rPr>
      <w:rFonts w:eastAsiaTheme="majorEastAsia" w:cstheme="majorBidi"/>
      <w:b/>
      <w:bCs/>
      <w:sz w:val="30"/>
      <w:szCs w:val="32"/>
    </w:rPr>
  </w:style>
  <w:style w:type="character" w:customStyle="1" w:styleId="46">
    <w:name w:val="标题 3 Char"/>
    <w:basedOn w:val="38"/>
    <w:link w:val="4"/>
    <w:qFormat/>
    <w:uiPriority w:val="9"/>
    <w:rPr>
      <w:rFonts w:eastAsiaTheme="majorEastAsia"/>
      <w:b/>
      <w:bCs/>
      <w:sz w:val="28"/>
      <w:szCs w:val="32"/>
    </w:rPr>
  </w:style>
  <w:style w:type="character" w:customStyle="1" w:styleId="47">
    <w:name w:val="标题 4 Char"/>
    <w:basedOn w:val="38"/>
    <w:link w:val="5"/>
    <w:qFormat/>
    <w:uiPriority w:val="0"/>
    <w:rPr>
      <w:rFonts w:eastAsiaTheme="majorEastAsia" w:cstheme="majorBidi"/>
      <w:b/>
      <w:bCs/>
      <w:sz w:val="28"/>
      <w:szCs w:val="28"/>
    </w:rPr>
  </w:style>
  <w:style w:type="character" w:customStyle="1" w:styleId="48">
    <w:name w:val="标题 5 Char"/>
    <w:basedOn w:val="38"/>
    <w:link w:val="6"/>
    <w:qFormat/>
    <w:uiPriority w:val="0"/>
    <w:rPr>
      <w:b/>
      <w:bCs/>
      <w:szCs w:val="28"/>
    </w:rPr>
  </w:style>
  <w:style w:type="character" w:customStyle="1" w:styleId="49">
    <w:name w:val="标题 6 Char"/>
    <w:basedOn w:val="38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50">
    <w:name w:val="标题 7 Char"/>
    <w:basedOn w:val="38"/>
    <w:link w:val="8"/>
    <w:qFormat/>
    <w:uiPriority w:val="0"/>
    <w:rPr>
      <w:b/>
      <w:bCs/>
      <w:sz w:val="24"/>
      <w:szCs w:val="24"/>
    </w:rPr>
  </w:style>
  <w:style w:type="character" w:customStyle="1" w:styleId="51">
    <w:name w:val="标题 8 Char"/>
    <w:basedOn w:val="38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52">
    <w:name w:val="标题 9 Char"/>
    <w:basedOn w:val="38"/>
    <w:link w:val="10"/>
    <w:qFormat/>
    <w:uiPriority w:val="0"/>
    <w:rPr>
      <w:rFonts w:asciiTheme="majorHAnsi" w:hAnsiTheme="majorHAnsi" w:eastAsiaTheme="majorEastAsia" w:cstheme="majorBidi"/>
    </w:rPr>
  </w:style>
  <w:style w:type="paragraph" w:customStyle="1" w:styleId="53">
    <w:name w:val="页眉文件编号"/>
    <w:basedOn w:val="1"/>
    <w:qFormat/>
    <w:uiPriority w:val="0"/>
    <w:pPr>
      <w:pBdr>
        <w:bottom w:val="single" w:color="auto" w:sz="8" w:space="1"/>
      </w:pBdr>
      <w:tabs>
        <w:tab w:val="right" w:pos="5263"/>
      </w:tabs>
      <w:spacing w:before="0" w:beforeLines="0" w:after="0" w:afterLines="0" w:line="240" w:lineRule="auto"/>
      <w:ind w:firstLine="1071" w:firstLineChars="1071"/>
      <w:jc w:val="right"/>
    </w:pPr>
    <w:rPr>
      <w:rFonts w:eastAsia="仿宋"/>
    </w:rPr>
  </w:style>
  <w:style w:type="paragraph" w:customStyle="1" w:styleId="54">
    <w:name w:val="表注"/>
    <w:basedOn w:val="55"/>
    <w:next w:val="56"/>
    <w:qFormat/>
    <w:uiPriority w:val="0"/>
    <w:pPr>
      <w:numPr>
        <w:numId w:val="2"/>
      </w:numPr>
      <w:spacing w:before="20" w:beforeLines="20" w:after="0" w:afterLines="0"/>
    </w:pPr>
  </w:style>
  <w:style w:type="paragraph" w:customStyle="1" w:styleId="55">
    <w:name w:val="图注"/>
    <w:basedOn w:val="1"/>
    <w:qFormat/>
    <w:uiPriority w:val="0"/>
    <w:pPr>
      <w:numPr>
        <w:ilvl w:val="0"/>
        <w:numId w:val="3"/>
      </w:numPr>
      <w:spacing w:before="0" w:beforeLines="0" w:line="240" w:lineRule="auto"/>
      <w:jc w:val="center"/>
    </w:pPr>
    <w:rPr>
      <w:rFonts w:eastAsia="仿宋" w:cstheme="majorBidi"/>
      <w:szCs w:val="18"/>
    </w:rPr>
  </w:style>
  <w:style w:type="paragraph" w:styleId="56">
    <w:name w:val="No Spacing"/>
    <w:link w:val="61"/>
    <w:qFormat/>
    <w:uiPriority w:val="1"/>
    <w:rPr>
      <w:rFonts w:ascii="Times New Roman" w:hAnsi="Times New Roman" w:eastAsiaTheme="minorEastAsia" w:cstheme="minorBidi"/>
      <w:kern w:val="0"/>
      <w:sz w:val="22"/>
      <w:szCs w:val="22"/>
      <w:lang w:val="en-US" w:eastAsia="zh-CN" w:bidi="ar-SA"/>
    </w:rPr>
  </w:style>
  <w:style w:type="paragraph" w:customStyle="1" w:styleId="57">
    <w:name w:val="页脚字体"/>
    <w:basedOn w:val="1"/>
    <w:qFormat/>
    <w:uiPriority w:val="0"/>
    <w:pPr>
      <w:spacing w:line="240" w:lineRule="auto"/>
    </w:pPr>
    <w:rPr>
      <w:rFonts w:eastAsia="仿宋"/>
    </w:rPr>
  </w:style>
  <w:style w:type="character" w:customStyle="1" w:styleId="58">
    <w:name w:val="批注框文本 Char"/>
    <w:basedOn w:val="38"/>
    <w:link w:val="23"/>
    <w:qFormat/>
    <w:uiPriority w:val="99"/>
    <w:rPr>
      <w:rFonts w:ascii="Times New Roman" w:hAnsi="Times New Roman" w:eastAsia="仿宋"/>
      <w:sz w:val="18"/>
      <w:szCs w:val="18"/>
    </w:rPr>
  </w:style>
  <w:style w:type="paragraph" w:customStyle="1" w:styleId="59">
    <w:name w:val="表格标题"/>
    <w:basedOn w:val="1"/>
    <w:qFormat/>
    <w:uiPriority w:val="0"/>
    <w:pPr>
      <w:spacing w:line="320" w:lineRule="exact"/>
      <w:jc w:val="center"/>
    </w:pPr>
    <w:rPr>
      <w:b/>
    </w:rPr>
  </w:style>
  <w:style w:type="paragraph" w:customStyle="1" w:styleId="60">
    <w:name w:val="表格正文"/>
    <w:basedOn w:val="59"/>
    <w:qFormat/>
    <w:uiPriority w:val="0"/>
    <w:rPr>
      <w:b w:val="0"/>
    </w:rPr>
  </w:style>
  <w:style w:type="character" w:customStyle="1" w:styleId="61">
    <w:name w:val="无间隔 Char"/>
    <w:basedOn w:val="38"/>
    <w:link w:val="56"/>
    <w:qFormat/>
    <w:uiPriority w:val="1"/>
    <w:rPr>
      <w:kern w:val="0"/>
      <w:sz w:val="22"/>
      <w:szCs w:val="22"/>
    </w:rPr>
  </w:style>
  <w:style w:type="paragraph" w:customStyle="1" w:styleId="62">
    <w:name w:val="封面签字栏"/>
    <w:basedOn w:val="1"/>
    <w:qFormat/>
    <w:uiPriority w:val="0"/>
    <w:pPr>
      <w:spacing w:before="50" w:beforeLines="50" w:after="50" w:afterLines="50" w:line="480" w:lineRule="auto"/>
      <w:jc w:val="center"/>
    </w:pPr>
    <w:rPr>
      <w:b/>
      <w:sz w:val="32"/>
    </w:rPr>
  </w:style>
  <w:style w:type="paragraph" w:customStyle="1" w:styleId="63">
    <w:name w:val="正文首行缩进2字符"/>
    <w:basedOn w:val="1"/>
    <w:qFormat/>
    <w:uiPriority w:val="0"/>
    <w:pPr>
      <w:ind w:firstLine="200" w:firstLineChars="200"/>
    </w:pPr>
  </w:style>
  <w:style w:type="paragraph" w:customStyle="1" w:styleId="64">
    <w:name w:val="TOC Heading"/>
    <w:basedOn w:val="2"/>
    <w:next w:val="1"/>
    <w:unhideWhenUsed/>
    <w:qFormat/>
    <w:uiPriority w:val="39"/>
    <w:pPr>
      <w:widowControl/>
      <w:numPr>
        <w:numId w:val="0"/>
      </w:numPr>
      <w:overflowPunct/>
      <w:spacing w:before="240" w:before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paragraph" w:customStyle="1" w:styleId="65">
    <w:name w:val="正文主标题"/>
    <w:basedOn w:val="43"/>
    <w:next w:val="63"/>
    <w:qFormat/>
    <w:uiPriority w:val="0"/>
    <w:rPr>
      <w:sz w:val="36"/>
    </w:rPr>
  </w:style>
  <w:style w:type="paragraph" w:customStyle="1" w:styleId="66">
    <w:name w:val="页眉公司名称"/>
    <w:basedOn w:val="1"/>
    <w:qFormat/>
    <w:uiPriority w:val="0"/>
    <w:pPr>
      <w:jc w:val="center"/>
    </w:pPr>
    <w:rPr>
      <w:rFonts w:eastAsia="黑体"/>
      <w:spacing w:val="10"/>
      <w:kern w:val="0"/>
      <w:sz w:val="28"/>
      <w:szCs w:val="28"/>
      <w:fitText w:val="3900" w:id="1933769472"/>
    </w:rPr>
  </w:style>
  <w:style w:type="paragraph" w:styleId="67">
    <w:name w:val="List Paragraph"/>
    <w:basedOn w:val="1"/>
    <w:qFormat/>
    <w:uiPriority w:val="34"/>
    <w:pPr>
      <w:ind w:firstLine="420" w:firstLineChars="200"/>
    </w:pPr>
  </w:style>
  <w:style w:type="paragraph" w:customStyle="1" w:styleId="68">
    <w:name w:val="图表样式"/>
    <w:basedOn w:val="1"/>
    <w:qFormat/>
    <w:uiPriority w:val="0"/>
    <w:pPr>
      <w:spacing w:before="0" w:beforeLines="0" w:after="0" w:afterLines="0" w:line="240" w:lineRule="auto"/>
      <w:jc w:val="center"/>
    </w:pPr>
  </w:style>
  <w:style w:type="paragraph" w:customStyle="1" w:styleId="69">
    <w:name w:val="附录标题1"/>
    <w:basedOn w:val="1"/>
    <w:qFormat/>
    <w:uiPriority w:val="0"/>
    <w:pPr>
      <w:pageBreakBefore/>
      <w:numPr>
        <w:ilvl w:val="0"/>
        <w:numId w:val="4"/>
      </w:numPr>
      <w:spacing w:before="50" w:beforeLines="50"/>
      <w:jc w:val="left"/>
      <w:outlineLvl w:val="0"/>
    </w:pPr>
    <w:rPr>
      <w:b/>
      <w:sz w:val="30"/>
    </w:rPr>
  </w:style>
  <w:style w:type="paragraph" w:customStyle="1" w:styleId="70">
    <w:name w:val="附录标题2"/>
    <w:basedOn w:val="69"/>
    <w:qFormat/>
    <w:uiPriority w:val="0"/>
    <w:pPr>
      <w:pageBreakBefore w:val="0"/>
      <w:numPr>
        <w:ilvl w:val="1"/>
      </w:numPr>
      <w:outlineLvl w:val="1"/>
    </w:pPr>
  </w:style>
  <w:style w:type="paragraph" w:customStyle="1" w:styleId="71">
    <w:name w:val="附录标题3"/>
    <w:basedOn w:val="70"/>
    <w:qFormat/>
    <w:uiPriority w:val="0"/>
    <w:pPr>
      <w:numPr>
        <w:ilvl w:val="2"/>
      </w:numPr>
      <w:outlineLvl w:val="2"/>
    </w:pPr>
    <w:rPr>
      <w:sz w:val="28"/>
    </w:rPr>
  </w:style>
  <w:style w:type="paragraph" w:customStyle="1" w:styleId="72">
    <w:name w:val="附录标题4"/>
    <w:basedOn w:val="71"/>
    <w:qFormat/>
    <w:uiPriority w:val="0"/>
    <w:pPr>
      <w:numPr>
        <w:ilvl w:val="3"/>
      </w:numPr>
      <w:outlineLvl w:val="3"/>
    </w:pPr>
  </w:style>
  <w:style w:type="character" w:customStyle="1" w:styleId="73">
    <w:name w:val="页脚 Char"/>
    <w:basedOn w:val="38"/>
    <w:link w:val="24"/>
    <w:qFormat/>
    <w:uiPriority w:val="99"/>
    <w:rPr>
      <w:sz w:val="18"/>
      <w:szCs w:val="18"/>
    </w:rPr>
  </w:style>
  <w:style w:type="character" w:customStyle="1" w:styleId="74">
    <w:name w:val="页眉 Char"/>
    <w:basedOn w:val="38"/>
    <w:link w:val="25"/>
    <w:qFormat/>
    <w:uiPriority w:val="99"/>
    <w:rPr>
      <w:sz w:val="18"/>
      <w:szCs w:val="18"/>
    </w:rPr>
  </w:style>
  <w:style w:type="character" w:customStyle="1" w:styleId="75">
    <w:name w:val="正文文本 Char"/>
    <w:basedOn w:val="38"/>
    <w:link w:val="16"/>
    <w:qFormat/>
    <w:uiPriority w:val="0"/>
  </w:style>
  <w:style w:type="character" w:customStyle="1" w:styleId="76">
    <w:name w:val="正文首行缩进 Char"/>
    <w:basedOn w:val="75"/>
    <w:link w:val="35"/>
    <w:qFormat/>
    <w:uiPriority w:val="0"/>
    <w:rPr>
      <w:rFonts w:eastAsia="宋体" w:cs="Times New Roman"/>
      <w:kern w:val="0"/>
    </w:rPr>
  </w:style>
  <w:style w:type="character" w:customStyle="1" w:styleId="77">
    <w:name w:val="文档结构图 Char"/>
    <w:basedOn w:val="38"/>
    <w:link w:val="14"/>
    <w:qFormat/>
    <w:uiPriority w:val="0"/>
    <w:rPr>
      <w:rFonts w:ascii="宋体" w:eastAsia="宋体" w:cs="Times New Roman"/>
      <w:sz w:val="18"/>
      <w:szCs w:val="18"/>
    </w:rPr>
  </w:style>
  <w:style w:type="character" w:customStyle="1" w:styleId="78">
    <w:name w:val="纯文本 Char"/>
    <w:basedOn w:val="38"/>
    <w:link w:val="20"/>
    <w:qFormat/>
    <w:uiPriority w:val="0"/>
    <w:rPr>
      <w:rFonts w:ascii="宋体" w:hAnsi="Courier New" w:eastAsia="宋体" w:cs="Times New Roman"/>
    </w:rPr>
  </w:style>
  <w:style w:type="character" w:customStyle="1" w:styleId="79">
    <w:name w:val="日期 Char"/>
    <w:basedOn w:val="38"/>
    <w:link w:val="22"/>
    <w:qFormat/>
    <w:uiPriority w:val="99"/>
    <w:rPr>
      <w:rFonts w:eastAsia="宋体" w:cs="Times New Roman"/>
      <w:szCs w:val="24"/>
    </w:rPr>
  </w:style>
  <w:style w:type="character" w:customStyle="1" w:styleId="80">
    <w:name w:val="标题 Char"/>
    <w:basedOn w:val="38"/>
    <w:link w:val="33"/>
    <w:qFormat/>
    <w:uiPriority w:val="0"/>
    <w:rPr>
      <w:rFonts w:ascii="Arial" w:hAnsi="Arial" w:eastAsia="宋体" w:cs="Times New Roman"/>
      <w:b/>
      <w:kern w:val="0"/>
      <w:position w:val="-14"/>
      <w:sz w:val="28"/>
      <w:szCs w:val="20"/>
    </w:rPr>
  </w:style>
  <w:style w:type="paragraph" w:customStyle="1" w:styleId="81">
    <w:name w:val="列出段落1"/>
    <w:basedOn w:val="1"/>
    <w:qFormat/>
    <w:uiPriority w:val="0"/>
    <w:pPr>
      <w:overflowPunct/>
      <w:spacing w:before="0" w:beforeLines="0" w:after="0" w:afterLines="0" w:line="240" w:lineRule="auto"/>
      <w:ind w:firstLine="420" w:firstLineChars="200"/>
    </w:pPr>
    <w:rPr>
      <w:rFonts w:eastAsia="宋体" w:cs="Times New Roman"/>
      <w:szCs w:val="24"/>
    </w:rPr>
  </w:style>
  <w:style w:type="paragraph" w:customStyle="1" w:styleId="82">
    <w:name w:val="样式 编写建议 Char Char Char Char Char + 左"/>
    <w:basedOn w:val="1"/>
    <w:qFormat/>
    <w:uiPriority w:val="0"/>
    <w:pPr>
      <w:keepNext/>
      <w:widowControl/>
      <w:overflowPunct/>
      <w:autoSpaceDE w:val="0"/>
      <w:autoSpaceDN w:val="0"/>
      <w:adjustRightInd w:val="0"/>
      <w:spacing w:before="0" w:beforeLines="0" w:after="0" w:afterLines="0" w:line="360" w:lineRule="auto"/>
      <w:ind w:left="567"/>
      <w:jc w:val="left"/>
    </w:pPr>
    <w:rPr>
      <w:rFonts w:eastAsia="宋体" w:cs="宋体"/>
      <w:i/>
      <w:iCs/>
      <w:color w:val="0000FF"/>
      <w:kern w:val="0"/>
      <w:szCs w:val="20"/>
    </w:rPr>
  </w:style>
  <w:style w:type="paragraph" w:customStyle="1" w:styleId="83">
    <w:name w:val="?y?????¡ì?o???¡§???¡ì|DD????"/>
    <w:basedOn w:val="1"/>
    <w:qFormat/>
    <w:uiPriority w:val="0"/>
    <w:pPr>
      <w:widowControl/>
      <w:autoSpaceDE w:val="0"/>
      <w:autoSpaceDN w:val="0"/>
      <w:adjustRightInd w:val="0"/>
      <w:spacing w:before="0" w:beforeLines="0" w:after="0" w:afterLines="0" w:line="360" w:lineRule="auto"/>
      <w:ind w:left="1134"/>
      <w:textAlignment w:val="baseline"/>
    </w:pPr>
    <w:rPr>
      <w:rFonts w:eastAsia="宋体" w:cs="Times New Roman"/>
      <w:kern w:val="0"/>
      <w:szCs w:val="20"/>
    </w:rPr>
  </w:style>
  <w:style w:type="paragraph" w:customStyle="1" w:styleId="84">
    <w:name w:val="表格文本"/>
    <w:basedOn w:val="1"/>
    <w:qFormat/>
    <w:uiPriority w:val="0"/>
    <w:pPr>
      <w:tabs>
        <w:tab w:val="decimal" w:pos="0"/>
      </w:tabs>
      <w:overflowPunct/>
      <w:autoSpaceDE w:val="0"/>
      <w:autoSpaceDN w:val="0"/>
      <w:adjustRightInd w:val="0"/>
      <w:spacing w:before="0" w:beforeLines="0" w:after="0" w:afterLines="0" w:line="240" w:lineRule="auto"/>
      <w:jc w:val="left"/>
    </w:pPr>
    <w:rPr>
      <w:rFonts w:eastAsia="宋体" w:cs="Times New Roman"/>
      <w:kern w:val="0"/>
    </w:rPr>
  </w:style>
  <w:style w:type="paragraph" w:customStyle="1" w:styleId="85">
    <w:name w:val="Table Title"/>
    <w:basedOn w:val="1"/>
    <w:qFormat/>
    <w:uiPriority w:val="0"/>
    <w:pPr>
      <w:overflowPunct/>
      <w:spacing w:before="60" w:beforeLines="0" w:after="0" w:afterLines="0" w:line="240" w:lineRule="auto"/>
      <w:jc w:val="center"/>
    </w:pPr>
    <w:rPr>
      <w:rFonts w:eastAsia="宋体" w:cs="Times New Roman"/>
      <w:b/>
      <w:szCs w:val="24"/>
    </w:rPr>
  </w:style>
  <w:style w:type="paragraph" w:customStyle="1" w:styleId="86">
    <w:name w:val="文档标题"/>
    <w:basedOn w:val="1"/>
    <w:qFormat/>
    <w:uiPriority w:val="0"/>
    <w:pPr>
      <w:tabs>
        <w:tab w:val="left" w:pos="0"/>
      </w:tabs>
      <w:overflowPunct/>
      <w:autoSpaceDE w:val="0"/>
      <w:autoSpaceDN w:val="0"/>
      <w:adjustRightInd w:val="0"/>
      <w:spacing w:before="300" w:beforeLines="0" w:after="300" w:afterLines="0" w:line="240" w:lineRule="auto"/>
      <w:jc w:val="center"/>
    </w:pPr>
    <w:rPr>
      <w:rFonts w:ascii="Arial" w:hAnsi="Arial" w:eastAsia="宋体" w:cs="Arial"/>
      <w:kern w:val="0"/>
      <w:sz w:val="30"/>
      <w:szCs w:val="30"/>
    </w:rPr>
  </w:style>
  <w:style w:type="paragraph" w:customStyle="1" w:styleId="87">
    <w:name w:val="???¡§???¡ì?¡ì???¡ì?a???????¡§???¡ì?¡ì?"/>
    <w:basedOn w:val="1"/>
    <w:qFormat/>
    <w:uiPriority w:val="0"/>
    <w:pPr>
      <w:widowControl/>
      <w:tabs>
        <w:tab w:val="decimal" w:pos="0"/>
      </w:tabs>
      <w:autoSpaceDE w:val="0"/>
      <w:autoSpaceDN w:val="0"/>
      <w:adjustRightInd w:val="0"/>
      <w:spacing w:before="0" w:beforeLines="0" w:after="0" w:afterLines="0" w:line="240" w:lineRule="auto"/>
      <w:jc w:val="left"/>
      <w:textAlignment w:val="baseline"/>
    </w:pPr>
    <w:rPr>
      <w:rFonts w:eastAsia="宋体" w:cs="Times New Roman"/>
      <w:kern w:val="0"/>
      <w:szCs w:val="20"/>
    </w:rPr>
  </w:style>
  <w:style w:type="paragraph" w:customStyle="1" w:styleId="88">
    <w:name w:val="表格列标题"/>
    <w:basedOn w:val="1"/>
    <w:qFormat/>
    <w:uiPriority w:val="0"/>
    <w:pPr>
      <w:overflowPunct/>
      <w:autoSpaceDE w:val="0"/>
      <w:autoSpaceDN w:val="0"/>
      <w:adjustRightInd w:val="0"/>
      <w:spacing w:before="0" w:beforeLines="0" w:after="0" w:afterLines="0" w:line="240" w:lineRule="auto"/>
      <w:jc w:val="center"/>
    </w:pPr>
    <w:rPr>
      <w:rFonts w:eastAsia="宋体" w:cs="Times New Roman"/>
      <w:b/>
      <w:bCs/>
      <w:kern w:val="0"/>
    </w:rPr>
  </w:style>
  <w:style w:type="paragraph" w:customStyle="1" w:styleId="89">
    <w:name w:val="编写建议 Char Char Char"/>
    <w:basedOn w:val="1"/>
    <w:qFormat/>
    <w:uiPriority w:val="0"/>
    <w:pPr>
      <w:keepNext/>
      <w:widowControl/>
      <w:overflowPunct/>
      <w:autoSpaceDE w:val="0"/>
      <w:autoSpaceDN w:val="0"/>
      <w:adjustRightInd w:val="0"/>
      <w:spacing w:before="0" w:beforeLines="0" w:after="0" w:afterLines="0" w:line="360" w:lineRule="auto"/>
      <w:ind w:firstLine="200" w:firstLineChars="200"/>
      <w:jc w:val="left"/>
    </w:pPr>
    <w:rPr>
      <w:rFonts w:eastAsia="宋体" w:cs="Arial"/>
      <w:i/>
      <w:color w:val="0000FF"/>
      <w:kern w:val="0"/>
    </w:rPr>
  </w:style>
  <w:style w:type="character" w:customStyle="1" w:styleId="90">
    <w:name w:val="verbl8"/>
    <w:qFormat/>
    <w:uiPriority w:val="0"/>
  </w:style>
  <w:style w:type="paragraph" w:customStyle="1" w:styleId="91">
    <w:name w:val="摘要"/>
    <w:basedOn w:val="1"/>
    <w:qFormat/>
    <w:uiPriority w:val="0"/>
    <w:pPr>
      <w:tabs>
        <w:tab w:val="left" w:pos="907"/>
      </w:tabs>
      <w:overflowPunct/>
      <w:autoSpaceDE w:val="0"/>
      <w:autoSpaceDN w:val="0"/>
      <w:adjustRightInd w:val="0"/>
      <w:spacing w:before="0" w:beforeLines="0" w:after="0" w:afterLines="0" w:line="360" w:lineRule="auto"/>
      <w:ind w:left="879" w:hanging="879"/>
    </w:pPr>
    <w:rPr>
      <w:rFonts w:eastAsia="宋体" w:cs="Times New Roman"/>
      <w:kern w:val="0"/>
    </w:rPr>
  </w:style>
  <w:style w:type="paragraph" w:customStyle="1" w:styleId="92">
    <w:name w:val="关键词"/>
    <w:basedOn w:val="1"/>
    <w:qFormat/>
    <w:uiPriority w:val="0"/>
    <w:pPr>
      <w:tabs>
        <w:tab w:val="left" w:pos="907"/>
      </w:tabs>
      <w:overflowPunct/>
      <w:autoSpaceDE w:val="0"/>
      <w:autoSpaceDN w:val="0"/>
      <w:adjustRightInd w:val="0"/>
      <w:spacing w:before="0" w:beforeLines="0" w:after="0" w:afterLines="0" w:line="360" w:lineRule="auto"/>
      <w:ind w:left="879" w:hanging="879"/>
    </w:pPr>
    <w:rPr>
      <w:rFonts w:eastAsia="宋体" w:cs="Times New Roman"/>
      <w:kern w:val="0"/>
    </w:rPr>
  </w:style>
  <w:style w:type="paragraph" w:customStyle="1" w:styleId="93">
    <w:name w:val="缺省文本"/>
    <w:basedOn w:val="1"/>
    <w:qFormat/>
    <w:uiPriority w:val="0"/>
    <w:pPr>
      <w:overflowPunct/>
      <w:autoSpaceDE w:val="0"/>
      <w:autoSpaceDN w:val="0"/>
      <w:adjustRightInd w:val="0"/>
      <w:spacing w:before="0" w:beforeLines="0" w:after="0" w:afterLines="0" w:line="240" w:lineRule="auto"/>
      <w:jc w:val="left"/>
    </w:pPr>
    <w:rPr>
      <w:rFonts w:eastAsia="宋体" w:cs="Times New Roman"/>
      <w:kern w:val="0"/>
      <w:sz w:val="24"/>
      <w:szCs w:val="24"/>
    </w:rPr>
  </w:style>
  <w:style w:type="paragraph" w:customStyle="1" w:styleId="94">
    <w:name w:val="样式 缺省文本 + 宋体 五号 倾斜 蓝色"/>
    <w:basedOn w:val="93"/>
    <w:qFormat/>
    <w:uiPriority w:val="0"/>
    <w:pPr>
      <w:spacing w:line="0" w:lineRule="atLeast"/>
    </w:pPr>
    <w:rPr>
      <w:rFonts w:ascii="宋体" w:hAnsi="宋体"/>
      <w:i/>
      <w:iCs/>
      <w:color w:val="0000FF"/>
      <w:sz w:val="18"/>
    </w:rPr>
  </w:style>
  <w:style w:type="paragraph" w:customStyle="1" w:styleId="95">
    <w:name w:val="缺省文本:1"/>
    <w:basedOn w:val="1"/>
    <w:qFormat/>
    <w:uiPriority w:val="0"/>
    <w:pPr>
      <w:overflowPunct/>
      <w:autoSpaceDE w:val="0"/>
      <w:autoSpaceDN w:val="0"/>
      <w:adjustRightInd w:val="0"/>
      <w:spacing w:before="0" w:beforeLines="0" w:after="0" w:afterLines="0" w:line="240" w:lineRule="auto"/>
      <w:jc w:val="left"/>
    </w:pPr>
    <w:rPr>
      <w:rFonts w:eastAsia="宋体" w:cs="Times New Roman"/>
      <w:kern w:val="0"/>
      <w:sz w:val="24"/>
      <w:szCs w:val="24"/>
    </w:rPr>
  </w:style>
  <w:style w:type="paragraph" w:customStyle="1" w:styleId="96">
    <w:name w:val="表号"/>
    <w:basedOn w:val="1"/>
    <w:qFormat/>
    <w:uiPriority w:val="0"/>
    <w:pPr>
      <w:numPr>
        <w:ilvl w:val="0"/>
        <w:numId w:val="5"/>
      </w:numPr>
      <w:overflowPunct/>
      <w:autoSpaceDE w:val="0"/>
      <w:autoSpaceDN w:val="0"/>
      <w:adjustRightInd w:val="0"/>
      <w:spacing w:before="210" w:beforeLines="0" w:after="0" w:afterLines="0" w:line="240" w:lineRule="auto"/>
      <w:jc w:val="center"/>
    </w:pPr>
    <w:rPr>
      <w:rFonts w:ascii="宋体" w:eastAsia="宋体" w:cs="宋体"/>
      <w:kern w:val="0"/>
    </w:rPr>
  </w:style>
  <w:style w:type="paragraph" w:customStyle="1" w:styleId="97">
    <w:name w:val="样式 缺省文本 + 宋体 五号 倾斜 蓝色 行距: 1.5 倍行距"/>
    <w:basedOn w:val="93"/>
    <w:qFormat/>
    <w:uiPriority w:val="0"/>
    <w:pPr>
      <w:spacing w:line="0" w:lineRule="atLeast"/>
    </w:pPr>
    <w:rPr>
      <w:rFonts w:ascii="宋体" w:cs="宋体"/>
      <w:i/>
      <w:iCs/>
      <w:color w:val="0000FF"/>
      <w:sz w:val="18"/>
      <w:szCs w:val="20"/>
    </w:rPr>
  </w:style>
  <w:style w:type="paragraph" w:customStyle="1" w:styleId="98">
    <w:name w:val="样式 缺省文本 + 五号 倾斜 蓝色 左侧:  0.87 厘米 行距: 1.5 倍行距"/>
    <w:basedOn w:val="93"/>
    <w:qFormat/>
    <w:uiPriority w:val="0"/>
    <w:pPr>
      <w:spacing w:line="0" w:lineRule="atLeast"/>
      <w:ind w:left="493"/>
    </w:pPr>
    <w:rPr>
      <w:rFonts w:cs="宋体"/>
      <w:i/>
      <w:iCs/>
      <w:color w:val="0000FF"/>
      <w:sz w:val="18"/>
      <w:szCs w:val="20"/>
    </w:rPr>
  </w:style>
  <w:style w:type="paragraph" w:customStyle="1" w:styleId="99">
    <w:name w:val="1"/>
    <w:basedOn w:val="1"/>
    <w:semiHidden/>
    <w:qFormat/>
    <w:uiPriority w:val="0"/>
    <w:pPr>
      <w:widowControl/>
      <w:overflowPunct/>
      <w:spacing w:before="100" w:beforeLines="0" w:beforeAutospacing="1" w:after="100" w:afterLines="0" w:afterAutospacing="1" w:line="360" w:lineRule="auto"/>
      <w:ind w:left="360"/>
      <w:jc w:val="left"/>
    </w:pPr>
    <w:rPr>
      <w:rFonts w:ascii="ˎ̥" w:hAnsi="ˎ̥" w:eastAsia="宋体" w:cs="宋体"/>
      <w:color w:val="51585D"/>
      <w:kern w:val="0"/>
      <w:szCs w:val="18"/>
    </w:rPr>
  </w:style>
  <w:style w:type="paragraph" w:customStyle="1" w:styleId="100">
    <w:name w:val="说明"/>
    <w:basedOn w:val="12"/>
    <w:qFormat/>
    <w:uiPriority w:val="0"/>
    <w:pPr>
      <w:ind w:firstLine="420"/>
    </w:pPr>
    <w:rPr>
      <w:i/>
      <w:color w:val="0000FF"/>
      <w:szCs w:val="21"/>
    </w:rPr>
  </w:style>
  <w:style w:type="character" w:customStyle="1" w:styleId="101">
    <w:name w:val="批注文字 Char"/>
    <w:basedOn w:val="38"/>
    <w:link w:val="15"/>
    <w:semiHidden/>
    <w:qFormat/>
    <w:uiPriority w:val="99"/>
  </w:style>
  <w:style w:type="character" w:customStyle="1" w:styleId="102">
    <w:name w:val="批注主题 Char"/>
    <w:basedOn w:val="101"/>
    <w:link w:val="34"/>
    <w:semiHidden/>
    <w:qFormat/>
    <w:uiPriority w:val="99"/>
    <w:rPr>
      <w:b/>
      <w:bCs/>
    </w:rPr>
  </w:style>
  <w:style w:type="table" w:customStyle="1" w:styleId="103">
    <w:name w:val="Grid Table 4 Accent 3"/>
    <w:basedOn w:val="36"/>
    <w:qFormat/>
    <w:uiPriority w:val="49"/>
    <w:rPr>
      <w:rFonts w:asciiTheme="minorHAnsi" w:hAnsiTheme="minorHAnsi"/>
      <w:szCs w:val="22"/>
    </w:r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104">
    <w:name w:val="Grid Table 4 Accent 1"/>
    <w:basedOn w:val="36"/>
    <w:qFormat/>
    <w:uiPriority w:val="49"/>
    <w:rPr>
      <w:rFonts w:asciiTheme="minorHAnsi" w:hAnsiTheme="minorHAnsi"/>
      <w:szCs w:val="22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customStyle="1" w:styleId="105">
    <w:name w:val="envLight代码"/>
    <w:qFormat/>
    <w:uiPriority w:val="0"/>
    <w:rPr>
      <w:rFonts w:ascii="Consolas" w:hAnsi="Consolas" w:eastAsiaTheme="minorEastAsia" w:cstheme="minorBidi"/>
      <w:kern w:val="2"/>
      <w:sz w:val="16"/>
      <w:szCs w:val="21"/>
      <w:lang w:val="en-US" w:eastAsia="zh-CN" w:bidi="ar-SA"/>
    </w:rPr>
  </w:style>
  <w:style w:type="paragraph" w:customStyle="1" w:styleId="106">
    <w:name w:val="EnvHeading1"/>
    <w:basedOn w:val="1"/>
    <w:qFormat/>
    <w:uiPriority w:val="0"/>
  </w:style>
  <w:style w:type="paragraph" w:customStyle="1" w:styleId="107">
    <w:name w:val="EnvHeading2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BE3D7-FB69-4675-83C7-D3E269C2AE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qc18.net</Company>
  <Pages>26</Pages>
  <Words>2696</Words>
  <Characters>4640</Characters>
  <Lines>90</Lines>
  <Paragraphs>25</Paragraphs>
  <TotalTime>0</TotalTime>
  <ScaleCrop>false</ScaleCrop>
  <LinksUpToDate>false</LinksUpToDate>
  <CharactersWithSpaces>5071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2019-04-11T08:20:00Z</dcterms:created>
  <dc:creator>qc18</dc:creator>
  <cp:keywords>00-WI-1100 V1.0 文件排版格式规范</cp:keywords>
  <cp:lastModifiedBy>林培文</cp:lastModifiedBy>
  <cp:lastPrinted>2019-04-11T07:25:00Z</cp:lastPrinted>
  <dcterms:modified xsi:type="dcterms:W3CDTF">2026-08-18T08:00:02Z</dcterms:modified>
  <cp:revision>250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eyJoZGlkIjoiYWZhYTBlMTM5ZGE1OGI4N2IwYzVlMGMwMDQwYmY3NmEiLCJ1c2VySWQiOiIzODA4NjA0MjAifQ==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88F760BDDB0E490DA3926EA8145E0AF2_12</vt:lpwstr>
  </property>
</Properties>
</file>