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rPr>
          <w:rFonts w:ascii="微软雅黑" w:hAnsi="微软雅黑" w:eastAsia="微软雅黑"/>
          <w:b/>
          <w:color w:val="A8522F"/>
          <w:sz w:val="40"/>
        </w:rPr>
        <w:t>作品信息表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用于在线填报时对照填写。全部字段与已提交的申报书、答辩 PPT、参赛包保持一致。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一、作品基本信息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1560"/>
        <w:gridCol w:w="7800"/>
      </w:tblGrid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填写内容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作品名称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《坎儿井》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作品类别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自主命题 · 虚拟现实与游戏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作品形态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PC 单机游戏（AI 原生 2D 模拟经营），双击即运行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运行平台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Windows 10 / 11 64 位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是否需要联网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否</w:t>
            </w:r>
            <w:r>
              <w:rPr>
                <w:rFonts w:ascii="微软雅黑" w:hAnsi="微软雅黑" w:eastAsia="微软雅黑"/>
                <w:b w:val="0"/>
                <w:sz w:val="21"/>
              </w:rPr>
              <w:t>。AI 服务在线时角色对话由大模型实时生成；离线时自动降级，游戏完整可玩</w:t>
            </w:r>
          </w:p>
        </w:tc>
      </w:tr>
      <w:tr>
        <w:tc>
          <w:tcPr>
            <w:tcW w:type="dxa" w:w="15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是否需要安装环境</w:t>
            </w:r>
          </w:p>
        </w:tc>
        <w:tc>
          <w:tcPr>
            <w:tcW w:type="dxa" w:w="780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否</w:t>
            </w:r>
            <w:r>
              <w:rPr>
                <w:rFonts w:ascii="微软雅黑" w:hAnsi="微软雅黑" w:eastAsia="微软雅黑"/>
                <w:b w:val="0"/>
                <w:sz w:val="21"/>
              </w:rPr>
              <w:t>。引擎与运行库随包附带，解压后双击即玩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二、一句话简介</w:t>
      </w:r>
    </w:p>
    <w:p>
      <w:r>
        <w:rPr>
          <w:rFonts w:ascii="微软雅黑" w:hAnsi="微软雅黑" w:eastAsia="微软雅黑"/>
          <w:b w:val="0"/>
          <w:sz w:val="21"/>
        </w:rPr>
        <w:t>你是丝路上一位年轻的驿丞，接手沙漠边缘一座荒废的驿站和一段淤塞的坎儿井，靠引来天山雪水、开垦绿洲、接待商队、与各方势力周旋，把它重新经营成繁华的丝路重镇。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三、作品简介（约 300 字）</w:t>
      </w:r>
    </w:p>
    <w:p>
      <w:r>
        <w:rPr>
          <w:rFonts w:ascii="微软雅黑" w:hAnsi="微软雅黑" w:eastAsia="微软雅黑"/>
          <w:b w:val="0"/>
          <w:sz w:val="21"/>
        </w:rPr>
        <w:t>《坎儿井》是一款以新疆多民族丝路文化为题材的 AI 原生 2D 模拟经营游戏。</w:t>
      </w:r>
    </w:p>
    <w:p>
      <w:r>
        <w:rPr>
          <w:rFonts w:ascii="微软雅黑" w:hAnsi="微软雅黑" w:eastAsia="微软雅黑"/>
          <w:b w:val="0"/>
          <w:sz w:val="21"/>
        </w:rPr>
        <w:t>游戏把镜头放在丝绸之路上最不起眼、却最要命的一个人和一设施上：</w:t>
      </w:r>
      <w:r>
        <w:rPr>
          <w:rFonts w:ascii="微软雅黑" w:hAnsi="微软雅黑" w:eastAsia="微软雅黑"/>
          <w:b/>
          <w:sz w:val="21"/>
        </w:rPr>
        <w:t>一个驿站的驿丞，和一段淤塞的坎儿井</w:t>
      </w:r>
      <w:r>
        <w:rPr>
          <w:rFonts w:ascii="微软雅黑" w:hAnsi="微软雅黑" w:eastAsia="微软雅黑"/>
          <w:b w:val="0"/>
          <w:sz w:val="21"/>
        </w:rPr>
        <w:t>。玩家接手的据点因水源断绝而衰败，必须从"治水"开始——一段一段挖通竖井与暗渠，把天山雪水经地下暗渠引到地表，让荒漠重新长出绿洲；再用绿洲养活的人口去耕作、采集、经商、守卫、放牧、做工、演艺，建起驿馆、巴扎、作坊、晾房、畜栏，接待往来商队，与哈萨克牧民、汉族掌柜、马匪头目、神秘旅人周旋，扛过沙暴、大旱、融雪洪水、寒潮、瘟疫与蝗灾。</w:t>
      </w:r>
    </w:p>
    <w:p>
      <w:r>
        <w:rPr>
          <w:rFonts w:ascii="微软雅黑" w:hAnsi="微软雅黑" w:eastAsia="微软雅黑"/>
          <w:b w:val="0"/>
          <w:sz w:val="21"/>
        </w:rPr>
        <w:t>游戏的核心设计原则只有一句话：</w:t>
      </w:r>
      <w:r>
        <w:rPr>
          <w:rFonts w:ascii="微软雅黑" w:hAnsi="微软雅黑" w:eastAsia="微软雅黑"/>
          <w:b/>
          <w:sz w:val="21"/>
        </w:rPr>
        <w:t>让文化"活"在角色的日常、劳作、灾难与抉择里，而不是贴一层资料让玩家阅读。</w:t>
      </w:r>
      <w:r>
        <w:rPr>
          <w:rFonts w:ascii="微软雅黑" w:hAnsi="微软雅黑" w:eastAsia="微软雅黑"/>
          <w:b w:val="0"/>
          <w:sz w:val="21"/>
        </w:rPr>
        <w:t xml:space="preserve"> 因此坎儿井是唯一的主线（水决定人口、人口决定劳动力）；十二木卡姆不是配乐，而是需要"人在场 + 有热瓦普 + 有奏乐台"才能办起来的一场演出；擀毡子、织艾德莱斯绸也不是图鉴条目，而是把羊毛与棉花换成银两、扛过冬天的真实生产链。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四、团队信息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441"/>
        <w:gridCol w:w="6918"/>
      </w:tblGrid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填写内容</w:t>
            </w:r>
          </w:p>
        </w:tc>
      </w:tr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申报单位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中国石油大学（北京）克拉玛依校区</w:t>
            </w:r>
          </w:p>
        </w:tc>
      </w:tr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团队名称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代码一次敲队</w:t>
            </w:r>
          </w:p>
        </w:tc>
      </w:tr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团队人数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 人</w:t>
            </w:r>
          </w:p>
        </w:tc>
      </w:tr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团队成员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李鹏宇、王焕楷、李云天</w:t>
            </w:r>
          </w:p>
        </w:tc>
      </w:tr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指导教师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徐媛媛、李中岩</w:t>
            </w:r>
          </w:p>
        </w:tc>
      </w:tr>
      <w:tr>
        <w:tc>
          <w:tcPr>
            <w:tcW w:type="dxa" w:w="244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指导教师邮箱</w:t>
            </w:r>
          </w:p>
        </w:tc>
        <w:tc>
          <w:tcPr>
            <w:tcW w:type="dxa" w:w="691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2987312855@qq.com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五、作品规格一览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552"/>
        <w:gridCol w:w="6807"/>
      </w:tblGrid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数量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作品代码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13,004 行</w:t>
            </w:r>
            <w:r>
              <w:rPr>
                <w:rFonts w:ascii="微软雅黑" w:hAnsi="微软雅黑" w:eastAsia="微软雅黑"/>
                <w:b w:val="0"/>
                <w:sz w:val="21"/>
              </w:rPr>
              <w:t>（游戏本体 8,664 + AI 服务 1,917 + 自动化测试 2,423）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事件库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 条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建筑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 座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岗位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 种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牲畜 / 野畜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 品种 / 4 种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灾难 / 节庆 / 木卡姆曲目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 / 3 / 6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加工配方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 条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美术资产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419 张 PNG（统一 34 色板）</w:t>
            </w:r>
          </w:p>
        </w:tc>
      </w:tr>
      <w:tr>
        <w:tc>
          <w:tcPr>
            <w:tcW w:type="dxa" w:w="255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自动化测试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 套，388 项断言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六、AIGC 使用情况（须标注）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340"/>
        <w:gridCol w:w="3028"/>
        <w:gridCol w:w="3991"/>
      </w:tblGrid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生成内容</w:t>
            </w:r>
          </w:p>
        </w:tc>
        <w:tc>
          <w:tcPr>
            <w:tcW w:type="dxa" w:w="30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使用的工具</w:t>
            </w:r>
          </w:p>
        </w:tc>
        <w:tc>
          <w:tcPr>
            <w:tcW w:type="dxa" w:w="399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灾难与事件插画（6 张灾难场景等）</w:t>
            </w:r>
          </w:p>
        </w:tc>
        <w:tc>
          <w:tcPr>
            <w:tcW w:type="dxa" w:w="30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本地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ComfyUI + SDXL</w:t>
            </w:r>
          </w:p>
        </w:tc>
        <w:tc>
          <w:tcPr>
            <w:tcW w:type="dxa" w:w="39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全流程在本地机器运行，生成后由团队筛选与裁切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角色对话与事件文本</w:t>
            </w:r>
          </w:p>
        </w:tc>
        <w:tc>
          <w:tcPr>
            <w:tcW w:type="dxa" w:w="30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大语言模型（DeepSeek）</w:t>
            </w:r>
          </w:p>
        </w:tc>
        <w:tc>
          <w:tcPr>
            <w:tcW w:type="dxa" w:w="39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运行时实时生成；模型不可用时降级为团队预先编写的预设内容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像素贴图与统一色板</w:t>
            </w:r>
          </w:p>
        </w:tc>
        <w:tc>
          <w:tcPr>
            <w:tcW w:type="dxa" w:w="30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Python + Pillow（程序化生成）</w:t>
            </w:r>
          </w:p>
        </w:tc>
        <w:tc>
          <w:tcPr>
            <w:tcW w:type="dxa" w:w="39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由团队编写生成脚本产出，配色锁定在 34 色板内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部分代码的实现与重构</w:t>
            </w:r>
          </w:p>
        </w:tc>
        <w:tc>
          <w:tcPr>
            <w:tcW w:type="dxa" w:w="30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大语言模型辅助</w:t>
            </w:r>
          </w:p>
        </w:tc>
        <w:tc>
          <w:tcPr>
            <w:tcW w:type="dxa" w:w="39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输出均经团队在本地运行、测试（388 项断言）与修改后采用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中文标题与界面文字一律使用真实字体排版</w:t>
      </w:r>
      <w:r>
        <w:rPr>
          <w:rFonts w:ascii="微软雅黑" w:hAnsi="微软雅黑" w:eastAsia="微软雅黑"/>
          <w:b w:val="0"/>
          <w:sz w:val="21"/>
        </w:rPr>
        <w:t>，不由图像生成模型绘制文字。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七、提交物清单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2295"/>
        <w:gridCol w:w="7064"/>
      </w:tblGrid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上传口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文件</w:t>
            </w:r>
          </w:p>
        </w:tc>
      </w:tr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承诺书盖章扫描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待团队签章后上传</w:t>
            </w:r>
          </w:p>
        </w:tc>
      </w:tr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作品截图 10 张 jpg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`作品截图10张/`（01–10）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作品视频 mp4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待录制（时长建议 3 分钟内）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答辩 PPT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`坎儿井_创新点答辩.pptx`（15 页）、`坎儿井_作品展示.pptx`（10 页）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参赛打包 ZIP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`坎儿井_参赛包.zip`（解压后双击 `启动游戏.bat` 即可运行）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（仅国际赛）学生证</w:t>
            </w:r>
          </w:p>
        </w:tc>
        <w:tc>
          <w:tcPr>
            <w:tcW w:type="dxa" w:w="706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