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rPr>
          <w:rFonts w:ascii="微软雅黑" w:hAnsi="微软雅黑" w:eastAsia="微软雅黑"/>
          <w:b/>
          <w:color w:val="A8522F"/>
          <w:sz w:val="40"/>
        </w:rPr>
        <w:t>团队分工与贡献说明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2026 年第十四届全国大学生数字媒体科技作品及创意竞赛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作品名称：《坎儿井》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一、团队构成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1872"/>
        <w:gridCol w:w="7488"/>
      </w:tblGrid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项目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申报单位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中国石油大学（北京）克拉玛依校区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团队名称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代码一次敲队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团队人数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3 人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团队成员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李鹏宇、王焕楷、李云天</w:t>
            </w:r>
          </w:p>
        </w:tc>
      </w:tr>
      <w:tr>
        <w:tc>
          <w:tcPr>
            <w:tcW w:type="dxa" w:w="187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指导教师</w:t>
            </w:r>
          </w:p>
        </w:tc>
        <w:tc>
          <w:tcPr>
            <w:tcW w:type="dxa" w:w="7488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徐媛媛、李中岩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二、成员分工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8" w:type="dxa"/>
      </w:tblPr>
      <w:tblGrid>
        <w:gridCol w:w="594"/>
        <w:gridCol w:w="2822"/>
        <w:gridCol w:w="5942"/>
      </w:tblGrid>
      <w:tr>
        <w:tc>
          <w:tcPr>
            <w:tcW w:type="dxa" w:w="59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282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专业 / 年级</w:t>
            </w:r>
          </w:p>
        </w:tc>
        <w:tc>
          <w:tcPr>
            <w:tcW w:type="dxa" w:w="5942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承担工作</w:t>
            </w:r>
          </w:p>
        </w:tc>
      </w:tr>
      <w:tr>
        <w:tc>
          <w:tcPr>
            <w:tcW w:type="dxa" w:w="5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  <w:tc>
          <w:tcPr>
            <w:tcW w:type="dxa" w:w="282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机电工程学院 自动化专业 2025 级</w:t>
            </w:r>
          </w:p>
        </w:tc>
        <w:tc>
          <w:tcPr>
            <w:tcW w:type="dxa" w:w="59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游戏框架规划与核心系统实现、数据驱动架构设计、AI 接口对接与离线降级逻辑、程序化美术生产管线、自动化测试体系构建与整合</w:t>
            </w:r>
          </w:p>
        </w:tc>
      </w:tr>
      <w:tr>
        <w:tc>
          <w:tcPr>
            <w:tcW w:type="dxa" w:w="5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</w:t>
            </w:r>
          </w:p>
        </w:tc>
        <w:tc>
          <w:tcPr>
            <w:tcW w:type="dxa" w:w="282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机电工程学院 自动化专业 2025 级</w:t>
            </w:r>
          </w:p>
        </w:tc>
        <w:tc>
          <w:tcPr>
            <w:tcW w:type="dxa" w:w="59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与李云天共同负责：界面上手体验与视觉实现、新疆文化元素资料考据与核对、素材搜集与授权核查、演示视频录制与剪辑、参赛文档撰写与校对、功能测试与反馈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  <w:tr>
        <w:tc>
          <w:tcPr>
            <w:tcW w:type="dxa" w:w="594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李云天</w:t>
            </w:r>
          </w:p>
        </w:tc>
        <w:tc>
          <w:tcPr>
            <w:tcW w:type="dxa" w:w="282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机电工程学院 自动化专业 2025 级</w:t>
            </w:r>
          </w:p>
        </w:tc>
        <w:tc>
          <w:tcPr>
            <w:tcW w:type="dxa" w:w="5942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与王焕楷共同负责：界面上手体验与视觉实现、新疆文化元素资料考据与核对、素材搜集与授权核查、演示视频录制与剪辑、参赛文档撰写与校对、功能测试与反馈</w:t>
            </w:r>
          </w:p>
        </w:tc>
      </w:tr>
    </w:tbl>
    <w:p/>
    <w:p>
      <w:pPr>
        <w:ind w:left="360"/>
      </w:pPr>
      <w:r>
        <w:rPr>
          <w:rFonts w:ascii="微软雅黑" w:hAnsi="微软雅黑" w:eastAsia="微软雅黑"/>
          <w:b w:val="0"/>
          <w:i/>
          <w:color w:val="666666"/>
          <w:sz w:val="21"/>
        </w:rPr>
        <w:t>说明：王焕楷与李云天两位成员的职责均等，承担同一组工作，各自与对方共同负责、互相补位。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三、工作模块与负责人</w:t>
      </w:r>
    </w:p>
    <w:p>
      <w:r>
        <w:rPr>
          <w:rFonts w:ascii="微软雅黑" w:hAnsi="微软雅黑" w:eastAsia="微软雅黑"/>
          <w:b w:val="0"/>
          <w:sz w:val="21"/>
        </w:rPr>
        <w:t>按作品的功能模块划分，各项工作归属如下：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59" w:type="dxa"/>
      </w:tblPr>
      <w:tblGrid>
        <w:gridCol w:w="1361"/>
        <w:gridCol w:w="6807"/>
        <w:gridCol w:w="1191"/>
      </w:tblGrid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工作模块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具体内容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负责人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选题与方案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确定以坎儿井为题材、以"AIGC + 新疆丝路文化 + 经营玩法"为路径；提出并论证四个创新点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核心玩法系统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坎儿井水利、据点经营、九个岗位分工、建造、探索、御敌之战（自由布阵与兵种）、灾难、畜牧、加工、节庆、木卡姆等系统的设计与实现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数值与数据架构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将全部玩法数值外置为 23 个数据段（numbers.json）；事件库 64 条；存档结构设计与旧存档迁移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AI 对接与降级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 接口封装、角色人设与记忆、上下文预算控制、</w:t>
            </w:r>
            <w:r>
              <w:rPr>
                <w:rFonts w:ascii="微软雅黑" w:hAnsi="微软雅黑" w:eastAsia="微软雅黑"/>
                <w:b/>
                <w:sz w:val="21"/>
              </w:rPr>
              <w:t>离线降级路径</w:t>
            </w:r>
            <w:r>
              <w:rPr>
                <w:rFonts w:ascii="微软雅黑" w:hAnsi="微软雅黑" w:eastAsia="微软雅黑"/>
                <w:b w:val="0"/>
                <w:sz w:val="21"/>
              </w:rPr>
              <w:t>（AI 不可用时游戏仍完整可玩）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美术生产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程序化像素贴图管线（34 色板统一、逐文件审计）；本地 ComfyUI + SDXL 生成本地插画；真字体中文排版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测试与验证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四套自动化测试共 388 项断言；结构校验脚本；逐页截图视觉核对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李鹏宇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上手体验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界面布局与信息层级、操作引导、新手提示语、色板与可读性调优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王焕楷、李云天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文化考据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十二木卡姆曲目名、诺鲁孜节与古尔邦节、五个畜种、作物与手工等资料的搜集与逐项核对，确保不出现编造内容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王焕楷、李云天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素材与授权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第三方素材来源核查与授权标注、生成内容的 AIGC 标识方式梳理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王焕楷、李云天</w:t>
            </w:r>
          </w:p>
        </w:tc>
      </w:tr>
      <w:tr>
        <w:tc>
          <w:tcPr>
            <w:tcW w:type="dxa" w:w="136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演示与文档</w:t>
            </w:r>
          </w:p>
        </w:tc>
        <w:tc>
          <w:tcPr>
            <w:tcW w:type="dxa" w:w="680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演示视频录制与剪辑、申报书与答辩 PPT 撰写校对、参赛材料整理</w:t>
            </w:r>
          </w:p>
        </w:tc>
        <w:tc>
          <w:tcPr>
            <w:tcW w:type="dxa" w:w="1191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王焕楷、李云天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四、协作与开发过程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选题与需求确定阶段</w:t>
      </w:r>
      <w:r>
        <w:rPr>
          <w:rFonts w:ascii="微软雅黑" w:hAnsi="微软雅黑" w:eastAsia="微软雅黑"/>
          <w:b w:val="0"/>
          <w:sz w:val="21"/>
        </w:rPr>
        <w:t>：团队共同讨论确定以新疆坎儿井为题材，明确"文化必须进入玩法、而不是贴一层资料"的设计原则，据此确定以治水为唯一主线的经营玩法框架。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文化与内容准备阶段</w:t>
      </w:r>
      <w:r>
        <w:rPr>
          <w:rFonts w:ascii="微软雅黑" w:hAnsi="微软雅黑" w:eastAsia="微软雅黑"/>
          <w:b w:val="0"/>
          <w:sz w:val="21"/>
        </w:rPr>
        <w:t>：分工搜集坎儿井、十二木卡姆、艾德莱斯绸、诺鲁孜节与古尔邦节、新疆地方畜种等公开资料，逐项核对后写成游戏内的数据条目；对无法确证的内容（如木卡姆传承谱系）明确不作编写。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系统开发阶段</w:t>
      </w:r>
      <w:r>
        <w:rPr>
          <w:rFonts w:ascii="微软雅黑" w:hAnsi="微软雅黑" w:eastAsia="微软雅黑"/>
          <w:b w:val="0"/>
          <w:sz w:val="21"/>
        </w:rPr>
        <w:t>：按功能模块推进，先完成水利与经营主干，再依次接入建造、分工、战斗、灾难、畜牧、加工、节庆与木卡姆；每完成一个模块，先跑自动化测试，再由其他成员实机试玩并反馈。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美术与素材阶段</w:t>
      </w:r>
      <w:r>
        <w:rPr>
          <w:rFonts w:ascii="微软雅黑" w:hAnsi="微软雅黑" w:eastAsia="微软雅黑"/>
          <w:b w:val="0"/>
          <w:sz w:val="21"/>
        </w:rPr>
        <w:t>：确定"像素贴图程序化生成、插画由本地模型生成"的双轨路线；筛选素材并逐项核查授权，标注生成内容。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测试与完善阶段</w:t>
      </w:r>
      <w:r>
        <w:rPr>
          <w:rFonts w:ascii="微软雅黑" w:hAnsi="微软雅黑" w:eastAsia="微软雅黑"/>
          <w:b w:val="0"/>
          <w:sz w:val="21"/>
        </w:rPr>
        <w:t>：进行完整功能走查与异常场景测试（旧存档读取、AI 服务不可用、灾难连续触发、以少打多、人口只剩 1 人等），根据测试结果迭代修复。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材料整理阶段</w:t>
      </w:r>
      <w:r>
        <w:rPr>
          <w:rFonts w:ascii="微软雅黑" w:hAnsi="微软雅黑" w:eastAsia="微软雅黑"/>
          <w:b w:val="0"/>
          <w:sz w:val="21"/>
        </w:rPr>
        <w:t>：录制演示视频，撰写并逐字核对申报书、答辩 PPT 与全部参赛文档，并打包成可直接运行的参赛包。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五、原创贡献声明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作品的选题方向、核心玩法框架、四个创新点构思由团队自主提出并确定；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全部玩法系统、数值体系、AI 对接与降级逻辑、美术生产管线与测试体系由团队设计并实现；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游戏中涉及的非遗与民族文化内容，由团队对照公开资料逐项核实后撰写；对公开资料未能确证的内容，作品内明确标注范围（例如十二木卡姆仅收录确认无误的六套曲目），不作编造；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人工智能工具承担</w:t>
      </w:r>
      <w:r>
        <w:rPr>
          <w:rFonts w:ascii="微软雅黑" w:hAnsi="微软雅黑" w:eastAsia="微软雅黑"/>
          <w:b/>
          <w:sz w:val="21"/>
        </w:rPr>
        <w:t>执行性辅助</w:t>
      </w:r>
      <w:r>
        <w:rPr>
          <w:rFonts w:ascii="微软雅黑" w:hAnsi="微软雅黑" w:eastAsia="微软雅黑"/>
          <w:b w:val="0"/>
          <w:sz w:val="21"/>
        </w:rPr>
        <w:t>工作，包括：程序化生成像素贴图与统一色板的代码、本地扩散模型生成的灾难与事件插画、角色对话文本的实时生成、以及部分代码的实现与重构。其输出均经团队在本地运行、测试与修改后采用；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演示视频由团队录制与剪辑，全部参赛文档由团队组织撰写。</w:t>
      </w:r>
    </w:p>
    <w:p>
      <w:r>
        <w:rPr>
          <w:rFonts w:ascii="微软雅黑" w:hAnsi="微软雅黑" w:eastAsia="微软雅黑"/>
          <w:b w:val="0"/>
          <w:sz w:val="21"/>
        </w:rPr>
        <w:t>关于人工智能工具的具体使用情况，详见单独提交的《人工智能工具使用说明》。</w:t>
      </w:r>
    </w:p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六、使用工具与资源</w:t>
      </w:r>
    </w:p>
    <w:tbl>
      <w:tblPr>
        <w:tblStyle w:val="LightGrid-Accent1"/>
        <w:jc w:val="left"/>
        <w:tblLayout w:type="fixed"/>
        <w:tblLook w:firstColumn="1" w:firstRow="1" w:lastColumn="0" w:lastRow="0" w:noHBand="0" w:noVBand="1" w:val="04A0"/>
        <w:tblW w:w="9360" w:type="dxa"/>
      </w:tblPr>
      <w:tblGrid>
        <w:gridCol w:w="1040"/>
        <w:gridCol w:w="8320"/>
      </w:tblGrid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类别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内容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游戏引擎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Godot 4.7.2（GDScript）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本地服务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Python 3 + FastAPI（本地 AI 服务，可选启动）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大语言模型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DeepSeek（角色对话与事件文本；不可用时自动降级为预设内容）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图像生成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本地</w:t>
            </w:r>
            <w:r>
              <w:rPr>
                <w:rFonts w:ascii="微软雅黑" w:hAnsi="微软雅黑" w:eastAsia="微软雅黑"/>
                <w:b w:val="0"/>
                <w:sz w:val="21"/>
              </w:rPr>
              <w:t xml:space="preserve"> ComfyUI + SDXL（灾难与事件插画，全流程本地运行）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图像处理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Python + Pillow（像素贴图程序化生成、色板审计、排版合成）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数值与内容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JSON（`data/numbers.json` 23 个数据段、`data/events.v1.json` 64 条事件）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质量保障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自研自动化测试（4 套 388 项断言）、结构校验脚本、色板与素材审计脚本</w:t>
            </w:r>
          </w:p>
        </w:tc>
      </w:tr>
      <w:tr>
        <w:tc>
          <w:tcPr>
            <w:tcW w:type="dxa" w:w="104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素材来源</w:t>
            </w:r>
          </w:p>
        </w:tc>
        <w:tc>
          <w:tcPr>
            <w:tcW w:type="dxa" w:w="8320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像素素材以团队程序化生成为主；第三方素材来源与授权见作品内 `docs/asset-licenses.md`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8522F"/>
        </w:rPr>
        <w:t>七、承诺</w:t>
      </w:r>
    </w:p>
    <w:p>
      <w:r>
        <w:rPr>
          <w:rFonts w:ascii="微软雅黑" w:hAnsi="微软雅黑" w:eastAsia="微软雅黑"/>
          <w:b w:val="0"/>
          <w:sz w:val="21"/>
        </w:rPr>
        <w:t>本团队承诺：以上分工与贡献说明真实反映各成员的实际工作情况，作品为学生团队的原创成果，不存在冒名参赛或虚假申报情形。如与实际情况不符，本团队愿承担相应责任。</w:t>
      </w:r>
    </w:p>
    <w:p>
      <w:r>
        <w:rPr>
          <w:rFonts w:ascii="微软雅黑" w:hAnsi="微软雅黑" w:eastAsia="微软雅黑"/>
          <w:b w:val="0"/>
          <w:sz w:val="21"/>
        </w:rPr>
        <w:t>团队成员签字：＿＿＿＿＿＿＿＿　＿＿＿＿＿＿＿＿　＿＿＿＿＿＿＿＿</w:t>
      </w:r>
    </w:p>
    <w:p>
      <w:r>
        <w:rPr>
          <w:rFonts w:ascii="微软雅黑" w:hAnsi="微软雅黑" w:eastAsia="微软雅黑"/>
          <w:b w:val="0"/>
          <w:sz w:val="21"/>
        </w:rPr>
        <w:t>日期：2026 年 10 月 　　 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