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知识产权与第三方素材说明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 年第十四届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全国大学生数字媒体科技作品及创意竞赛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作品名称：《坎儿井》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申报单位：中国石油大学（北京）克拉玛依校区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团队名称：代码一次敲队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团队成员：李鹏宇　王焕楷　李云天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指导教师：徐媛媛　李中岩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填报日期：2026 年 10 月 7 日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一、说明目的与范围</w:t>
      </w:r>
    </w:p>
    <w:p>
      <w:r>
        <w:rPr>
          <w:rFonts w:ascii="微软雅黑" w:hAnsi="微软雅黑" w:eastAsia="微软雅黑"/>
          <w:b w:val="0"/>
          <w:sz w:val="21"/>
        </w:rPr>
        <w:t>本说明与《作品说明文档》《人工智能工具使用说明》配套提交，三份材料中的相关表述保持一致。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二、作品原创性说明</w:t>
      </w:r>
    </w:p>
    <w:p>
      <w:r>
        <w:rPr>
          <w:rFonts w:ascii="微软雅黑" w:hAnsi="微软雅黑" w:eastAsia="微软雅黑"/>
          <w:b w:val="0"/>
          <w:sz w:val="21"/>
        </w:rPr>
        <w:t>以下内容为参赛学生团队的原创成果，不存在抄袭、剽窃、套作或冒名情形：</w:t>
      </w:r>
    </w:p>
    <w:p>
      <w:r>
        <w:rPr>
          <w:rFonts w:ascii="微软雅黑" w:hAnsi="微软雅黑" w:eastAsia="微软雅黑"/>
          <w:b w:val="0"/>
          <w:sz w:val="21"/>
        </w:rPr>
        <w:t>1. 作品的选题方向、核心玩法框架与四个创新点构思；</w:t>
      </w:r>
    </w:p>
    <w:p>
      <w:r>
        <w:rPr>
          <w:rFonts w:ascii="微软雅黑" w:hAnsi="微软雅黑" w:eastAsia="微软雅黑"/>
          <w:b w:val="0"/>
          <w:sz w:val="21"/>
        </w:rPr>
        <w:t>2. 全部玩法系统的设计与实现：坎儿井水利、据点经营、九个岗位分工、建造、探索、御敌之战（自由布阵与兵种）、灾难、畜牧、加工、节庆、木卡姆；</w:t>
      </w:r>
    </w:p>
    <w:p>
      <w:r>
        <w:rPr>
          <w:rFonts w:ascii="微软雅黑" w:hAnsi="微软雅黑" w:eastAsia="微软雅黑"/>
          <w:b w:val="0"/>
          <w:sz w:val="21"/>
        </w:rPr>
        <w:t>3. 数据驱动架构（23 个数据段）、事件库（64 条）与存档结构的设计；</w:t>
      </w:r>
    </w:p>
    <w:p>
      <w:r>
        <w:rPr>
          <w:rFonts w:ascii="微软雅黑" w:hAnsi="微软雅黑" w:eastAsia="微软雅黑"/>
          <w:b w:val="0"/>
          <w:sz w:val="21"/>
        </w:rPr>
        <w:t>4. AI 接口封装、角色人设与记忆机制、上下文预算控制，以及**离线降级路径**的设计；</w:t>
      </w:r>
    </w:p>
    <w:p>
      <w:r>
        <w:rPr>
          <w:rFonts w:ascii="微软雅黑" w:hAnsi="微软雅黑" w:eastAsia="微软雅黑"/>
          <w:b w:val="0"/>
          <w:sz w:val="21"/>
        </w:rPr>
        <w:t>5. 程序化像素贴图管线（含 34 色板约束与逐文件审计）与本地图像生成流程；</w:t>
      </w:r>
    </w:p>
    <w:p>
      <w:r>
        <w:rPr>
          <w:rFonts w:ascii="微软雅黑" w:hAnsi="微软雅黑" w:eastAsia="微软雅黑"/>
          <w:b w:val="0"/>
          <w:sz w:val="21"/>
        </w:rPr>
        <w:t>6. 自动化测试体系（4 套 388 项断言）与结构校验脚本；</w:t>
      </w:r>
    </w:p>
    <w:p>
      <w:r>
        <w:rPr>
          <w:rFonts w:ascii="微软雅黑" w:hAnsi="微软雅黑" w:eastAsia="微软雅黑"/>
          <w:b w:val="0"/>
          <w:sz w:val="21"/>
        </w:rPr>
        <w:t>7. 界面布局、信息层级与操作引导方案；</w:t>
      </w:r>
    </w:p>
    <w:p>
      <w:r>
        <w:rPr>
          <w:rFonts w:ascii="微软雅黑" w:hAnsi="微软雅黑" w:eastAsia="微软雅黑"/>
          <w:b w:val="0"/>
          <w:sz w:val="21"/>
        </w:rPr>
        <w:t>8. 演示视频、申报书、答辩 PPT 及全部参赛文档。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三、第三方素材来源与授权</w:t>
      </w:r>
    </w:p>
    <w:p>
      <w:r>
        <w:rPr>
          <w:rFonts w:ascii="微软雅黑" w:hAnsi="微软雅黑" w:eastAsia="微软雅黑"/>
          <w:b w:val="0"/>
          <w:sz w:val="21"/>
        </w:rPr>
        <w:t>作品使用的第三方素材以**开放授权**的像素素材包为主，均已核查授权条款：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素材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来源与授权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Ninja Adventure Asset Pack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建筑、地块、道具等像素素材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CC0（公有领域），允许商用与修改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Kenney 系列素材包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部分地块与音效底库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CC0（公有领域）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Sonniss GameAudioGDC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音效底库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Sonniss 授权，允许在游戏作品中使用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开源字体（像素中文字体）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界面文字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SIL Open Font License 1.1，允许嵌入与再分发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完整清单与逐项授权记录见作品目录内的 docs/asset-licenses.md，可逐条核对。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四、开源依赖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依赖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许可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Godot Engine 4.7.2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游戏引擎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3 / FastAPI / uvicorn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 AI 服务（可选）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PSF / MIT / BSD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Pillow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像素贴图程序化生成与图像处理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HPND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python-docx / python-pptx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参赛文档生成（开发期工具）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MIT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五、人工智能生成内容的说明</w:t>
      </w:r>
    </w:p>
    <w:p>
      <w:r>
        <w:rPr>
          <w:rFonts w:ascii="微软雅黑" w:hAnsi="微软雅黑" w:eastAsia="微软雅黑"/>
          <w:b w:val="0"/>
          <w:sz w:val="21"/>
        </w:rPr>
        <w:t>作品中由人工智能生成的内容及其标识方式，详见单独提交的《人工智能工具使用说明》。要点如下：</w:t>
      </w:r>
    </w:p>
    <w:p>
      <w:r>
        <w:rPr>
          <w:rFonts w:ascii="微软雅黑" w:hAnsi="微软雅黑" w:eastAsia="微软雅黑"/>
          <w:b w:val="0"/>
          <w:sz w:val="21"/>
        </w:rPr>
        <w:t>- 灾难与事件插画由**本地部署**的 Stable Diffusion XL 生成，全程本机运行；</w:t>
      </w:r>
    </w:p>
    <w:p>
      <w:r>
        <w:rPr>
          <w:rFonts w:ascii="微软雅黑" w:hAnsi="微软雅黑" w:eastAsia="微软雅黑"/>
          <w:b w:val="0"/>
          <w:sz w:val="21"/>
        </w:rPr>
        <w:t>- 角色对话与事件文本由大语言模型运行时生成，界面明确显示 AI 连接状态；</w:t>
      </w:r>
    </w:p>
    <w:p>
      <w:r>
        <w:rPr>
          <w:rFonts w:ascii="微软雅黑" w:hAnsi="微软雅黑" w:eastAsia="微软雅黑"/>
          <w:b w:val="0"/>
          <w:sz w:val="21"/>
        </w:rPr>
        <w:t>- 像素贴图由确定性程序（Python + Pillow）生成，不属于生成式模型输出；</w:t>
      </w:r>
    </w:p>
    <w:p>
      <w:r>
        <w:rPr>
          <w:rFonts w:ascii="微软雅黑" w:hAnsi="微软雅黑" w:eastAsia="微软雅黑"/>
          <w:b w:val="0"/>
          <w:sz w:val="21"/>
        </w:rPr>
        <w:t>- 中文标题与界面文字一律使用真实字体排版，不由模型绘制文字。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六、民族文化内容的准确性</w:t>
      </w:r>
    </w:p>
    <w:p>
      <w:r>
        <w:rPr>
          <w:rFonts w:ascii="微软雅黑" w:hAnsi="微软雅黑" w:eastAsia="微软雅黑"/>
          <w:b w:val="0"/>
          <w:sz w:val="21"/>
        </w:rPr>
        <w:t>作品涉及的非遗与民族文化内容，均由团队对照权威公开资料逐项核实后撰写。对公开资料未能确证的内容，作品内明确标注范围，不作编造：</w:t>
      </w:r>
    </w:p>
    <w:p>
      <w:r>
        <w:rPr>
          <w:rFonts w:ascii="微软雅黑" w:hAnsi="微软雅黑" w:eastAsia="微软雅黑"/>
          <w:b w:val="0"/>
          <w:sz w:val="21"/>
        </w:rPr>
        <w:t>- 十二木卡姆仅收录团队确认无误的六套曲目，并在数据文件中注明「是十二套中的六套」；</w:t>
      </w:r>
    </w:p>
    <w:p>
      <w:r>
        <w:rPr>
          <w:rFonts w:ascii="微软雅黑" w:hAnsi="微软雅黑" w:eastAsia="微软雅黑"/>
          <w:b w:val="0"/>
          <w:sz w:val="21"/>
        </w:rPr>
        <w:t>- 节庆日期在数据中注明「古尔邦节在现实中按伊斯兰历浮动」；</w:t>
      </w:r>
    </w:p>
    <w:p>
      <w:r>
        <w:rPr>
          <w:rFonts w:ascii="微软雅黑" w:hAnsi="微软雅黑" w:eastAsia="微软雅黑"/>
          <w:b w:val="0"/>
          <w:sz w:val="21"/>
        </w:rPr>
        <w:t>- 不编写任何具体的传承谱系、师承关系或年代细节。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七、声明</w:t>
      </w:r>
    </w:p>
    <w:p>
      <w:r>
        <w:rPr>
          <w:rFonts w:ascii="微软雅黑" w:hAnsi="微软雅黑" w:eastAsia="微软雅黑"/>
          <w:b w:val="0"/>
          <w:sz w:val="21"/>
        </w:rPr>
        <w:t>本团队承诺：作品为学生团队原创，所使用第三方素材均已核查授权并按要求标注；如存在权利瑕疵，团队愿承担相应责任并及时更正。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签名（团队负责人）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2026 年 10 月 7 日</w:t>
            </w:r>
          </w:p>
        </w:tc>
      </w:tr>
    </w:tbl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