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Microsoft_Visio_Drawing1.vsdx" ContentType="application/vnd.ms-visio.drawing"/>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
    <w:p/>
    <w:p/>
    <w:p/>
    <w:p>
      <w:pPr>
        <w:jc w:val="center"/>
      </w:pPr>
      <w:r>
        <w:rPr>
          <w:b/>
          <w:color w:val="1F4D78"/>
          <w:sz w:val="52"/>
        </w:rPr>
        <w:t>Course Project Report</w:t>
      </w:r>
    </w:p>
    <w:p>
      <w:pPr>
        <w:jc w:val="center"/>
      </w:pPr>
      <w:r>
        <w:rPr>
          <w:b/>
          <w:sz w:val="30"/>
        </w:rPr>
        <w:t>Subject: SWD392</w:t>
      </w:r>
    </w:p>
    <w:p>
      <w:pPr>
        <w:jc w:val="center"/>
      </w:pPr>
      <w:r>
        <w:rPr>
          <w:b/>
          <w:color w:val="2E74B5"/>
          <w:sz w:val="32"/>
        </w:rPr>
        <w:t>SEAL - Software Engineering Hackathon Management System</w:t>
      </w:r>
    </w:p>
    <w:p>
      <w:pPr>
        <w:jc w:val="center"/>
      </w:pPr>
      <w:r>
        <w:t>Vietnamese title: Hệ thống quản lý cuộc thi SEAL Hackathon ngành Kỹ thuật Phần mềm</w:t>
      </w:r>
    </w:p>
    <w:p>
      <w:pPr>
        <w:jc w:val="center"/>
      </w:pPr>
      <w:r>
        <w:rPr>
          <w:sz w:val="24"/>
        </w:rPr>
        <w:t>Group: SWD392-G3</w:t>
      </w:r>
    </w:p>
    <w:p>
      <w:pPr>
        <w:jc w:val="center"/>
      </w:pPr>
      <w:r>
        <w:rPr>
          <w:sz w:val="24"/>
        </w:rPr>
        <w:t>Da Nang, June 2026</w:t>
      </w:r>
    </w:p>
    <w:p>
      <w:r>
        <w:br w:type="page"/>
      </w:r>
    </w:p>
    <w:p>
      <w:pPr>
        <w:pStyle w:val="Heading1"/>
      </w:pPr>
      <w:r>
        <w:t>Record of Changes</w:t>
      </w:r>
    </w:p>
    <w:tbl>
      <w:tblPr>
        <w:tblStyle w:val="TableGrid"/>
        <w:tblW w:type="auto" w:w="0"/>
        <w:tblLayout w:type="fixed"/>
        <w:tblLook w:firstColumn="1" w:firstRow="1" w:lastColumn="0" w:lastRow="0" w:noHBand="0" w:noVBand="1" w:val="04A0"/>
      </w:tblPr>
      <w:tblGrid>
        <w:gridCol w:w="2256"/>
        <w:gridCol w:w="2256"/>
        <w:gridCol w:w="2256"/>
        <w:gridCol w:w="2256"/>
      </w:tblGrid>
      <w:tr>
        <w:tc>
          <w:tcPr>
            <w:tcW w:type="dxa" w:w="1728"/>
            <w:vAlign w:val="center"/>
            <w:shd w:fill="E8EEF5"/>
          </w:tcPr>
          <w:p>
            <w:r>
              <w:rPr>
                <w:b/>
              </w:rPr>
              <w:t>Date</w:t>
            </w:r>
          </w:p>
        </w:tc>
        <w:tc>
          <w:tcPr>
            <w:tcW w:type="dxa" w:w="1152"/>
            <w:vAlign w:val="center"/>
            <w:shd w:fill="E8EEF5"/>
          </w:tcPr>
          <w:p>
            <w:r>
              <w:rPr>
                <w:b/>
              </w:rPr>
              <w:t>A/M/D</w:t>
            </w:r>
          </w:p>
        </w:tc>
        <w:tc>
          <w:tcPr>
            <w:tcW w:type="dxa" w:w="2016"/>
            <w:vAlign w:val="center"/>
            <w:shd w:fill="E8EEF5"/>
          </w:tcPr>
          <w:p>
            <w:r>
              <w:rPr>
                <w:b/>
              </w:rPr>
              <w:t>In charge</w:t>
            </w:r>
          </w:p>
        </w:tc>
        <w:tc>
          <w:tcPr>
            <w:tcW w:type="dxa" w:w="4464"/>
            <w:vAlign w:val="center"/>
            <w:shd w:fill="E8EEF5"/>
          </w:tcPr>
          <w:p>
            <w:r>
              <w:rPr>
                <w:b/>
              </w:rPr>
              <w:t>Change Description</w:t>
            </w:r>
          </w:p>
        </w:tc>
      </w:tr>
      <w:tr>
        <w:tc>
          <w:tcPr>
            <w:tcW w:type="dxa" w:w="1728"/>
            <w:vAlign w:val="center"/>
          </w:tcPr>
          <w:p>
            <w:r>
              <w:t>29/06/2026</w:t>
            </w:r>
          </w:p>
        </w:tc>
        <w:tc>
          <w:tcPr>
            <w:tcW w:type="dxa" w:w="1152"/>
            <w:vAlign w:val="center"/>
          </w:tcPr>
          <w:p>
            <w:r>
              <w:t>A</w:t>
            </w:r>
          </w:p>
        </w:tc>
        <w:tc>
          <w:tcPr>
            <w:tcW w:type="dxa" w:w="2016"/>
            <w:vAlign w:val="center"/>
          </w:tcPr>
          <w:p>
            <w:r>
              <w:t>Group 3</w:t>
            </w:r>
          </w:p>
        </w:tc>
        <w:tc>
          <w:tcPr>
            <w:tcW w:type="dxa" w:w="4464"/>
            <w:vAlign w:val="center"/>
          </w:tcPr>
          <w:p>
            <w:r>
              <w:t>Initial course project report for SEAL Hackathon Management System.</w:t>
            </w:r>
          </w:p>
        </w:tc>
      </w:tr>
    </w:tbl>
    <w:p/>
    <w:p>
      <w:pPr>
        <w:pStyle w:val="Heading1"/>
      </w:pPr>
      <w:r>
        <w:t>I. Overview</w:t>
      </w:r>
    </w:p>
    <w:p>
      <w:pPr>
        <w:pStyle w:val="Heading2"/>
      </w:pPr>
      <w:r>
        <w:t>I.1 Project Information</w:t>
      </w:r>
    </w:p>
    <w:p>
      <w:pPr>
        <w:pStyle w:val="ListParagraph"/>
      </w:pPr>
      <w:r>
        <w:t>• Project name: SEAL - Software Engineering Hackathon Management System</w:t>
      </w:r>
    </w:p>
    <w:p>
      <w:pPr>
        <w:pStyle w:val="ListParagraph"/>
      </w:pPr>
      <w:r>
        <w:t>• Vietnamese title: Hệ thống quản lý cuộc thi SEAL Hackathon ngành Kỹ thuật Phần mềm</w:t>
      </w:r>
    </w:p>
    <w:p>
      <w:pPr>
        <w:pStyle w:val="ListParagraph"/>
      </w:pPr>
      <w:r>
        <w:t>• Project code: SEAL</w:t>
      </w:r>
    </w:p>
    <w:p>
      <w:pPr>
        <w:pStyle w:val="ListParagraph"/>
      </w:pPr>
      <w:r>
        <w:t>• Group name: SWD392-G3</w:t>
      </w:r>
    </w:p>
    <w:p>
      <w:pPr>
        <w:pStyle w:val="ListParagraph"/>
      </w:pPr>
      <w:r>
        <w:t>• Software type: Web application with REST API backend and relational database</w:t>
      </w:r>
    </w:p>
    <w:p>
      <w:pPr>
        <w:pStyle w:val="Heading2"/>
      </w:pPr>
      <w:r>
        <w:t>I.2 Project Team</w:t>
      </w:r>
    </w:p>
    <w:tbl>
      <w:tblPr>
        <w:tblStyle w:val="TableGrid"/>
        <w:tblW w:type="auto" w:w="0"/>
        <w:tblLayout w:type="fixed"/>
        <w:tblLook w:firstColumn="1" w:firstRow="1" w:lastColumn="0" w:lastRow="0" w:noHBand="0" w:noVBand="1" w:val="04A0"/>
      </w:tblPr>
      <w:tblGrid>
        <w:gridCol w:w="2256"/>
        <w:gridCol w:w="2256"/>
        <w:gridCol w:w="2256"/>
        <w:gridCol w:w="2256"/>
      </w:tblGrid>
      <w:tr>
        <w:tc>
          <w:tcPr>
            <w:tcW w:type="dxa" w:w="2880"/>
            <w:vAlign w:val="center"/>
            <w:shd w:fill="E8EEF5"/>
          </w:tcPr>
          <w:p>
            <w:r>
              <w:rPr>
                <w:b/>
              </w:rPr>
              <w:t>Full Name</w:t>
            </w:r>
          </w:p>
        </w:tc>
        <w:tc>
          <w:tcPr>
            <w:tcW w:type="dxa" w:w="1872"/>
            <w:vAlign w:val="center"/>
            <w:shd w:fill="E8EEF5"/>
          </w:tcPr>
          <w:p>
            <w:r>
              <w:rPr>
                <w:b/>
              </w:rPr>
              <w:t>Role</w:t>
            </w:r>
          </w:p>
        </w:tc>
        <w:tc>
          <w:tcPr>
            <w:tcW w:type="dxa" w:w="3024"/>
            <w:vAlign w:val="center"/>
            <w:shd w:fill="E8EEF5"/>
          </w:tcPr>
          <w:p>
            <w:r>
              <w:rPr>
                <w:b/>
              </w:rPr>
              <w:t>Email</w:t>
            </w:r>
          </w:p>
        </w:tc>
        <w:tc>
          <w:tcPr>
            <w:tcW w:type="dxa" w:w="1584"/>
            <w:vAlign w:val="center"/>
            <w:shd w:fill="E8EEF5"/>
          </w:tcPr>
          <w:p>
            <w:r>
              <w:rPr>
                <w:b/>
              </w:rPr>
              <w:t>Mobile</w:t>
            </w:r>
          </w:p>
        </w:tc>
      </w:tr>
      <w:tr>
        <w:tc>
          <w:tcPr>
            <w:tcW w:type="dxa" w:w="2880"/>
            <w:vAlign w:val="center"/>
          </w:tcPr>
          <w:p>
            <w:r>
              <w:t>Nguyen Trung Kien</w:t>
            </w:r>
          </w:p>
        </w:tc>
        <w:tc>
          <w:tcPr>
            <w:tcW w:type="dxa" w:w="1872"/>
            <w:vAlign w:val="center"/>
          </w:tcPr>
          <w:p>
            <w:r>
              <w:t>Lecturer</w:t>
            </w:r>
          </w:p>
        </w:tc>
        <w:tc>
          <w:tcPr>
            <w:tcW w:type="dxa" w:w="3024"/>
            <w:vAlign w:val="center"/>
          </w:tcPr>
          <w:p>
            <w:r>
              <w:t>kiennt@fe.edu.vn</w:t>
            </w:r>
          </w:p>
        </w:tc>
        <w:tc>
          <w:tcPr>
            <w:tcW w:type="dxa" w:w="1584"/>
            <w:vAlign w:val="center"/>
          </w:tcPr>
          <w:p>
            <w:r>
              <w:t>0912656836</w:t>
            </w:r>
          </w:p>
        </w:tc>
      </w:tr>
      <w:tr>
        <w:tc>
          <w:tcPr>
            <w:tcW w:type="dxa" w:w="2880"/>
            <w:vAlign w:val="center"/>
          </w:tcPr>
          <w:p>
            <w:r>
              <w:t>TBD</w:t>
            </w:r>
          </w:p>
        </w:tc>
        <w:tc>
          <w:tcPr>
            <w:tcW w:type="dxa" w:w="1872"/>
            <w:vAlign w:val="center"/>
          </w:tcPr>
          <w:p>
            <w:r>
              <w:t>Leader</w:t>
            </w:r>
          </w:p>
        </w:tc>
        <w:tc>
          <w:tcPr>
            <w:tcW w:type="dxa" w:w="3024"/>
            <w:vAlign w:val="center"/>
          </w:tcPr>
          <w:p>
            <w:r>
              <w:t>TBD</w:t>
            </w:r>
          </w:p>
        </w:tc>
        <w:tc>
          <w:tcPr>
            <w:tcW w:type="dxa" w:w="1584"/>
            <w:vAlign w:val="center"/>
          </w:tcPr>
          <w:p>
            <w:r>
              <w:t>TBD</w:t>
            </w:r>
          </w:p>
        </w:tc>
      </w:tr>
      <w:tr>
        <w:tc>
          <w:tcPr>
            <w:tcW w:type="dxa" w:w="2880"/>
            <w:vAlign w:val="center"/>
          </w:tcPr>
          <w:p>
            <w:r>
              <w:t>TBD</w:t>
            </w:r>
          </w:p>
        </w:tc>
        <w:tc>
          <w:tcPr>
            <w:tcW w:type="dxa" w:w="1872"/>
            <w:vAlign w:val="center"/>
          </w:tcPr>
          <w:p>
            <w:r>
              <w:t>Member</w:t>
            </w:r>
          </w:p>
        </w:tc>
        <w:tc>
          <w:tcPr>
            <w:tcW w:type="dxa" w:w="3024"/>
            <w:vAlign w:val="center"/>
          </w:tcPr>
          <w:p>
            <w:r>
              <w:t>TBD</w:t>
            </w:r>
          </w:p>
        </w:tc>
        <w:tc>
          <w:tcPr>
            <w:tcW w:type="dxa" w:w="1584"/>
            <w:vAlign w:val="center"/>
          </w:tcPr>
          <w:p>
            <w:r>
              <w:t>TBD</w:t>
            </w:r>
          </w:p>
        </w:tc>
      </w:tr>
      <w:tr>
        <w:tc>
          <w:tcPr>
            <w:tcW w:type="dxa" w:w="2880"/>
            <w:vAlign w:val="center"/>
          </w:tcPr>
          <w:p>
            <w:r>
              <w:t>TBD</w:t>
            </w:r>
          </w:p>
        </w:tc>
        <w:tc>
          <w:tcPr>
            <w:tcW w:type="dxa" w:w="1872"/>
            <w:vAlign w:val="center"/>
          </w:tcPr>
          <w:p>
            <w:r>
              <w:t>Member</w:t>
            </w:r>
          </w:p>
        </w:tc>
        <w:tc>
          <w:tcPr>
            <w:tcW w:type="dxa" w:w="3024"/>
            <w:vAlign w:val="center"/>
          </w:tcPr>
          <w:p>
            <w:r>
              <w:t>TBD</w:t>
            </w:r>
          </w:p>
        </w:tc>
        <w:tc>
          <w:tcPr>
            <w:tcW w:type="dxa" w:w="1584"/>
            <w:vAlign w:val="center"/>
          </w:tcPr>
          <w:p>
            <w:r>
              <w:t>TBD</w:t>
            </w:r>
          </w:p>
        </w:tc>
      </w:tr>
      <w:tr>
        <w:tc>
          <w:tcPr>
            <w:tcW w:type="dxa" w:w="2880"/>
            <w:vAlign w:val="center"/>
          </w:tcPr>
          <w:p>
            <w:r>
              <w:t>TBD</w:t>
            </w:r>
          </w:p>
        </w:tc>
        <w:tc>
          <w:tcPr>
            <w:tcW w:type="dxa" w:w="1872"/>
            <w:vAlign w:val="center"/>
          </w:tcPr>
          <w:p>
            <w:r>
              <w:t>Member</w:t>
            </w:r>
          </w:p>
        </w:tc>
        <w:tc>
          <w:tcPr>
            <w:tcW w:type="dxa" w:w="3024"/>
            <w:vAlign w:val="center"/>
          </w:tcPr>
          <w:p>
            <w:r>
              <w:t>TBD</w:t>
            </w:r>
          </w:p>
        </w:tc>
        <w:tc>
          <w:tcPr>
            <w:tcW w:type="dxa" w:w="1584"/>
            <w:vAlign w:val="center"/>
          </w:tcPr>
          <w:p>
            <w:r>
              <w:t>TBD</w:t>
            </w:r>
          </w:p>
        </w:tc>
      </w:tr>
    </w:tbl>
    <w:p/>
    <w:p>
      <w:pPr>
        <w:pStyle w:val="Heading1"/>
      </w:pPr>
      <w:r>
        <w:t>II. Requirement Specification</w:t>
      </w:r>
    </w:p>
    <w:p>
      <w:pPr>
        <w:pStyle w:val="Heading2"/>
      </w:pPr>
      <w:r>
        <w:t>II.1 Problem description</w:t>
      </w:r>
    </w:p>
    <w:p>
      <w:r>
        <w:t>SEAL is designed to support Software Engineering hackathon operations from event setup to final award announcement. The current process of registering teams, assigning judges, collecting submissions, scoring, ranking, and eliminating violating teams can become fragmented across spreadsheets, forms, email, and manual calculations. This creates risks of inconsistent criteria, delayed results, unclear audit trails, and limited research data for rubric-based learning evaluation.</w:t>
      </w:r>
    </w:p>
    <w:p>
      <w:r>
        <w:t>The system provides a controlled platform where organizers configure events and rounds, students form teams and submit project links, mentors support categories, judges score submissions by criteria, and the system automatically calculates rankings and promotion results.</w:t>
      </w:r>
    </w:p>
    <w:p>
      <w:pPr>
        <w:pStyle w:val="Heading2"/>
      </w:pPr>
      <w:r>
        <w:t>II.2 Major Features</w:t>
      </w:r>
    </w:p>
    <w:tbl>
      <w:tblPr>
        <w:tblStyle w:val="TableGrid"/>
        <w:tblW w:type="auto" w:w="0"/>
        <w:tblLayout w:type="fixed"/>
        <w:tblLook w:firstColumn="1" w:firstRow="1" w:lastColumn="0" w:lastRow="0" w:noHBand="0" w:noVBand="1" w:val="04A0"/>
      </w:tblPr>
      <w:tblGrid>
        <w:gridCol w:w="2256"/>
        <w:gridCol w:w="2256"/>
        <w:gridCol w:w="2256"/>
        <w:gridCol w:w="2256"/>
      </w:tblGrid>
      <w:tr>
        <w:tc>
          <w:tcPr>
            <w:tcW w:type="dxa" w:w="648"/>
            <w:vAlign w:val="center"/>
            <w:shd w:fill="E8EEF5"/>
          </w:tcPr>
          <w:p>
            <w:r>
              <w:rPr>
                <w:b/>
              </w:rPr>
              <w:t>#</w:t>
            </w:r>
          </w:p>
        </w:tc>
        <w:tc>
          <w:tcPr>
            <w:tcW w:type="dxa" w:w="2520"/>
            <w:vAlign w:val="center"/>
            <w:shd w:fill="E8EEF5"/>
          </w:tcPr>
          <w:p>
            <w:r>
              <w:rPr>
                <w:b/>
              </w:rPr>
              <w:t>Feature</w:t>
            </w:r>
          </w:p>
        </w:tc>
        <w:tc>
          <w:tcPr>
            <w:tcW w:type="dxa" w:w="1656"/>
            <w:vAlign w:val="center"/>
            <w:shd w:fill="E8EEF5"/>
          </w:tcPr>
          <w:p>
            <w:r>
              <w:rPr>
                <w:b/>
              </w:rPr>
              <w:t>System Function</w:t>
            </w:r>
          </w:p>
        </w:tc>
        <w:tc>
          <w:tcPr>
            <w:tcW w:type="dxa" w:w="4536"/>
            <w:vAlign w:val="center"/>
            <w:shd w:fill="E8EEF5"/>
          </w:tcPr>
          <w:p>
            <w:r>
              <w:rPr>
                <w:b/>
              </w:rPr>
              <w:t>Description</w:t>
            </w:r>
          </w:p>
        </w:tc>
      </w:tr>
      <w:tr>
        <w:tc>
          <w:tcPr>
            <w:tcW w:type="dxa" w:w="648"/>
            <w:vAlign w:val="center"/>
          </w:tcPr>
          <w:p>
            <w:r>
              <w:t>1</w:t>
            </w:r>
          </w:p>
        </w:tc>
        <w:tc>
          <w:tcPr>
            <w:tcW w:type="dxa" w:w="2520"/>
            <w:vAlign w:val="center"/>
          </w:tcPr>
          <w:p>
            <w:r>
              <w:t>Event and round management</w:t>
            </w:r>
          </w:p>
        </w:tc>
        <w:tc>
          <w:tcPr>
            <w:tcW w:type="dxa" w:w="1656"/>
            <w:vAlign w:val="center"/>
          </w:tcPr>
          <w:p>
            <w:r>
              <w:t>FE-01</w:t>
            </w:r>
          </w:p>
        </w:tc>
        <w:tc>
          <w:tcPr>
            <w:tcW w:type="dxa" w:w="4536"/>
            <w:vAlign w:val="center"/>
          </w:tcPr>
          <w:p>
            <w:r>
              <w:t>Create hackathon events, configure qualification/final rounds, deadlines, judges, scoring criteria, and top-N promotion rules.</w:t>
            </w:r>
          </w:p>
        </w:tc>
      </w:tr>
      <w:tr>
        <w:tc>
          <w:tcPr>
            <w:tcW w:type="dxa" w:w="648"/>
            <w:vAlign w:val="center"/>
          </w:tcPr>
          <w:p>
            <w:r>
              <w:t>2</w:t>
            </w:r>
          </w:p>
        </w:tc>
        <w:tc>
          <w:tcPr>
            <w:tcW w:type="dxa" w:w="2520"/>
            <w:vAlign w:val="center"/>
          </w:tcPr>
          <w:p>
            <w:r>
              <w:t>Scoring criteria management</w:t>
            </w:r>
          </w:p>
        </w:tc>
        <w:tc>
          <w:tcPr>
            <w:tcW w:type="dxa" w:w="1656"/>
            <w:vAlign w:val="center"/>
          </w:tcPr>
          <w:p>
            <w:r>
              <w:t>FE-02</w:t>
            </w:r>
          </w:p>
        </w:tc>
        <w:tc>
          <w:tcPr>
            <w:tcW w:type="dxa" w:w="4536"/>
            <w:vAlign w:val="center"/>
          </w:tcPr>
          <w:p>
            <w:r>
              <w:t>Maintain reusable default rubrics and allow event-specific criteria/weight adjustments.</w:t>
            </w:r>
          </w:p>
        </w:tc>
      </w:tr>
      <w:tr>
        <w:tc>
          <w:tcPr>
            <w:tcW w:type="dxa" w:w="648"/>
            <w:vAlign w:val="center"/>
          </w:tcPr>
          <w:p>
            <w:r>
              <w:t>3</w:t>
            </w:r>
          </w:p>
        </w:tc>
        <w:tc>
          <w:tcPr>
            <w:tcW w:type="dxa" w:w="2520"/>
            <w:vAlign w:val="center"/>
          </w:tcPr>
          <w:p>
            <w:r>
              <w:t>Category and mentor management</w:t>
            </w:r>
          </w:p>
        </w:tc>
        <w:tc>
          <w:tcPr>
            <w:tcW w:type="dxa" w:w="1656"/>
            <w:vAlign w:val="center"/>
          </w:tcPr>
          <w:p>
            <w:r>
              <w:t>FE-03</w:t>
            </w:r>
          </w:p>
        </w:tc>
        <w:tc>
          <w:tcPr>
            <w:tcW w:type="dxa" w:w="4536"/>
            <w:vAlign w:val="center"/>
          </w:tcPr>
          <w:p>
            <w:r>
              <w:t>Create event categories and assign mentors; the same lecturer may mentor one category and judge another category.</w:t>
            </w:r>
          </w:p>
        </w:tc>
      </w:tr>
      <w:tr>
        <w:tc>
          <w:tcPr>
            <w:tcW w:type="dxa" w:w="648"/>
            <w:vAlign w:val="center"/>
          </w:tcPr>
          <w:p>
            <w:r>
              <w:t>4</w:t>
            </w:r>
          </w:p>
        </w:tc>
        <w:tc>
          <w:tcPr>
            <w:tcW w:type="dxa" w:w="2520"/>
            <w:vAlign w:val="center"/>
          </w:tcPr>
          <w:p>
            <w:r>
              <w:t>Team management</w:t>
            </w:r>
          </w:p>
        </w:tc>
        <w:tc>
          <w:tcPr>
            <w:tcW w:type="dxa" w:w="1656"/>
            <w:vAlign w:val="center"/>
          </w:tcPr>
          <w:p>
            <w:r>
              <w:t>FE-04</w:t>
            </w:r>
          </w:p>
        </w:tc>
        <w:tc>
          <w:tcPr>
            <w:tcW w:type="dxa" w:w="4536"/>
            <w:vAlign w:val="center"/>
          </w:tcPr>
          <w:p>
            <w:r>
              <w:t>Create teams with 3-5 members and register a team into one event category.</w:t>
            </w:r>
          </w:p>
        </w:tc>
      </w:tr>
      <w:tr>
        <w:tc>
          <w:tcPr>
            <w:tcW w:type="dxa" w:w="648"/>
            <w:vAlign w:val="center"/>
          </w:tcPr>
          <w:p>
            <w:r>
              <w:t>5</w:t>
            </w:r>
          </w:p>
        </w:tc>
        <w:tc>
          <w:tcPr>
            <w:tcW w:type="dxa" w:w="2520"/>
            <w:vAlign w:val="center"/>
          </w:tcPr>
          <w:p>
            <w:r>
              <w:t>User registration and approval</w:t>
            </w:r>
          </w:p>
        </w:tc>
        <w:tc>
          <w:tcPr>
            <w:tcW w:type="dxa" w:w="1656"/>
            <w:vAlign w:val="center"/>
          </w:tcPr>
          <w:p>
            <w:r>
              <w:t>FE-05</w:t>
            </w:r>
          </w:p>
        </w:tc>
        <w:tc>
          <w:tcPr>
            <w:tcW w:type="dxa" w:w="4536"/>
            <w:vAlign w:val="center"/>
          </w:tcPr>
          <w:p>
            <w:r>
              <w:t>Support email/password authentication with JWT, student classification, organizer approval, and temporary guest judge accounts.</w:t>
            </w:r>
          </w:p>
        </w:tc>
      </w:tr>
      <w:tr>
        <w:tc>
          <w:tcPr>
            <w:tcW w:type="dxa" w:w="648"/>
            <w:vAlign w:val="center"/>
          </w:tcPr>
          <w:p>
            <w:r>
              <w:t>6</w:t>
            </w:r>
          </w:p>
        </w:tc>
        <w:tc>
          <w:tcPr>
            <w:tcW w:type="dxa" w:w="2520"/>
            <w:vAlign w:val="center"/>
          </w:tcPr>
          <w:p>
            <w:r>
              <w:t>Submission management</w:t>
            </w:r>
          </w:p>
        </w:tc>
        <w:tc>
          <w:tcPr>
            <w:tcW w:type="dxa" w:w="1656"/>
            <w:vAlign w:val="center"/>
          </w:tcPr>
          <w:p>
            <w:r>
              <w:t>FE-06</w:t>
            </w:r>
          </w:p>
        </w:tc>
        <w:tc>
          <w:tcPr>
            <w:tcW w:type="dxa" w:w="4536"/>
            <w:vAlign w:val="center"/>
          </w:tcPr>
          <w:p>
            <w:r>
              <w:t>Allow teams to submit repository, demo, report, and slide URLs for each round; optionally integrate GitHub/GitLab metadata.</w:t>
            </w:r>
          </w:p>
        </w:tc>
      </w:tr>
      <w:tr>
        <w:tc>
          <w:tcPr>
            <w:tcW w:type="dxa" w:w="648"/>
            <w:vAlign w:val="center"/>
          </w:tcPr>
          <w:p>
            <w:r>
              <w:t>7</w:t>
            </w:r>
          </w:p>
        </w:tc>
        <w:tc>
          <w:tcPr>
            <w:tcW w:type="dxa" w:w="2520"/>
            <w:vAlign w:val="center"/>
          </w:tcPr>
          <w:p>
            <w:r>
              <w:t>Evaluation</w:t>
            </w:r>
          </w:p>
        </w:tc>
        <w:tc>
          <w:tcPr>
            <w:tcW w:type="dxa" w:w="1656"/>
            <w:vAlign w:val="center"/>
          </w:tcPr>
          <w:p>
            <w:r>
              <w:t>FE-07</w:t>
            </w:r>
          </w:p>
        </w:tc>
        <w:tc>
          <w:tcPr>
            <w:tcW w:type="dxa" w:w="4536"/>
            <w:vAlign w:val="center"/>
          </w:tcPr>
          <w:p>
            <w:r>
              <w:t>Allow assigned judges to score each submission by event criteria while storing every judge/criterion score separately.</w:t>
            </w:r>
          </w:p>
        </w:tc>
      </w:tr>
      <w:tr>
        <w:tc>
          <w:tcPr>
            <w:tcW w:type="dxa" w:w="648"/>
            <w:vAlign w:val="center"/>
          </w:tcPr>
          <w:p>
            <w:r>
              <w:t>8</w:t>
            </w:r>
          </w:p>
        </w:tc>
        <w:tc>
          <w:tcPr>
            <w:tcW w:type="dxa" w:w="2520"/>
            <w:vAlign w:val="center"/>
          </w:tcPr>
          <w:p>
            <w:r>
              <w:t>Ranking, promotion, and elimination</w:t>
            </w:r>
          </w:p>
        </w:tc>
        <w:tc>
          <w:tcPr>
            <w:tcW w:type="dxa" w:w="1656"/>
            <w:vAlign w:val="center"/>
          </w:tcPr>
          <w:p>
            <w:r>
              <w:t>FE-08</w:t>
            </w:r>
          </w:p>
        </w:tc>
        <w:tc>
          <w:tcPr>
            <w:tcW w:type="dxa" w:w="4536"/>
            <w:vAlign w:val="center"/>
          </w:tcPr>
          <w:p>
            <w:r>
              <w:t>Automatically rank teams by round/category/event, promote qualified teams, and record eliminations with reasons and audit logs.</w:t>
            </w:r>
          </w:p>
        </w:tc>
      </w:tr>
      <w:tr>
        <w:tc>
          <w:tcPr>
            <w:tcW w:type="dxa" w:w="648"/>
            <w:vAlign w:val="center"/>
          </w:tcPr>
          <w:p>
            <w:r>
              <w:t>9</w:t>
            </w:r>
          </w:p>
        </w:tc>
        <w:tc>
          <w:tcPr>
            <w:tcW w:type="dxa" w:w="2520"/>
            <w:vAlign w:val="center"/>
          </w:tcPr>
          <w:p>
            <w:r>
              <w:t>RBL data collection</w:t>
            </w:r>
          </w:p>
        </w:tc>
        <w:tc>
          <w:tcPr>
            <w:tcW w:type="dxa" w:w="1656"/>
            <w:vAlign w:val="center"/>
          </w:tcPr>
          <w:p>
            <w:r>
              <w:t>FE-09</w:t>
            </w:r>
          </w:p>
        </w:tc>
        <w:tc>
          <w:tcPr>
            <w:tcW w:type="dxa" w:w="4536"/>
            <w:vAlign w:val="center"/>
          </w:tcPr>
          <w:p>
            <w:r>
              <w:t>Record detailed scores, run calibration rounds, export anonymized CSV, and show variance dashboards for inter-rater reliability analysis.</w:t>
            </w:r>
          </w:p>
        </w:tc>
      </w:tr>
      <w:tr>
        <w:tc>
          <w:tcPr>
            <w:tcW w:type="dxa" w:w="648"/>
            <w:vAlign w:val="center"/>
          </w:tcPr>
          <w:p>
            <w:r>
              <w:t>10</w:t>
            </w:r>
          </w:p>
        </w:tc>
        <w:tc>
          <w:tcPr>
            <w:tcW w:type="dxa" w:w="2520"/>
            <w:vAlign w:val="center"/>
          </w:tcPr>
          <w:p>
            <w:r>
              <w:t>Awards and reporting</w:t>
            </w:r>
          </w:p>
        </w:tc>
        <w:tc>
          <w:tcPr>
            <w:tcW w:type="dxa" w:w="1656"/>
            <w:vAlign w:val="center"/>
          </w:tcPr>
          <w:p>
            <w:r>
              <w:t>FE-10</w:t>
            </w:r>
          </w:p>
        </w:tc>
        <w:tc>
          <w:tcPr>
            <w:tcW w:type="dxa" w:w="4536"/>
            <w:vAlign w:val="center"/>
          </w:tcPr>
          <w:p>
            <w:r>
              <w:t>Publish results, notify participants, and export rankings and score reports to CSV/Excel.</w:t>
            </w:r>
          </w:p>
        </w:tc>
      </w:tr>
    </w:tbl>
    <w:p/>
    <w:p>
      <w:pPr>
        <w:pStyle w:val="Heading2"/>
      </w:pPr>
      <w:r>
        <w:t>II.3 Context Diagram</w:t>
      </w:r>
    </w:p>
    <w:p>
      <w:r>
        <w:t>The system boundary includes participants, organizers, mentors, internal judges, guest judges, and optional external source-control services. Participants submit project artifacts, organizers configure the competition and approve accounts, judges evaluate submissions, and the system produces rankings, promotion results, audit logs, and exportable reports.</w:t>
      </w:r>
    </w:p>
    <w:p>
      <w:pPr>
        <w:jc w:val="center"/>
      </w:pPr>
      <w:r>
        <w:drawing>
          <wp:inline xmlns:a="http://schemas.openxmlformats.org/drawingml/2006/main" xmlns:pic="http://schemas.openxmlformats.org/drawingml/2006/picture">
            <wp:extent cx="5669280" cy="3136197"/>
            <wp:docPr id="1" name="Picture 1"/>
            <wp:cNvGraphicFramePr>
              <a:graphicFrameLocks noChangeAspect="1"/>
            </wp:cNvGraphicFramePr>
            <a:graphic>
              <a:graphicData uri="http://schemas.openxmlformats.org/drawingml/2006/picture">
                <pic:pic>
                  <pic:nvPicPr>
                    <pic:cNvPr id="0" name="08_HighSystem.png"/>
                    <pic:cNvPicPr/>
                  </pic:nvPicPr>
                  <pic:blipFill>
                    <a:blip r:embed="rId21"/>
                    <a:stretch>
                      <a:fillRect/>
                    </a:stretch>
                  </pic:blipFill>
                  <pic:spPr>
                    <a:xfrm>
                      <a:off x="0" y="0"/>
                      <a:ext cx="5669280" cy="3136197"/>
                    </a:xfrm>
                    <a:prstGeom prst="rect"/>
                  </pic:spPr>
                </pic:pic>
              </a:graphicData>
            </a:graphic>
          </wp:inline>
        </w:drawing>
      </w:r>
    </w:p>
    <w:p>
      <w:pPr>
        <w:jc w:val="center"/>
      </w:pPr>
      <w:r>
        <w:rPr>
          <w:i/>
          <w:sz w:val="18"/>
        </w:rPr>
        <w:t>Figure 1. Context and high-level system view.</w:t>
      </w:r>
    </w:p>
    <w:p>
      <w:pPr>
        <w:pStyle w:val="Heading2"/>
      </w:pPr>
      <w:r>
        <w:t>II.4 Nonfunctional requirements</w:t>
      </w:r>
    </w:p>
    <w:tbl>
      <w:tblPr>
        <w:tblStyle w:val="TableGrid"/>
        <w:tblW w:type="auto" w:w="0"/>
        <w:tblLayout w:type="fixed"/>
        <w:tblLook w:firstColumn="1" w:firstRow="1" w:lastColumn="0" w:lastRow="0" w:noHBand="0" w:noVBand="1" w:val="04A0"/>
      </w:tblPr>
      <w:tblGrid>
        <w:gridCol w:w="3009"/>
        <w:gridCol w:w="3009"/>
        <w:gridCol w:w="3009"/>
      </w:tblGrid>
      <w:tr>
        <w:tc>
          <w:tcPr>
            <w:tcW w:type="dxa" w:w="1080"/>
            <w:vAlign w:val="center"/>
            <w:shd w:fill="E8EEF5"/>
          </w:tcPr>
          <w:p>
            <w:r>
              <w:rPr>
                <w:b/>
              </w:rPr>
              <w:t>ID</w:t>
            </w:r>
          </w:p>
        </w:tc>
        <w:tc>
          <w:tcPr>
            <w:tcW w:type="dxa" w:w="2232"/>
            <w:vAlign w:val="center"/>
            <w:shd w:fill="E8EEF5"/>
          </w:tcPr>
          <w:p>
            <w:r>
              <w:rPr>
                <w:b/>
              </w:rPr>
              <w:t>Requirement</w:t>
            </w:r>
          </w:p>
        </w:tc>
        <w:tc>
          <w:tcPr>
            <w:tcW w:type="dxa" w:w="6048"/>
            <w:vAlign w:val="center"/>
            <w:shd w:fill="E8EEF5"/>
          </w:tcPr>
          <w:p>
            <w:r>
              <w:rPr>
                <w:b/>
              </w:rPr>
              <w:t>Description</w:t>
            </w:r>
          </w:p>
        </w:tc>
      </w:tr>
      <w:tr>
        <w:tc>
          <w:tcPr>
            <w:tcW w:type="dxa" w:w="1080"/>
            <w:vAlign w:val="center"/>
          </w:tcPr>
          <w:p>
            <w:r>
              <w:t>NFR-01</w:t>
            </w:r>
          </w:p>
        </w:tc>
        <w:tc>
          <w:tcPr>
            <w:tcW w:type="dxa" w:w="2232"/>
            <w:vAlign w:val="center"/>
          </w:tcPr>
          <w:p>
            <w:r>
              <w:t>Security</w:t>
            </w:r>
          </w:p>
        </w:tc>
        <w:tc>
          <w:tcPr>
            <w:tcW w:type="dxa" w:w="6048"/>
            <w:vAlign w:val="center"/>
          </w:tcPr>
          <w:p>
            <w:r>
              <w:t>Use JWT authentication, role-based authorization, password hashing, and organizer approval before competition participation.</w:t>
            </w:r>
          </w:p>
        </w:tc>
      </w:tr>
      <w:tr>
        <w:tc>
          <w:tcPr>
            <w:tcW w:type="dxa" w:w="1080"/>
            <w:vAlign w:val="center"/>
          </w:tcPr>
          <w:p>
            <w:r>
              <w:t>NFR-02</w:t>
            </w:r>
          </w:p>
        </w:tc>
        <w:tc>
          <w:tcPr>
            <w:tcW w:type="dxa" w:w="2232"/>
            <w:vAlign w:val="center"/>
          </w:tcPr>
          <w:p>
            <w:r>
              <w:t>Auditability</w:t>
            </w:r>
          </w:p>
        </w:tc>
        <w:tc>
          <w:tcPr>
            <w:tcW w:type="dxa" w:w="6048"/>
            <w:vAlign w:val="center"/>
          </w:tcPr>
          <w:p>
            <w:r>
              <w:t>Record all scoring, elimination, promotion, and administrative changes with actor, time, action, and reason where applicable.</w:t>
            </w:r>
          </w:p>
        </w:tc>
      </w:tr>
      <w:tr>
        <w:tc>
          <w:tcPr>
            <w:tcW w:type="dxa" w:w="1080"/>
            <w:vAlign w:val="center"/>
          </w:tcPr>
          <w:p>
            <w:r>
              <w:t>NFR-03</w:t>
            </w:r>
          </w:p>
        </w:tc>
        <w:tc>
          <w:tcPr>
            <w:tcW w:type="dxa" w:w="2232"/>
            <w:vAlign w:val="center"/>
          </w:tcPr>
          <w:p>
            <w:r>
              <w:t>Reliability</w:t>
            </w:r>
          </w:p>
        </w:tc>
        <w:tc>
          <w:tcPr>
            <w:tcW w:type="dxa" w:w="6048"/>
            <w:vAlign w:val="center"/>
          </w:tcPr>
          <w:p>
            <w:r>
              <w:t>Preserve submitted URLs, score details, and ranking snapshots even when external GitHub/GitLab metadata fetching fails.</w:t>
            </w:r>
          </w:p>
        </w:tc>
      </w:tr>
      <w:tr>
        <w:tc>
          <w:tcPr>
            <w:tcW w:type="dxa" w:w="1080"/>
            <w:vAlign w:val="center"/>
          </w:tcPr>
          <w:p>
            <w:r>
              <w:t>NFR-04</w:t>
            </w:r>
          </w:p>
        </w:tc>
        <w:tc>
          <w:tcPr>
            <w:tcW w:type="dxa" w:w="2232"/>
            <w:vAlign w:val="center"/>
          </w:tcPr>
          <w:p>
            <w:r>
              <w:t>Performance</w:t>
            </w:r>
          </w:p>
        </w:tc>
        <w:tc>
          <w:tcPr>
            <w:tcW w:type="dxa" w:w="6048"/>
            <w:vAlign w:val="center"/>
          </w:tcPr>
          <w:p>
            <w:r>
              <w:t>Ranking calculation should complete within seconds for typical course-scale events and remain batch-friendly for larger events.</w:t>
            </w:r>
          </w:p>
        </w:tc>
      </w:tr>
      <w:tr>
        <w:tc>
          <w:tcPr>
            <w:tcW w:type="dxa" w:w="1080"/>
            <w:vAlign w:val="center"/>
          </w:tcPr>
          <w:p>
            <w:r>
              <w:t>NFR-05</w:t>
            </w:r>
          </w:p>
        </w:tc>
        <w:tc>
          <w:tcPr>
            <w:tcW w:type="dxa" w:w="2232"/>
            <w:vAlign w:val="center"/>
          </w:tcPr>
          <w:p>
            <w:r>
              <w:t>Maintainability</w:t>
            </w:r>
          </w:p>
        </w:tc>
        <w:tc>
          <w:tcPr>
            <w:tcW w:type="dxa" w:w="6048"/>
            <w:vAlign w:val="center"/>
          </w:tcPr>
          <w:p>
            <w:r>
              <w:t>Separate presentation, business, and data access responsibilities to allow feature extension and testing.</w:t>
            </w:r>
          </w:p>
        </w:tc>
      </w:tr>
      <w:tr>
        <w:tc>
          <w:tcPr>
            <w:tcW w:type="dxa" w:w="1080"/>
            <w:vAlign w:val="center"/>
          </w:tcPr>
          <w:p>
            <w:r>
              <w:t>NFR-06</w:t>
            </w:r>
          </w:p>
        </w:tc>
        <w:tc>
          <w:tcPr>
            <w:tcW w:type="dxa" w:w="2232"/>
            <w:vAlign w:val="center"/>
          </w:tcPr>
          <w:p>
            <w:r>
              <w:t>Exportability</w:t>
            </w:r>
          </w:p>
        </w:tc>
        <w:tc>
          <w:tcPr>
            <w:tcW w:type="dxa" w:w="6048"/>
            <w:vAlign w:val="center"/>
          </w:tcPr>
          <w:p>
            <w:r>
              <w:t>Reports and research datasets must be exportable to CSV/Excel with anonymization support for RBL use.</w:t>
            </w:r>
          </w:p>
        </w:tc>
      </w:tr>
    </w:tbl>
    <w:p/>
    <w:p>
      <w:pPr>
        <w:pStyle w:val="Heading2"/>
      </w:pPr>
      <w:r>
        <w:t>II.5 Functional requirements</w:t>
      </w:r>
    </w:p>
    <w:p>
      <w:pPr>
        <w:pStyle w:val="Heading3"/>
      </w:pPr>
      <w:r>
        <w:t>II.5.1 Actors</w:t>
      </w:r>
    </w:p>
    <w:tbl>
      <w:tblPr>
        <w:tblStyle w:val="TableGrid"/>
        <w:tblW w:type="auto" w:w="0"/>
        <w:tblLayout w:type="fixed"/>
        <w:tblLook w:firstColumn="1" w:firstRow="1" w:lastColumn="0" w:lastRow="0" w:noHBand="0" w:noVBand="1" w:val="04A0"/>
      </w:tblPr>
      <w:tblGrid>
        <w:gridCol w:w="3009"/>
        <w:gridCol w:w="3009"/>
        <w:gridCol w:w="3009"/>
      </w:tblGrid>
      <w:tr>
        <w:tc>
          <w:tcPr>
            <w:tcW w:type="dxa" w:w="648"/>
            <w:vAlign w:val="center"/>
            <w:shd w:fill="E8EEF5"/>
          </w:tcPr>
          <w:p>
            <w:r>
              <w:rPr>
                <w:b/>
              </w:rPr>
              <w:t>#</w:t>
            </w:r>
          </w:p>
        </w:tc>
        <w:tc>
          <w:tcPr>
            <w:tcW w:type="dxa" w:w="2376"/>
            <w:vAlign w:val="center"/>
            <w:shd w:fill="E8EEF5"/>
          </w:tcPr>
          <w:p>
            <w:r>
              <w:rPr>
                <w:b/>
              </w:rPr>
              <w:t>Actor</w:t>
            </w:r>
          </w:p>
        </w:tc>
        <w:tc>
          <w:tcPr>
            <w:tcW w:type="dxa" w:w="6336"/>
            <w:vAlign w:val="center"/>
            <w:shd w:fill="E8EEF5"/>
          </w:tcPr>
          <w:p>
            <w:r>
              <w:rPr>
                <w:b/>
              </w:rPr>
              <w:t>Description</w:t>
            </w:r>
          </w:p>
        </w:tc>
      </w:tr>
      <w:tr>
        <w:tc>
          <w:tcPr>
            <w:tcW w:type="dxa" w:w="648"/>
            <w:vAlign w:val="center"/>
          </w:tcPr>
          <w:p>
            <w:r>
              <w:t>1</w:t>
            </w:r>
          </w:p>
        </w:tc>
        <w:tc>
          <w:tcPr>
            <w:tcW w:type="dxa" w:w="2376"/>
            <w:vAlign w:val="center"/>
          </w:tcPr>
          <w:p>
            <w:r>
              <w:t>Organizer/Admin</w:t>
            </w:r>
          </w:p>
        </w:tc>
        <w:tc>
          <w:tcPr>
            <w:tcW w:type="dxa" w:w="6336"/>
            <w:vAlign w:val="center"/>
          </w:tcPr>
          <w:p>
            <w:r>
              <w:t>Creates events, rounds, categories, criteria, user approvals, judge assignments, eliminations, and award publication.</w:t>
            </w:r>
          </w:p>
        </w:tc>
      </w:tr>
      <w:tr>
        <w:tc>
          <w:tcPr>
            <w:tcW w:type="dxa" w:w="648"/>
            <w:vAlign w:val="center"/>
          </w:tcPr>
          <w:p>
            <w:r>
              <w:t>2</w:t>
            </w:r>
          </w:p>
        </w:tc>
        <w:tc>
          <w:tcPr>
            <w:tcW w:type="dxa" w:w="2376"/>
            <w:vAlign w:val="center"/>
          </w:tcPr>
          <w:p>
            <w:r>
              <w:t>Student/Participant</w:t>
            </w:r>
          </w:p>
        </w:tc>
        <w:tc>
          <w:tcPr>
            <w:tcW w:type="dxa" w:w="6336"/>
            <w:vAlign w:val="center"/>
          </w:tcPr>
          <w:p>
            <w:r>
              <w:t>Registers an account, forms or joins a team, registers to a category, and submits project artifacts.</w:t>
            </w:r>
          </w:p>
        </w:tc>
      </w:tr>
      <w:tr>
        <w:tc>
          <w:tcPr>
            <w:tcW w:type="dxa" w:w="648"/>
            <w:vAlign w:val="center"/>
          </w:tcPr>
          <w:p>
            <w:r>
              <w:t>3</w:t>
            </w:r>
          </w:p>
        </w:tc>
        <w:tc>
          <w:tcPr>
            <w:tcW w:type="dxa" w:w="2376"/>
            <w:vAlign w:val="center"/>
          </w:tcPr>
          <w:p>
            <w:r>
              <w:t>Mentor</w:t>
            </w:r>
          </w:p>
        </w:tc>
        <w:tc>
          <w:tcPr>
            <w:tcW w:type="dxa" w:w="6336"/>
            <w:vAlign w:val="center"/>
          </w:tcPr>
          <w:p>
            <w:r>
              <w:t>Supports assigned event categories and monitors teams in that category.</w:t>
            </w:r>
          </w:p>
        </w:tc>
      </w:tr>
      <w:tr>
        <w:tc>
          <w:tcPr>
            <w:tcW w:type="dxa" w:w="648"/>
            <w:vAlign w:val="center"/>
          </w:tcPr>
          <w:p>
            <w:r>
              <w:t>4</w:t>
            </w:r>
          </w:p>
        </w:tc>
        <w:tc>
          <w:tcPr>
            <w:tcW w:type="dxa" w:w="2376"/>
            <w:vAlign w:val="center"/>
          </w:tcPr>
          <w:p>
            <w:r>
              <w:t>Internal Judge</w:t>
            </w:r>
          </w:p>
        </w:tc>
        <w:tc>
          <w:tcPr>
            <w:tcW w:type="dxa" w:w="6336"/>
            <w:vAlign w:val="center"/>
          </w:tcPr>
          <w:p>
            <w:r>
              <w:t>Scores assigned submissions according to event criteria.</w:t>
            </w:r>
          </w:p>
        </w:tc>
      </w:tr>
      <w:tr>
        <w:tc>
          <w:tcPr>
            <w:tcW w:type="dxa" w:w="648"/>
            <w:vAlign w:val="center"/>
          </w:tcPr>
          <w:p>
            <w:r>
              <w:t>5</w:t>
            </w:r>
          </w:p>
        </w:tc>
        <w:tc>
          <w:tcPr>
            <w:tcW w:type="dxa" w:w="2376"/>
            <w:vAlign w:val="center"/>
          </w:tcPr>
          <w:p>
            <w:r>
              <w:t>Guest Judge</w:t>
            </w:r>
          </w:p>
        </w:tc>
        <w:tc>
          <w:tcPr>
            <w:tcW w:type="dxa" w:w="6336"/>
            <w:vAlign w:val="center"/>
          </w:tcPr>
          <w:p>
            <w:r>
              <w:t>Uses a temporary organizer-created account to score only assigned rounds.</w:t>
            </w:r>
          </w:p>
        </w:tc>
      </w:tr>
      <w:tr>
        <w:tc>
          <w:tcPr>
            <w:tcW w:type="dxa" w:w="648"/>
            <w:vAlign w:val="center"/>
          </w:tcPr>
          <w:p>
            <w:r>
              <w:t>6</w:t>
            </w:r>
          </w:p>
        </w:tc>
        <w:tc>
          <w:tcPr>
            <w:tcW w:type="dxa" w:w="2376"/>
            <w:vAlign w:val="center"/>
          </w:tcPr>
          <w:p>
            <w:r>
              <w:t>External Git Provider</w:t>
            </w:r>
          </w:p>
        </w:tc>
        <w:tc>
          <w:tcPr>
            <w:tcW w:type="dxa" w:w="6336"/>
            <w:vAlign w:val="center"/>
          </w:tcPr>
          <w:p>
            <w:r>
              <w:t>Optional GitHub/GitLab API source for repository metadata.</w:t>
            </w:r>
          </w:p>
        </w:tc>
      </w:tr>
    </w:tbl>
    <w:p/>
    <w:p>
      <w:pPr>
        <w:pStyle w:val="Heading3"/>
      </w:pPr>
      <w:r>
        <w:t>II.5.2 Use Cases</w:t>
      </w:r>
    </w:p>
    <w:tbl>
      <w:tblPr>
        <w:tblStyle w:val="TableGrid"/>
        <w:tblW w:type="auto" w:w="0"/>
        <w:tblLayout w:type="fixed"/>
        <w:tblLook w:firstColumn="1" w:firstRow="1" w:lastColumn="0" w:lastRow="0" w:noHBand="0" w:noVBand="1" w:val="04A0"/>
      </w:tblPr>
      <w:tblGrid>
        <w:gridCol w:w="2256"/>
        <w:gridCol w:w="2256"/>
        <w:gridCol w:w="2256"/>
        <w:gridCol w:w="2256"/>
      </w:tblGrid>
      <w:tr>
        <w:tc>
          <w:tcPr>
            <w:tcW w:type="dxa" w:w="1080"/>
            <w:vAlign w:val="center"/>
            <w:shd w:fill="E8EEF5"/>
          </w:tcPr>
          <w:p>
            <w:r>
              <w:rPr>
                <w:b/>
              </w:rPr>
              <w:t>ID</w:t>
            </w:r>
          </w:p>
        </w:tc>
        <w:tc>
          <w:tcPr>
            <w:tcW w:type="dxa" w:w="2376"/>
            <w:vAlign w:val="center"/>
            <w:shd w:fill="E8EEF5"/>
          </w:tcPr>
          <w:p>
            <w:r>
              <w:rPr>
                <w:b/>
              </w:rPr>
              <w:t>Use Case</w:t>
            </w:r>
          </w:p>
        </w:tc>
        <w:tc>
          <w:tcPr>
            <w:tcW w:type="dxa" w:w="2088"/>
            <w:vAlign w:val="center"/>
            <w:shd w:fill="E8EEF5"/>
          </w:tcPr>
          <w:p>
            <w:r>
              <w:rPr>
                <w:b/>
              </w:rPr>
              <w:t>Actors</w:t>
            </w:r>
          </w:p>
        </w:tc>
        <w:tc>
          <w:tcPr>
            <w:tcW w:type="dxa" w:w="3816"/>
            <w:vAlign w:val="center"/>
            <w:shd w:fill="E8EEF5"/>
          </w:tcPr>
          <w:p>
            <w:r>
              <w:rPr>
                <w:b/>
              </w:rPr>
              <w:t>Use Case Description</w:t>
            </w:r>
          </w:p>
        </w:tc>
      </w:tr>
      <w:tr>
        <w:tc>
          <w:tcPr>
            <w:tcW w:type="dxa" w:w="1080"/>
            <w:vAlign w:val="center"/>
          </w:tcPr>
          <w:p>
            <w:r>
              <w:t>UC-01</w:t>
            </w:r>
          </w:p>
        </w:tc>
        <w:tc>
          <w:tcPr>
            <w:tcW w:type="dxa" w:w="2376"/>
            <w:vAlign w:val="center"/>
          </w:tcPr>
          <w:p>
            <w:r>
              <w:t>Register Team to Track</w:t>
            </w:r>
          </w:p>
        </w:tc>
        <w:tc>
          <w:tcPr>
            <w:tcW w:type="dxa" w:w="2088"/>
            <w:vAlign w:val="center"/>
          </w:tcPr>
          <w:p>
            <w:r>
              <w:t>Student, Organizer</w:t>
            </w:r>
          </w:p>
        </w:tc>
        <w:tc>
          <w:tcPr>
            <w:tcW w:type="dxa" w:w="3816"/>
            <w:vAlign w:val="center"/>
          </w:tcPr>
          <w:p>
            <w:r>
              <w:t>Students create teams of 3-5 members and register to one category after account approval.</w:t>
            </w:r>
          </w:p>
        </w:tc>
      </w:tr>
      <w:tr>
        <w:tc>
          <w:tcPr>
            <w:tcW w:type="dxa" w:w="1080"/>
            <w:vAlign w:val="center"/>
          </w:tcPr>
          <w:p>
            <w:r>
              <w:t>UC-02</w:t>
            </w:r>
          </w:p>
        </w:tc>
        <w:tc>
          <w:tcPr>
            <w:tcW w:type="dxa" w:w="2376"/>
            <w:vAlign w:val="center"/>
          </w:tcPr>
          <w:p>
            <w:r>
              <w:t>Submit Project</w:t>
            </w:r>
          </w:p>
        </w:tc>
        <w:tc>
          <w:tcPr>
            <w:tcW w:type="dxa" w:w="2088"/>
            <w:vAlign w:val="center"/>
          </w:tcPr>
          <w:p>
            <w:r>
              <w:t>Team Member</w:t>
            </w:r>
          </w:p>
        </w:tc>
        <w:tc>
          <w:tcPr>
            <w:tcW w:type="dxa" w:w="3816"/>
            <w:vAlign w:val="center"/>
          </w:tcPr>
          <w:p>
            <w:r>
              <w:t>A team submits repository, demo, report, and slide URLs for the current round before the deadline.</w:t>
            </w:r>
          </w:p>
        </w:tc>
      </w:tr>
      <w:tr>
        <w:tc>
          <w:tcPr>
            <w:tcW w:type="dxa" w:w="1080"/>
            <w:vAlign w:val="center"/>
          </w:tcPr>
          <w:p>
            <w:r>
              <w:t>UC-03</w:t>
            </w:r>
          </w:p>
        </w:tc>
        <w:tc>
          <w:tcPr>
            <w:tcW w:type="dxa" w:w="2376"/>
            <w:vAlign w:val="center"/>
          </w:tcPr>
          <w:p>
            <w:r>
              <w:t>Judge Scores Submission</w:t>
            </w:r>
          </w:p>
        </w:tc>
        <w:tc>
          <w:tcPr>
            <w:tcW w:type="dxa" w:w="2088"/>
            <w:vAlign w:val="center"/>
          </w:tcPr>
          <w:p>
            <w:r>
              <w:t>Judge, Guest Judge</w:t>
            </w:r>
          </w:p>
        </w:tc>
        <w:tc>
          <w:tcPr>
            <w:tcW w:type="dxa" w:w="3816"/>
            <w:vAlign w:val="center"/>
          </w:tcPr>
          <w:p>
            <w:r>
              <w:t>Assigned judges score a submission by criteria and the system stores criterion-level score details.</w:t>
            </w:r>
          </w:p>
        </w:tc>
      </w:tr>
      <w:tr>
        <w:tc>
          <w:tcPr>
            <w:tcW w:type="dxa" w:w="1080"/>
            <w:vAlign w:val="center"/>
          </w:tcPr>
          <w:p>
            <w:r>
              <w:t>UC-04</w:t>
            </w:r>
          </w:p>
        </w:tc>
        <w:tc>
          <w:tcPr>
            <w:tcW w:type="dxa" w:w="2376"/>
            <w:vAlign w:val="center"/>
          </w:tcPr>
          <w:p>
            <w:r>
              <w:t>Generate Ranking and Promote Teams</w:t>
            </w:r>
          </w:p>
        </w:tc>
        <w:tc>
          <w:tcPr>
            <w:tcW w:type="dxa" w:w="2088"/>
            <w:vAlign w:val="center"/>
          </w:tcPr>
          <w:p>
            <w:r>
              <w:t>Organizer, System</w:t>
            </w:r>
          </w:p>
        </w:tc>
        <w:tc>
          <w:tcPr>
            <w:tcW w:type="dxa" w:w="3816"/>
            <w:vAlign w:val="center"/>
          </w:tcPr>
          <w:p>
            <w:r>
              <w:t>The system ranks teams and identifies top-N teams per category for the next round.</w:t>
            </w:r>
          </w:p>
        </w:tc>
      </w:tr>
      <w:tr>
        <w:tc>
          <w:tcPr>
            <w:tcW w:type="dxa" w:w="1080"/>
            <w:vAlign w:val="center"/>
          </w:tcPr>
          <w:p>
            <w:r>
              <w:t>UC-05</w:t>
            </w:r>
          </w:p>
        </w:tc>
        <w:tc>
          <w:tcPr>
            <w:tcW w:type="dxa" w:w="2376"/>
            <w:vAlign w:val="center"/>
          </w:tcPr>
          <w:p>
            <w:r>
              <w:t>Manage Event and Rounds</w:t>
            </w:r>
          </w:p>
        </w:tc>
        <w:tc>
          <w:tcPr>
            <w:tcW w:type="dxa" w:w="2088"/>
            <w:vAlign w:val="center"/>
          </w:tcPr>
          <w:p>
            <w:r>
              <w:t>Organizer</w:t>
            </w:r>
          </w:p>
        </w:tc>
        <w:tc>
          <w:tcPr>
            <w:tcW w:type="dxa" w:w="3816"/>
            <w:vAlign w:val="center"/>
          </w:tcPr>
          <w:p>
            <w:r>
              <w:t>Organizer creates the event, configures rounds, deadlines, judges, criteria, categories, and promotion rules.</w:t>
            </w:r>
          </w:p>
        </w:tc>
      </w:tr>
    </w:tbl>
    <w:p/>
    <w:p>
      <w:pPr>
        <w:pStyle w:val="Heading3"/>
      </w:pPr>
      <w:r>
        <w:t>II.5.2.1 Diagram(s)</w:t>
      </w:r>
    </w:p>
    <w:p>
      <w:pPr>
        <w:jc w:val="center"/>
      </w:pPr>
      <w:r>
        <w:drawing>
          <wp:inline xmlns:a="http://schemas.openxmlformats.org/drawingml/2006/main" xmlns:pic="http://schemas.openxmlformats.org/drawingml/2006/picture">
            <wp:extent cx="5669280" cy="8766928"/>
            <wp:docPr id="2" name="Picture 2"/>
            <wp:cNvGraphicFramePr>
              <a:graphicFrameLocks noChangeAspect="1"/>
            </wp:cNvGraphicFramePr>
            <a:graphic>
              <a:graphicData uri="http://schemas.openxmlformats.org/drawingml/2006/picture">
                <pic:pic>
                  <pic:nvPicPr>
                    <pic:cNvPr id="0" name="02_UC_Diagram.png"/>
                    <pic:cNvPicPr/>
                  </pic:nvPicPr>
                  <pic:blipFill>
                    <a:blip r:embed="rId22"/>
                    <a:stretch>
                      <a:fillRect/>
                    </a:stretch>
                  </pic:blipFill>
                  <pic:spPr>
                    <a:xfrm>
                      <a:off x="0" y="0"/>
                      <a:ext cx="5669280" cy="8766928"/>
                    </a:xfrm>
                    <a:prstGeom prst="rect"/>
                  </pic:spPr>
                </pic:pic>
              </a:graphicData>
            </a:graphic>
          </wp:inline>
        </w:drawing>
      </w:r>
    </w:p>
    <w:p>
      <w:pPr>
        <w:jc w:val="center"/>
      </w:pPr>
      <w:r>
        <w:rPr>
          <w:i/>
          <w:sz w:val="18"/>
        </w:rPr>
        <w:t>Figure 2. Use case diagram for SEAL.</w:t>
      </w:r>
    </w:p>
    <w:p>
      <w:pPr>
        <w:pStyle w:val="Heading3"/>
      </w:pPr>
      <w:r>
        <w:t>II.5.2.2 Use case descriptions</w:t>
      </w:r>
    </w:p>
    <w:tbl>
      <w:tblPr>
        <w:tblStyle w:val="TableGrid"/>
        <w:tblW w:type="auto" w:w="0"/>
        <w:tblLayout w:type="fixed"/>
        <w:tblLook w:firstColumn="1" w:firstRow="1" w:lastColumn="0" w:lastRow="0" w:noHBand="0" w:noVBand="1" w:val="04A0"/>
      </w:tblPr>
      <w:tblGrid>
        <w:gridCol w:w="4513"/>
        <w:gridCol w:w="4513"/>
      </w:tblGrid>
      <w:tr>
        <w:tc>
          <w:tcPr>
            <w:tcW w:type="dxa" w:w="2304"/>
            <w:vAlign w:val="center"/>
            <w:shd w:fill="E8EEF5"/>
          </w:tcPr>
          <w:p>
            <w:r>
              <w:rPr>
                <w:b/>
              </w:rPr>
              <w:t>Field</w:t>
            </w:r>
          </w:p>
        </w:tc>
        <w:tc>
          <w:tcPr>
            <w:tcW w:type="dxa" w:w="7056"/>
            <w:vAlign w:val="center"/>
            <w:shd w:fill="E8EEF5"/>
          </w:tcPr>
          <w:p>
            <w:r>
              <w:rPr>
                <w:b/>
              </w:rPr>
              <w:t>Content</w:t>
            </w:r>
          </w:p>
        </w:tc>
      </w:tr>
      <w:tr>
        <w:tc>
          <w:tcPr>
            <w:tcW w:type="dxa" w:w="2304"/>
            <w:vAlign w:val="center"/>
          </w:tcPr>
          <w:p>
            <w:r>
              <w:t>UC ID and Name</w:t>
            </w:r>
          </w:p>
        </w:tc>
        <w:tc>
          <w:tcPr>
            <w:tcW w:type="dxa" w:w="7056"/>
            <w:vAlign w:val="center"/>
          </w:tcPr>
          <w:p>
            <w:r>
              <w:t>UC-01 Register Team to Track</w:t>
            </w:r>
          </w:p>
        </w:tc>
      </w:tr>
      <w:tr>
        <w:tc>
          <w:tcPr>
            <w:tcW w:type="dxa" w:w="2304"/>
            <w:vAlign w:val="center"/>
          </w:tcPr>
          <w:p>
            <w:r>
              <w:t>Primary Actor</w:t>
            </w:r>
          </w:p>
        </w:tc>
        <w:tc>
          <w:tcPr>
            <w:tcW w:type="dxa" w:w="7056"/>
            <w:vAlign w:val="center"/>
          </w:tcPr>
          <w:p>
            <w:r>
              <w:t>Student</w:t>
            </w:r>
          </w:p>
        </w:tc>
      </w:tr>
      <w:tr>
        <w:tc>
          <w:tcPr>
            <w:tcW w:type="dxa" w:w="2304"/>
            <w:vAlign w:val="center"/>
          </w:tcPr>
          <w:p>
            <w:r>
              <w:t>Trigger</w:t>
            </w:r>
          </w:p>
        </w:tc>
        <w:tc>
          <w:tcPr>
            <w:tcW w:type="dxa" w:w="7056"/>
            <w:vAlign w:val="center"/>
          </w:tcPr>
          <w:p>
            <w:r>
              <w:t>The actor starts the use case from the appropriate SEAL management screen.</w:t>
            </w:r>
          </w:p>
        </w:tc>
      </w:tr>
      <w:tr>
        <w:tc>
          <w:tcPr>
            <w:tcW w:type="dxa" w:w="2304"/>
            <w:vAlign w:val="center"/>
          </w:tcPr>
          <w:p>
            <w:r>
              <w:t>Description</w:t>
            </w:r>
          </w:p>
        </w:tc>
        <w:tc>
          <w:tcPr>
            <w:tcW w:type="dxa" w:w="7056"/>
            <w:vAlign w:val="center"/>
          </w:tcPr>
          <w:p>
            <w:r>
              <w:t>The student chooses members and a category. The system validates team size, account approval status, and category availability before creating the registration.</w:t>
            </w:r>
          </w:p>
        </w:tc>
      </w:tr>
      <w:tr>
        <w:tc>
          <w:tcPr>
            <w:tcW w:type="dxa" w:w="2304"/>
            <w:vAlign w:val="center"/>
          </w:tcPr>
          <w:p>
            <w:r>
              <w:t>Preconditions</w:t>
            </w:r>
          </w:p>
        </w:tc>
        <w:tc>
          <w:tcPr>
            <w:tcW w:type="dxa" w:w="7056"/>
            <w:vAlign w:val="center"/>
          </w:tcPr>
          <w:p>
            <w:r>
              <w:t>The actor is authenticated and authorized; the target event/round/category exists.</w:t>
            </w:r>
          </w:p>
        </w:tc>
      </w:tr>
      <w:tr>
        <w:tc>
          <w:tcPr>
            <w:tcW w:type="dxa" w:w="2304"/>
            <w:vAlign w:val="center"/>
          </w:tcPr>
          <w:p>
            <w:r>
              <w:t>Postconditions</w:t>
            </w:r>
          </w:p>
        </w:tc>
        <w:tc>
          <w:tcPr>
            <w:tcW w:type="dxa" w:w="7056"/>
            <w:vAlign w:val="center"/>
          </w:tcPr>
          <w:p>
            <w:r>
              <w:t>The requested record is saved and relevant audit data is available.</w:t>
            </w:r>
          </w:p>
        </w:tc>
      </w:tr>
      <w:tr>
        <w:tc>
          <w:tcPr>
            <w:tcW w:type="dxa" w:w="2304"/>
            <w:vAlign w:val="center"/>
          </w:tcPr>
          <w:p>
            <w:r>
              <w:t>Exceptions</w:t>
            </w:r>
          </w:p>
        </w:tc>
        <w:tc>
          <w:tcPr>
            <w:tcW w:type="dxa" w:w="7056"/>
            <w:vAlign w:val="center"/>
          </w:tcPr>
          <w:p>
            <w:r>
              <w:t>Invalid permission, deadline expired, missing required data, or violated business rule.</w:t>
            </w:r>
          </w:p>
        </w:tc>
      </w:tr>
      <w:tr>
        <w:tc>
          <w:tcPr>
            <w:tcW w:type="dxa" w:w="2304"/>
            <w:vAlign w:val="center"/>
          </w:tcPr>
          <w:p>
            <w:r>
              <w:t>Priority</w:t>
            </w:r>
          </w:p>
        </w:tc>
        <w:tc>
          <w:tcPr>
            <w:tcW w:type="dxa" w:w="7056"/>
            <w:vAlign w:val="center"/>
          </w:tcPr>
          <w:p>
            <w:r>
              <w:t>High</w:t>
            </w:r>
          </w:p>
        </w:tc>
      </w:tr>
    </w:tbl>
    <w:p/>
    <w:tbl>
      <w:tblPr>
        <w:tblStyle w:val="TableGrid"/>
        <w:tblW w:type="auto" w:w="0"/>
        <w:tblLayout w:type="fixed"/>
        <w:tblLook w:firstColumn="1" w:firstRow="1" w:lastColumn="0" w:lastRow="0" w:noHBand="0" w:noVBand="1" w:val="04A0"/>
      </w:tblPr>
      <w:tblGrid>
        <w:gridCol w:w="4513"/>
        <w:gridCol w:w="4513"/>
      </w:tblGrid>
      <w:tr>
        <w:tc>
          <w:tcPr>
            <w:tcW w:type="dxa" w:w="2304"/>
            <w:vAlign w:val="center"/>
            <w:shd w:fill="E8EEF5"/>
          </w:tcPr>
          <w:p>
            <w:r>
              <w:rPr>
                <w:b/>
              </w:rPr>
              <w:t>Field</w:t>
            </w:r>
          </w:p>
        </w:tc>
        <w:tc>
          <w:tcPr>
            <w:tcW w:type="dxa" w:w="7056"/>
            <w:vAlign w:val="center"/>
            <w:shd w:fill="E8EEF5"/>
          </w:tcPr>
          <w:p>
            <w:r>
              <w:rPr>
                <w:b/>
              </w:rPr>
              <w:t>Content</w:t>
            </w:r>
          </w:p>
        </w:tc>
      </w:tr>
      <w:tr>
        <w:tc>
          <w:tcPr>
            <w:tcW w:type="dxa" w:w="2304"/>
            <w:vAlign w:val="center"/>
          </w:tcPr>
          <w:p>
            <w:r>
              <w:t>UC ID and Name</w:t>
            </w:r>
          </w:p>
        </w:tc>
        <w:tc>
          <w:tcPr>
            <w:tcW w:type="dxa" w:w="7056"/>
            <w:vAlign w:val="center"/>
          </w:tcPr>
          <w:p>
            <w:r>
              <w:t>UC-02 Submit Project</w:t>
            </w:r>
          </w:p>
        </w:tc>
      </w:tr>
      <w:tr>
        <w:tc>
          <w:tcPr>
            <w:tcW w:type="dxa" w:w="2304"/>
            <w:vAlign w:val="center"/>
          </w:tcPr>
          <w:p>
            <w:r>
              <w:t>Primary Actor</w:t>
            </w:r>
          </w:p>
        </w:tc>
        <w:tc>
          <w:tcPr>
            <w:tcW w:type="dxa" w:w="7056"/>
            <w:vAlign w:val="center"/>
          </w:tcPr>
          <w:p>
            <w:r>
              <w:t>Team Member</w:t>
            </w:r>
          </w:p>
        </w:tc>
      </w:tr>
      <w:tr>
        <w:tc>
          <w:tcPr>
            <w:tcW w:type="dxa" w:w="2304"/>
            <w:vAlign w:val="center"/>
          </w:tcPr>
          <w:p>
            <w:r>
              <w:t>Trigger</w:t>
            </w:r>
          </w:p>
        </w:tc>
        <w:tc>
          <w:tcPr>
            <w:tcW w:type="dxa" w:w="7056"/>
            <w:vAlign w:val="center"/>
          </w:tcPr>
          <w:p>
            <w:r>
              <w:t>The actor starts the use case from the appropriate SEAL management screen.</w:t>
            </w:r>
          </w:p>
        </w:tc>
      </w:tr>
      <w:tr>
        <w:tc>
          <w:tcPr>
            <w:tcW w:type="dxa" w:w="2304"/>
            <w:vAlign w:val="center"/>
          </w:tcPr>
          <w:p>
            <w:r>
              <w:t>Description</w:t>
            </w:r>
          </w:p>
        </w:tc>
        <w:tc>
          <w:tcPr>
            <w:tcW w:type="dxa" w:w="7056"/>
            <w:vAlign w:val="center"/>
          </w:tcPr>
          <w:p>
            <w:r>
              <w:t>The team member submits required URLs for a round. The system validates deadline and saves the submission; optional repository metadata is fetched asynchronously.</w:t>
            </w:r>
          </w:p>
        </w:tc>
      </w:tr>
      <w:tr>
        <w:tc>
          <w:tcPr>
            <w:tcW w:type="dxa" w:w="2304"/>
            <w:vAlign w:val="center"/>
          </w:tcPr>
          <w:p>
            <w:r>
              <w:t>Preconditions</w:t>
            </w:r>
          </w:p>
        </w:tc>
        <w:tc>
          <w:tcPr>
            <w:tcW w:type="dxa" w:w="7056"/>
            <w:vAlign w:val="center"/>
          </w:tcPr>
          <w:p>
            <w:r>
              <w:t>The actor is authenticated and authorized; the target event/round/category exists.</w:t>
            </w:r>
          </w:p>
        </w:tc>
      </w:tr>
      <w:tr>
        <w:tc>
          <w:tcPr>
            <w:tcW w:type="dxa" w:w="2304"/>
            <w:vAlign w:val="center"/>
          </w:tcPr>
          <w:p>
            <w:r>
              <w:t>Postconditions</w:t>
            </w:r>
          </w:p>
        </w:tc>
        <w:tc>
          <w:tcPr>
            <w:tcW w:type="dxa" w:w="7056"/>
            <w:vAlign w:val="center"/>
          </w:tcPr>
          <w:p>
            <w:r>
              <w:t>The requested record is saved and relevant audit data is available.</w:t>
            </w:r>
          </w:p>
        </w:tc>
      </w:tr>
      <w:tr>
        <w:tc>
          <w:tcPr>
            <w:tcW w:type="dxa" w:w="2304"/>
            <w:vAlign w:val="center"/>
          </w:tcPr>
          <w:p>
            <w:r>
              <w:t>Exceptions</w:t>
            </w:r>
          </w:p>
        </w:tc>
        <w:tc>
          <w:tcPr>
            <w:tcW w:type="dxa" w:w="7056"/>
            <w:vAlign w:val="center"/>
          </w:tcPr>
          <w:p>
            <w:r>
              <w:t>Invalid permission, deadline expired, missing required data, or violated business rule.</w:t>
            </w:r>
          </w:p>
        </w:tc>
      </w:tr>
      <w:tr>
        <w:tc>
          <w:tcPr>
            <w:tcW w:type="dxa" w:w="2304"/>
            <w:vAlign w:val="center"/>
          </w:tcPr>
          <w:p>
            <w:r>
              <w:t>Priority</w:t>
            </w:r>
          </w:p>
        </w:tc>
        <w:tc>
          <w:tcPr>
            <w:tcW w:type="dxa" w:w="7056"/>
            <w:vAlign w:val="center"/>
          </w:tcPr>
          <w:p>
            <w:r>
              <w:t>High</w:t>
            </w:r>
          </w:p>
        </w:tc>
      </w:tr>
    </w:tbl>
    <w:p/>
    <w:tbl>
      <w:tblPr>
        <w:tblStyle w:val="TableGrid"/>
        <w:tblW w:type="auto" w:w="0"/>
        <w:tblLayout w:type="fixed"/>
        <w:tblLook w:firstColumn="1" w:firstRow="1" w:lastColumn="0" w:lastRow="0" w:noHBand="0" w:noVBand="1" w:val="04A0"/>
      </w:tblPr>
      <w:tblGrid>
        <w:gridCol w:w="4513"/>
        <w:gridCol w:w="4513"/>
      </w:tblGrid>
      <w:tr>
        <w:tc>
          <w:tcPr>
            <w:tcW w:type="dxa" w:w="2304"/>
            <w:vAlign w:val="center"/>
            <w:shd w:fill="E8EEF5"/>
          </w:tcPr>
          <w:p>
            <w:r>
              <w:rPr>
                <w:b/>
              </w:rPr>
              <w:t>Field</w:t>
            </w:r>
          </w:p>
        </w:tc>
        <w:tc>
          <w:tcPr>
            <w:tcW w:type="dxa" w:w="7056"/>
            <w:vAlign w:val="center"/>
            <w:shd w:fill="E8EEF5"/>
          </w:tcPr>
          <w:p>
            <w:r>
              <w:rPr>
                <w:b/>
              </w:rPr>
              <w:t>Content</w:t>
            </w:r>
          </w:p>
        </w:tc>
      </w:tr>
      <w:tr>
        <w:tc>
          <w:tcPr>
            <w:tcW w:type="dxa" w:w="2304"/>
            <w:vAlign w:val="center"/>
          </w:tcPr>
          <w:p>
            <w:r>
              <w:t>UC ID and Name</w:t>
            </w:r>
          </w:p>
        </w:tc>
        <w:tc>
          <w:tcPr>
            <w:tcW w:type="dxa" w:w="7056"/>
            <w:vAlign w:val="center"/>
          </w:tcPr>
          <w:p>
            <w:r>
              <w:t>UC-03 Judge Scores Submission</w:t>
            </w:r>
          </w:p>
        </w:tc>
      </w:tr>
      <w:tr>
        <w:tc>
          <w:tcPr>
            <w:tcW w:type="dxa" w:w="2304"/>
            <w:vAlign w:val="center"/>
          </w:tcPr>
          <w:p>
            <w:r>
              <w:t>Primary Actor</w:t>
            </w:r>
          </w:p>
        </w:tc>
        <w:tc>
          <w:tcPr>
            <w:tcW w:type="dxa" w:w="7056"/>
            <w:vAlign w:val="center"/>
          </w:tcPr>
          <w:p>
            <w:r>
              <w:t>Judge/Guest Judge</w:t>
            </w:r>
          </w:p>
        </w:tc>
      </w:tr>
      <w:tr>
        <w:tc>
          <w:tcPr>
            <w:tcW w:type="dxa" w:w="2304"/>
            <w:vAlign w:val="center"/>
          </w:tcPr>
          <w:p>
            <w:r>
              <w:t>Trigger</w:t>
            </w:r>
          </w:p>
        </w:tc>
        <w:tc>
          <w:tcPr>
            <w:tcW w:type="dxa" w:w="7056"/>
            <w:vAlign w:val="center"/>
          </w:tcPr>
          <w:p>
            <w:r>
              <w:t>The actor starts the use case from the appropriate SEAL management screen.</w:t>
            </w:r>
          </w:p>
        </w:tc>
      </w:tr>
      <w:tr>
        <w:tc>
          <w:tcPr>
            <w:tcW w:type="dxa" w:w="2304"/>
            <w:vAlign w:val="center"/>
          </w:tcPr>
          <w:p>
            <w:r>
              <w:t>Description</w:t>
            </w:r>
          </w:p>
        </w:tc>
        <w:tc>
          <w:tcPr>
            <w:tcW w:type="dxa" w:w="7056"/>
            <w:vAlign w:val="center"/>
          </w:tcPr>
          <w:p>
            <w:r>
              <w:t>The judge opens an assigned submission, scores each criterion, and submits the evaluation. Scores are stored separately by judge and criterion.</w:t>
            </w:r>
          </w:p>
        </w:tc>
      </w:tr>
      <w:tr>
        <w:tc>
          <w:tcPr>
            <w:tcW w:type="dxa" w:w="2304"/>
            <w:vAlign w:val="center"/>
          </w:tcPr>
          <w:p>
            <w:r>
              <w:t>Preconditions</w:t>
            </w:r>
          </w:p>
        </w:tc>
        <w:tc>
          <w:tcPr>
            <w:tcW w:type="dxa" w:w="7056"/>
            <w:vAlign w:val="center"/>
          </w:tcPr>
          <w:p>
            <w:r>
              <w:t>The actor is authenticated and authorized; the target event/round/category exists.</w:t>
            </w:r>
          </w:p>
        </w:tc>
      </w:tr>
      <w:tr>
        <w:tc>
          <w:tcPr>
            <w:tcW w:type="dxa" w:w="2304"/>
            <w:vAlign w:val="center"/>
          </w:tcPr>
          <w:p>
            <w:r>
              <w:t>Postconditions</w:t>
            </w:r>
          </w:p>
        </w:tc>
        <w:tc>
          <w:tcPr>
            <w:tcW w:type="dxa" w:w="7056"/>
            <w:vAlign w:val="center"/>
          </w:tcPr>
          <w:p>
            <w:r>
              <w:t>The requested record is saved and relevant audit data is available.</w:t>
            </w:r>
          </w:p>
        </w:tc>
      </w:tr>
      <w:tr>
        <w:tc>
          <w:tcPr>
            <w:tcW w:type="dxa" w:w="2304"/>
            <w:vAlign w:val="center"/>
          </w:tcPr>
          <w:p>
            <w:r>
              <w:t>Exceptions</w:t>
            </w:r>
          </w:p>
        </w:tc>
        <w:tc>
          <w:tcPr>
            <w:tcW w:type="dxa" w:w="7056"/>
            <w:vAlign w:val="center"/>
          </w:tcPr>
          <w:p>
            <w:r>
              <w:t>Invalid permission, deadline expired, missing required data, or violated business rule.</w:t>
            </w:r>
          </w:p>
        </w:tc>
      </w:tr>
      <w:tr>
        <w:tc>
          <w:tcPr>
            <w:tcW w:type="dxa" w:w="2304"/>
            <w:vAlign w:val="center"/>
          </w:tcPr>
          <w:p>
            <w:r>
              <w:t>Priority</w:t>
            </w:r>
          </w:p>
        </w:tc>
        <w:tc>
          <w:tcPr>
            <w:tcW w:type="dxa" w:w="7056"/>
            <w:vAlign w:val="center"/>
          </w:tcPr>
          <w:p>
            <w:r>
              <w:t>High</w:t>
            </w:r>
          </w:p>
        </w:tc>
      </w:tr>
    </w:tbl>
    <w:p/>
    <w:tbl>
      <w:tblPr>
        <w:tblStyle w:val="TableGrid"/>
        <w:tblW w:type="auto" w:w="0"/>
        <w:tblLayout w:type="fixed"/>
        <w:tblLook w:firstColumn="1" w:firstRow="1" w:lastColumn="0" w:lastRow="0" w:noHBand="0" w:noVBand="1" w:val="04A0"/>
      </w:tblPr>
      <w:tblGrid>
        <w:gridCol w:w="4513"/>
        <w:gridCol w:w="4513"/>
      </w:tblGrid>
      <w:tr>
        <w:tc>
          <w:tcPr>
            <w:tcW w:type="dxa" w:w="2304"/>
            <w:vAlign w:val="center"/>
            <w:shd w:fill="E8EEF5"/>
          </w:tcPr>
          <w:p>
            <w:r>
              <w:rPr>
                <w:b/>
              </w:rPr>
              <w:t>Field</w:t>
            </w:r>
          </w:p>
        </w:tc>
        <w:tc>
          <w:tcPr>
            <w:tcW w:type="dxa" w:w="7056"/>
            <w:vAlign w:val="center"/>
            <w:shd w:fill="E8EEF5"/>
          </w:tcPr>
          <w:p>
            <w:r>
              <w:rPr>
                <w:b/>
              </w:rPr>
              <w:t>Content</w:t>
            </w:r>
          </w:p>
        </w:tc>
      </w:tr>
      <w:tr>
        <w:tc>
          <w:tcPr>
            <w:tcW w:type="dxa" w:w="2304"/>
            <w:vAlign w:val="center"/>
          </w:tcPr>
          <w:p>
            <w:r>
              <w:t>UC ID and Name</w:t>
            </w:r>
          </w:p>
        </w:tc>
        <w:tc>
          <w:tcPr>
            <w:tcW w:type="dxa" w:w="7056"/>
            <w:vAlign w:val="center"/>
          </w:tcPr>
          <w:p>
            <w:r>
              <w:t>UC-04 Generate Ranking and Promote Teams</w:t>
            </w:r>
          </w:p>
        </w:tc>
      </w:tr>
      <w:tr>
        <w:tc>
          <w:tcPr>
            <w:tcW w:type="dxa" w:w="2304"/>
            <w:vAlign w:val="center"/>
          </w:tcPr>
          <w:p>
            <w:r>
              <w:t>Primary Actor</w:t>
            </w:r>
          </w:p>
        </w:tc>
        <w:tc>
          <w:tcPr>
            <w:tcW w:type="dxa" w:w="7056"/>
            <w:vAlign w:val="center"/>
          </w:tcPr>
          <w:p>
            <w:r>
              <w:t>Organizer/System</w:t>
            </w:r>
          </w:p>
        </w:tc>
      </w:tr>
      <w:tr>
        <w:tc>
          <w:tcPr>
            <w:tcW w:type="dxa" w:w="2304"/>
            <w:vAlign w:val="center"/>
          </w:tcPr>
          <w:p>
            <w:r>
              <w:t>Trigger</w:t>
            </w:r>
          </w:p>
        </w:tc>
        <w:tc>
          <w:tcPr>
            <w:tcW w:type="dxa" w:w="7056"/>
            <w:vAlign w:val="center"/>
          </w:tcPr>
          <w:p>
            <w:r>
              <w:t>The actor starts the use case from the appropriate SEAL management screen.</w:t>
            </w:r>
          </w:p>
        </w:tc>
      </w:tr>
      <w:tr>
        <w:tc>
          <w:tcPr>
            <w:tcW w:type="dxa" w:w="2304"/>
            <w:vAlign w:val="center"/>
          </w:tcPr>
          <w:p>
            <w:r>
              <w:t>Description</w:t>
            </w:r>
          </w:p>
        </w:tc>
        <w:tc>
          <w:tcPr>
            <w:tcW w:type="dxa" w:w="7056"/>
            <w:vAlign w:val="center"/>
          </w:tcPr>
          <w:p>
            <w:r>
              <w:t>The organizer triggers ranking calculation. The system aggregates weighted scores, sorts teams by category and round, and marks top-N teams as promoted.</w:t>
            </w:r>
          </w:p>
        </w:tc>
      </w:tr>
      <w:tr>
        <w:tc>
          <w:tcPr>
            <w:tcW w:type="dxa" w:w="2304"/>
            <w:vAlign w:val="center"/>
          </w:tcPr>
          <w:p>
            <w:r>
              <w:t>Preconditions</w:t>
            </w:r>
          </w:p>
        </w:tc>
        <w:tc>
          <w:tcPr>
            <w:tcW w:type="dxa" w:w="7056"/>
            <w:vAlign w:val="center"/>
          </w:tcPr>
          <w:p>
            <w:r>
              <w:t>The actor is authenticated and authorized; the target event/round/category exists.</w:t>
            </w:r>
          </w:p>
        </w:tc>
      </w:tr>
      <w:tr>
        <w:tc>
          <w:tcPr>
            <w:tcW w:type="dxa" w:w="2304"/>
            <w:vAlign w:val="center"/>
          </w:tcPr>
          <w:p>
            <w:r>
              <w:t>Postconditions</w:t>
            </w:r>
          </w:p>
        </w:tc>
        <w:tc>
          <w:tcPr>
            <w:tcW w:type="dxa" w:w="7056"/>
            <w:vAlign w:val="center"/>
          </w:tcPr>
          <w:p>
            <w:r>
              <w:t>The requested record is saved and relevant audit data is available.</w:t>
            </w:r>
          </w:p>
        </w:tc>
      </w:tr>
      <w:tr>
        <w:tc>
          <w:tcPr>
            <w:tcW w:type="dxa" w:w="2304"/>
            <w:vAlign w:val="center"/>
          </w:tcPr>
          <w:p>
            <w:r>
              <w:t>Exceptions</w:t>
            </w:r>
          </w:p>
        </w:tc>
        <w:tc>
          <w:tcPr>
            <w:tcW w:type="dxa" w:w="7056"/>
            <w:vAlign w:val="center"/>
          </w:tcPr>
          <w:p>
            <w:r>
              <w:t>Invalid permission, deadline expired, missing required data, or violated business rule.</w:t>
            </w:r>
          </w:p>
        </w:tc>
      </w:tr>
      <w:tr>
        <w:tc>
          <w:tcPr>
            <w:tcW w:type="dxa" w:w="2304"/>
            <w:vAlign w:val="center"/>
          </w:tcPr>
          <w:p>
            <w:r>
              <w:t>Priority</w:t>
            </w:r>
          </w:p>
        </w:tc>
        <w:tc>
          <w:tcPr>
            <w:tcW w:type="dxa" w:w="7056"/>
            <w:vAlign w:val="center"/>
          </w:tcPr>
          <w:p>
            <w:r>
              <w:t>High</w:t>
            </w:r>
          </w:p>
        </w:tc>
      </w:tr>
    </w:tbl>
    <w:p/>
    <w:tbl>
      <w:tblPr>
        <w:tblStyle w:val="TableGrid"/>
        <w:tblW w:type="auto" w:w="0"/>
        <w:tblLayout w:type="fixed"/>
        <w:tblLook w:firstColumn="1" w:firstRow="1" w:lastColumn="0" w:lastRow="0" w:noHBand="0" w:noVBand="1" w:val="04A0"/>
      </w:tblPr>
      <w:tblGrid>
        <w:gridCol w:w="4513"/>
        <w:gridCol w:w="4513"/>
      </w:tblGrid>
      <w:tr>
        <w:tc>
          <w:tcPr>
            <w:tcW w:type="dxa" w:w="2304"/>
            <w:vAlign w:val="center"/>
            <w:shd w:fill="E8EEF5"/>
          </w:tcPr>
          <w:p>
            <w:r>
              <w:rPr>
                <w:b/>
              </w:rPr>
              <w:t>Field</w:t>
            </w:r>
          </w:p>
        </w:tc>
        <w:tc>
          <w:tcPr>
            <w:tcW w:type="dxa" w:w="7056"/>
            <w:vAlign w:val="center"/>
            <w:shd w:fill="E8EEF5"/>
          </w:tcPr>
          <w:p>
            <w:r>
              <w:rPr>
                <w:b/>
              </w:rPr>
              <w:t>Content</w:t>
            </w:r>
          </w:p>
        </w:tc>
      </w:tr>
      <w:tr>
        <w:tc>
          <w:tcPr>
            <w:tcW w:type="dxa" w:w="2304"/>
            <w:vAlign w:val="center"/>
          </w:tcPr>
          <w:p>
            <w:r>
              <w:t>UC ID and Name</w:t>
            </w:r>
          </w:p>
        </w:tc>
        <w:tc>
          <w:tcPr>
            <w:tcW w:type="dxa" w:w="7056"/>
            <w:vAlign w:val="center"/>
          </w:tcPr>
          <w:p>
            <w:r>
              <w:t>UC-05 Manage Event and Rounds</w:t>
            </w:r>
          </w:p>
        </w:tc>
      </w:tr>
      <w:tr>
        <w:tc>
          <w:tcPr>
            <w:tcW w:type="dxa" w:w="2304"/>
            <w:vAlign w:val="center"/>
          </w:tcPr>
          <w:p>
            <w:r>
              <w:t>Primary Actor</w:t>
            </w:r>
          </w:p>
        </w:tc>
        <w:tc>
          <w:tcPr>
            <w:tcW w:type="dxa" w:w="7056"/>
            <w:vAlign w:val="center"/>
          </w:tcPr>
          <w:p>
            <w:r>
              <w:t>Organizer</w:t>
            </w:r>
          </w:p>
        </w:tc>
      </w:tr>
      <w:tr>
        <w:tc>
          <w:tcPr>
            <w:tcW w:type="dxa" w:w="2304"/>
            <w:vAlign w:val="center"/>
          </w:tcPr>
          <w:p>
            <w:r>
              <w:t>Trigger</w:t>
            </w:r>
          </w:p>
        </w:tc>
        <w:tc>
          <w:tcPr>
            <w:tcW w:type="dxa" w:w="7056"/>
            <w:vAlign w:val="center"/>
          </w:tcPr>
          <w:p>
            <w:r>
              <w:t>The actor starts the use case from the appropriate SEAL management screen.</w:t>
            </w:r>
          </w:p>
        </w:tc>
      </w:tr>
      <w:tr>
        <w:tc>
          <w:tcPr>
            <w:tcW w:type="dxa" w:w="2304"/>
            <w:vAlign w:val="center"/>
          </w:tcPr>
          <w:p>
            <w:r>
              <w:t>Description</w:t>
            </w:r>
          </w:p>
        </w:tc>
        <w:tc>
          <w:tcPr>
            <w:tcW w:type="dxa" w:w="7056"/>
            <w:vAlign w:val="center"/>
          </w:tcPr>
          <w:p>
            <w:r>
              <w:t>The organizer configures an event, categories, rounds, criteria, judge assignments, deadlines, and promotion rules.</w:t>
            </w:r>
          </w:p>
        </w:tc>
      </w:tr>
      <w:tr>
        <w:tc>
          <w:tcPr>
            <w:tcW w:type="dxa" w:w="2304"/>
            <w:vAlign w:val="center"/>
          </w:tcPr>
          <w:p>
            <w:r>
              <w:t>Preconditions</w:t>
            </w:r>
          </w:p>
        </w:tc>
        <w:tc>
          <w:tcPr>
            <w:tcW w:type="dxa" w:w="7056"/>
            <w:vAlign w:val="center"/>
          </w:tcPr>
          <w:p>
            <w:r>
              <w:t>The actor is authenticated and authorized; the target event/round/category exists.</w:t>
            </w:r>
          </w:p>
        </w:tc>
      </w:tr>
      <w:tr>
        <w:tc>
          <w:tcPr>
            <w:tcW w:type="dxa" w:w="2304"/>
            <w:vAlign w:val="center"/>
          </w:tcPr>
          <w:p>
            <w:r>
              <w:t>Postconditions</w:t>
            </w:r>
          </w:p>
        </w:tc>
        <w:tc>
          <w:tcPr>
            <w:tcW w:type="dxa" w:w="7056"/>
            <w:vAlign w:val="center"/>
          </w:tcPr>
          <w:p>
            <w:r>
              <w:t>The requested record is saved and relevant audit data is available.</w:t>
            </w:r>
          </w:p>
        </w:tc>
      </w:tr>
      <w:tr>
        <w:tc>
          <w:tcPr>
            <w:tcW w:type="dxa" w:w="2304"/>
            <w:vAlign w:val="center"/>
          </w:tcPr>
          <w:p>
            <w:r>
              <w:t>Exceptions</w:t>
            </w:r>
          </w:p>
        </w:tc>
        <w:tc>
          <w:tcPr>
            <w:tcW w:type="dxa" w:w="7056"/>
            <w:vAlign w:val="center"/>
          </w:tcPr>
          <w:p>
            <w:r>
              <w:t>Invalid permission, deadline expired, missing required data, or violated business rule.</w:t>
            </w:r>
          </w:p>
        </w:tc>
      </w:tr>
      <w:tr>
        <w:tc>
          <w:tcPr>
            <w:tcW w:type="dxa" w:w="2304"/>
            <w:vAlign w:val="center"/>
          </w:tcPr>
          <w:p>
            <w:r>
              <w:t>Priority</w:t>
            </w:r>
          </w:p>
        </w:tc>
        <w:tc>
          <w:tcPr>
            <w:tcW w:type="dxa" w:w="7056"/>
            <w:vAlign w:val="center"/>
          </w:tcPr>
          <w:p>
            <w:r>
              <w:t>High</w:t>
            </w:r>
          </w:p>
        </w:tc>
      </w:tr>
    </w:tbl>
    <w:p/>
    <w:p>
      <w:pPr>
        <w:pStyle w:val="Heading4"/>
      </w:pPr>
      <w:r>
        <w:t>b. Business Rules</w:t>
      </w:r>
    </w:p>
    <w:tbl>
      <w:tblPr>
        <w:tblStyle w:val="TableGrid"/>
        <w:tblW w:type="auto" w:w="0"/>
        <w:tblLayout w:type="fixed"/>
        <w:tblLook w:firstColumn="1" w:firstRow="1" w:lastColumn="0" w:lastRow="0" w:noHBand="0" w:noVBand="1" w:val="04A0"/>
      </w:tblPr>
      <w:tblGrid>
        <w:gridCol w:w="3009"/>
        <w:gridCol w:w="3009"/>
        <w:gridCol w:w="3009"/>
      </w:tblGrid>
      <w:tr>
        <w:tc>
          <w:tcPr>
            <w:tcW w:type="dxa" w:w="1080"/>
            <w:vAlign w:val="center"/>
            <w:shd w:fill="E8EEF5"/>
          </w:tcPr>
          <w:p>
            <w:r>
              <w:rPr>
                <w:b/>
              </w:rPr>
              <w:t>ID</w:t>
            </w:r>
          </w:p>
        </w:tc>
        <w:tc>
          <w:tcPr>
            <w:tcW w:type="dxa" w:w="2376"/>
            <w:vAlign w:val="center"/>
            <w:shd w:fill="E8EEF5"/>
          </w:tcPr>
          <w:p>
            <w:r>
              <w:rPr>
                <w:b/>
              </w:rPr>
              <w:t>Business Rule</w:t>
            </w:r>
          </w:p>
        </w:tc>
        <w:tc>
          <w:tcPr>
            <w:tcW w:type="dxa" w:w="5904"/>
            <w:vAlign w:val="center"/>
            <w:shd w:fill="E8EEF5"/>
          </w:tcPr>
          <w:p>
            <w:r>
              <w:rPr>
                <w:b/>
              </w:rPr>
              <w:t>Business Rule Description</w:t>
            </w:r>
          </w:p>
        </w:tc>
      </w:tr>
      <w:tr>
        <w:tc>
          <w:tcPr>
            <w:tcW w:type="dxa" w:w="1080"/>
            <w:vAlign w:val="center"/>
          </w:tcPr>
          <w:p>
            <w:r>
              <w:t>BR-01</w:t>
            </w:r>
          </w:p>
        </w:tc>
        <w:tc>
          <w:tcPr>
            <w:tcW w:type="dxa" w:w="2376"/>
            <w:vAlign w:val="center"/>
          </w:tcPr>
          <w:p>
            <w:r>
              <w:t>Team size</w:t>
            </w:r>
          </w:p>
        </w:tc>
        <w:tc>
          <w:tcPr>
            <w:tcW w:type="dxa" w:w="5904"/>
            <w:vAlign w:val="center"/>
          </w:tcPr>
          <w:p>
            <w:r>
              <w:t>Each competing team must contain from 3 to 5 members.</w:t>
            </w:r>
          </w:p>
        </w:tc>
      </w:tr>
      <w:tr>
        <w:tc>
          <w:tcPr>
            <w:tcW w:type="dxa" w:w="1080"/>
            <w:vAlign w:val="center"/>
          </w:tcPr>
          <w:p>
            <w:r>
              <w:t>BR-02</w:t>
            </w:r>
          </w:p>
        </w:tc>
        <w:tc>
          <w:tcPr>
            <w:tcW w:type="dxa" w:w="2376"/>
            <w:vAlign w:val="center"/>
          </w:tcPr>
          <w:p>
            <w:r>
              <w:t>Single category registration</w:t>
            </w:r>
          </w:p>
        </w:tc>
        <w:tc>
          <w:tcPr>
            <w:tcW w:type="dxa" w:w="5904"/>
            <w:vAlign w:val="center"/>
          </w:tcPr>
          <w:p>
            <w:r>
              <w:t>A team registers into one category for a specific event.</w:t>
            </w:r>
          </w:p>
        </w:tc>
      </w:tr>
      <w:tr>
        <w:tc>
          <w:tcPr>
            <w:tcW w:type="dxa" w:w="1080"/>
            <w:vAlign w:val="center"/>
          </w:tcPr>
          <w:p>
            <w:r>
              <w:t>BR-03</w:t>
            </w:r>
          </w:p>
        </w:tc>
        <w:tc>
          <w:tcPr>
            <w:tcW w:type="dxa" w:w="2376"/>
            <w:vAlign w:val="center"/>
          </w:tcPr>
          <w:p>
            <w:r>
              <w:t>Approval required</w:t>
            </w:r>
          </w:p>
        </w:tc>
        <w:tc>
          <w:tcPr>
            <w:tcW w:type="dxa" w:w="5904"/>
            <w:vAlign w:val="center"/>
          </w:tcPr>
          <w:p>
            <w:r>
              <w:t>Accounts must be approved by the organizer before participating.</w:t>
            </w:r>
          </w:p>
        </w:tc>
      </w:tr>
      <w:tr>
        <w:tc>
          <w:tcPr>
            <w:tcW w:type="dxa" w:w="1080"/>
            <w:vAlign w:val="center"/>
          </w:tcPr>
          <w:p>
            <w:r>
              <w:t>BR-04</w:t>
            </w:r>
          </w:p>
        </w:tc>
        <w:tc>
          <w:tcPr>
            <w:tcW w:type="dxa" w:w="2376"/>
            <w:vAlign w:val="center"/>
          </w:tcPr>
          <w:p>
            <w:r>
              <w:t>Guest judge scope</w:t>
            </w:r>
          </w:p>
        </w:tc>
        <w:tc>
          <w:tcPr>
            <w:tcW w:type="dxa" w:w="5904"/>
            <w:vAlign w:val="center"/>
          </w:tcPr>
          <w:p>
            <w:r>
              <w:t>Guest judge accounts can score only assigned rounds/submissions.</w:t>
            </w:r>
          </w:p>
        </w:tc>
      </w:tr>
      <w:tr>
        <w:tc>
          <w:tcPr>
            <w:tcW w:type="dxa" w:w="1080"/>
            <w:vAlign w:val="center"/>
          </w:tcPr>
          <w:p>
            <w:r>
              <w:t>BR-05</w:t>
            </w:r>
          </w:p>
        </w:tc>
        <w:tc>
          <w:tcPr>
            <w:tcW w:type="dxa" w:w="2376"/>
            <w:vAlign w:val="center"/>
          </w:tcPr>
          <w:p>
            <w:r>
              <w:t>Promotion rule</w:t>
            </w:r>
          </w:p>
        </w:tc>
        <w:tc>
          <w:tcPr>
            <w:tcW w:type="dxa" w:w="5904"/>
            <w:vAlign w:val="center"/>
          </w:tcPr>
          <w:p>
            <w:r>
              <w:t>Only top-N teams in each category advance to the next round according to event configuration.</w:t>
            </w:r>
          </w:p>
        </w:tc>
      </w:tr>
      <w:tr>
        <w:tc>
          <w:tcPr>
            <w:tcW w:type="dxa" w:w="1080"/>
            <w:vAlign w:val="center"/>
          </w:tcPr>
          <w:p>
            <w:r>
              <w:t>BR-06</w:t>
            </w:r>
          </w:p>
        </w:tc>
        <w:tc>
          <w:tcPr>
            <w:tcW w:type="dxa" w:w="2376"/>
            <w:vAlign w:val="center"/>
          </w:tcPr>
          <w:p>
            <w:r>
              <w:t>Elimination audit</w:t>
            </w:r>
          </w:p>
        </w:tc>
        <w:tc>
          <w:tcPr>
            <w:tcW w:type="dxa" w:w="5904"/>
            <w:vAlign w:val="center"/>
          </w:tcPr>
          <w:p>
            <w:r>
              <w:t>Eliminated teams/submissions must have a recorded reason and canceled result.</w:t>
            </w:r>
          </w:p>
        </w:tc>
      </w:tr>
    </w:tbl>
    <w:p/>
    <w:p>
      <w:pPr>
        <w:pStyle w:val="Heading3"/>
      </w:pPr>
      <w:r>
        <w:t>II.5.3 Activity diagram</w:t>
      </w:r>
    </w:p>
    <w:p>
      <w:r>
        <w:t>The activity flow follows the competition lifecycle: organizer configures the event, students register and form teams, teams submit round artifacts, judges evaluate submissions, and the system calculates rankings, promotions, eliminations, and awards.</w:t>
      </w:r>
    </w:p>
    <w:p>
      <w:pPr>
        <w:pStyle w:val="Heading1"/>
      </w:pPr>
      <w:r>
        <w:t>III. Analysis models.</w:t>
      </w:r>
    </w:p>
    <w:p>
      <w:pPr>
        <w:pStyle w:val="Heading2"/>
      </w:pPr>
      <w:r>
        <w:t>III.1 Interaction diagrams</w:t>
      </w:r>
    </w:p>
    <w:p>
      <w:pPr>
        <w:jc w:val="center"/>
      </w:pPr>
      <w:r>
        <w:drawing>
          <wp:inline xmlns:a="http://schemas.openxmlformats.org/drawingml/2006/main" xmlns:pic="http://schemas.openxmlformats.org/drawingml/2006/picture">
            <wp:extent cx="5669280" cy="3374216"/>
            <wp:docPr id="3" name="Picture 3"/>
            <wp:cNvGraphicFramePr>
              <a:graphicFrameLocks noChangeAspect="1"/>
            </wp:cNvGraphicFramePr>
            <a:graphic>
              <a:graphicData uri="http://schemas.openxmlformats.org/drawingml/2006/picture">
                <pic:pic>
                  <pic:nvPicPr>
                    <pic:cNvPr id="0" name="03_SD01_-_Register_Team_to_Track.png"/>
                    <pic:cNvPicPr/>
                  </pic:nvPicPr>
                  <pic:blipFill>
                    <a:blip r:embed="rId23"/>
                    <a:stretch>
                      <a:fillRect/>
                    </a:stretch>
                  </pic:blipFill>
                  <pic:spPr>
                    <a:xfrm>
                      <a:off x="0" y="0"/>
                      <a:ext cx="5669280" cy="3374216"/>
                    </a:xfrm>
                    <a:prstGeom prst="rect"/>
                  </pic:spPr>
                </pic:pic>
              </a:graphicData>
            </a:graphic>
          </wp:inline>
        </w:drawing>
      </w:r>
    </w:p>
    <w:p>
      <w:pPr>
        <w:jc w:val="center"/>
      </w:pPr>
      <w:r>
        <w:rPr>
          <w:i/>
          <w:sz w:val="18"/>
        </w:rPr>
        <w:t>Figure 3. Sequence diagram - Register Team to Track.</w:t>
      </w:r>
    </w:p>
    <w:p>
      <w:pPr>
        <w:jc w:val="center"/>
      </w:pPr>
      <w:r>
        <w:drawing>
          <wp:inline xmlns:a="http://schemas.openxmlformats.org/drawingml/2006/main" xmlns:pic="http://schemas.openxmlformats.org/drawingml/2006/picture">
            <wp:extent cx="5669280" cy="3463325"/>
            <wp:docPr id="4" name="Picture 4"/>
            <wp:cNvGraphicFramePr>
              <a:graphicFrameLocks noChangeAspect="1"/>
            </wp:cNvGraphicFramePr>
            <a:graphic>
              <a:graphicData uri="http://schemas.openxmlformats.org/drawingml/2006/picture">
                <pic:pic>
                  <pic:nvPicPr>
                    <pic:cNvPr id="0" name="04_SD02_-_Submit_Project.png"/>
                    <pic:cNvPicPr/>
                  </pic:nvPicPr>
                  <pic:blipFill>
                    <a:blip r:embed="rId24"/>
                    <a:stretch>
                      <a:fillRect/>
                    </a:stretch>
                  </pic:blipFill>
                  <pic:spPr>
                    <a:xfrm>
                      <a:off x="0" y="0"/>
                      <a:ext cx="5669280" cy="3463325"/>
                    </a:xfrm>
                    <a:prstGeom prst="rect"/>
                  </pic:spPr>
                </pic:pic>
              </a:graphicData>
            </a:graphic>
          </wp:inline>
        </w:drawing>
      </w:r>
    </w:p>
    <w:p>
      <w:pPr>
        <w:jc w:val="center"/>
      </w:pPr>
      <w:r>
        <w:rPr>
          <w:i/>
          <w:sz w:val="18"/>
        </w:rPr>
        <w:t>Figure 4. Sequence diagram - Submit Project.</w:t>
      </w:r>
    </w:p>
    <w:p>
      <w:pPr>
        <w:jc w:val="center"/>
      </w:pPr>
      <w:r>
        <w:drawing>
          <wp:inline xmlns:a="http://schemas.openxmlformats.org/drawingml/2006/main" xmlns:pic="http://schemas.openxmlformats.org/drawingml/2006/picture">
            <wp:extent cx="5669280" cy="3371925"/>
            <wp:docPr id="5" name="Picture 5"/>
            <wp:cNvGraphicFramePr>
              <a:graphicFrameLocks noChangeAspect="1"/>
            </wp:cNvGraphicFramePr>
            <a:graphic>
              <a:graphicData uri="http://schemas.openxmlformats.org/drawingml/2006/picture">
                <pic:pic>
                  <pic:nvPicPr>
                    <pic:cNvPr id="0" name="05_SD03_-_Judge_Scores_Submission.png"/>
                    <pic:cNvPicPr/>
                  </pic:nvPicPr>
                  <pic:blipFill>
                    <a:blip r:embed="rId25"/>
                    <a:stretch>
                      <a:fillRect/>
                    </a:stretch>
                  </pic:blipFill>
                  <pic:spPr>
                    <a:xfrm>
                      <a:off x="0" y="0"/>
                      <a:ext cx="5669280" cy="3371925"/>
                    </a:xfrm>
                    <a:prstGeom prst="rect"/>
                  </pic:spPr>
                </pic:pic>
              </a:graphicData>
            </a:graphic>
          </wp:inline>
        </w:drawing>
      </w:r>
    </w:p>
    <w:p>
      <w:pPr>
        <w:jc w:val="center"/>
      </w:pPr>
      <w:r>
        <w:rPr>
          <w:i/>
          <w:sz w:val="18"/>
        </w:rPr>
        <w:t>Figure 5. Sequence diagram - Judge Scores Submission.</w:t>
      </w:r>
    </w:p>
    <w:p>
      <w:pPr>
        <w:jc w:val="center"/>
      </w:pPr>
      <w:r>
        <w:drawing>
          <wp:inline xmlns:a="http://schemas.openxmlformats.org/drawingml/2006/main" xmlns:pic="http://schemas.openxmlformats.org/drawingml/2006/picture">
            <wp:extent cx="5669280" cy="3186654"/>
            <wp:docPr id="6" name="Picture 6"/>
            <wp:cNvGraphicFramePr>
              <a:graphicFrameLocks noChangeAspect="1"/>
            </wp:cNvGraphicFramePr>
            <a:graphic>
              <a:graphicData uri="http://schemas.openxmlformats.org/drawingml/2006/picture">
                <pic:pic>
                  <pic:nvPicPr>
                    <pic:cNvPr id="0" name="06_SD04_-_Generate_Ranking_and_Promote_Teams.png"/>
                    <pic:cNvPicPr/>
                  </pic:nvPicPr>
                  <pic:blipFill>
                    <a:blip r:embed="rId26"/>
                    <a:stretch>
                      <a:fillRect/>
                    </a:stretch>
                  </pic:blipFill>
                  <pic:spPr>
                    <a:xfrm>
                      <a:off x="0" y="0"/>
                      <a:ext cx="5669280" cy="3186654"/>
                    </a:xfrm>
                    <a:prstGeom prst="rect"/>
                  </pic:spPr>
                </pic:pic>
              </a:graphicData>
            </a:graphic>
          </wp:inline>
        </w:drawing>
      </w:r>
    </w:p>
    <w:p>
      <w:pPr>
        <w:jc w:val="center"/>
      </w:pPr>
      <w:r>
        <w:rPr>
          <w:i/>
          <w:sz w:val="18"/>
        </w:rPr>
        <w:t>Figure 6. Sequence diagram - Generate Ranking and Promote Teams.</w:t>
      </w:r>
    </w:p>
    <w:p>
      <w:pPr>
        <w:jc w:val="center"/>
      </w:pPr>
      <w:r>
        <w:drawing>
          <wp:inline xmlns:a="http://schemas.openxmlformats.org/drawingml/2006/main" xmlns:pic="http://schemas.openxmlformats.org/drawingml/2006/picture">
            <wp:extent cx="5669280" cy="3186654"/>
            <wp:docPr id="7" name="Picture 7"/>
            <wp:cNvGraphicFramePr>
              <a:graphicFrameLocks noChangeAspect="1"/>
            </wp:cNvGraphicFramePr>
            <a:graphic>
              <a:graphicData uri="http://schemas.openxmlformats.org/drawingml/2006/picture">
                <pic:pic>
                  <pic:nvPicPr>
                    <pic:cNvPr id="0" name="07_SD05_-_Manage_Event_and_Rounds.png"/>
                    <pic:cNvPicPr/>
                  </pic:nvPicPr>
                  <pic:blipFill>
                    <a:blip r:embed="rId27"/>
                    <a:stretch>
                      <a:fillRect/>
                    </a:stretch>
                  </pic:blipFill>
                  <pic:spPr>
                    <a:xfrm>
                      <a:off x="0" y="0"/>
                      <a:ext cx="5669280" cy="3186654"/>
                    </a:xfrm>
                    <a:prstGeom prst="rect"/>
                  </pic:spPr>
                </pic:pic>
              </a:graphicData>
            </a:graphic>
          </wp:inline>
        </w:drawing>
      </w:r>
    </w:p>
    <w:p>
      <w:pPr>
        <w:jc w:val="center"/>
      </w:pPr>
      <w:r>
        <w:rPr>
          <w:i/>
          <w:sz w:val="18"/>
        </w:rPr>
        <w:t>Figure 7. Sequence diagram - Manage Event and Rounds.</w:t>
      </w:r>
    </w:p>
    <w:p>
      <w:pPr>
        <w:pStyle w:val="Heading2"/>
      </w:pPr>
      <w:r>
        <w:t>III.2 State diagram</w:t>
      </w:r>
    </w:p>
    <w:p>
      <w:r>
        <w:t>The main stateful objects are Event, Round, TeamRegistration, Submission, Evaluation, and Award. A team registration starts as Pending/Registered, moves through Submitted and Evaluated per round, and may become Promoted, Eliminated, or Awarded depending on ranking and organizer actions.</w:t>
      </w:r>
    </w:p>
    <w:p>
      <w:pPr>
        <w:pStyle w:val="Heading1"/>
      </w:pPr>
      <w:r>
        <w:t>IV. Design specification</w:t>
      </w:r>
    </w:p>
    <w:p>
      <w:pPr>
        <w:pStyle w:val="Heading2"/>
      </w:pPr>
      <w:r>
        <w:t>IV.1 Integrated Communication Diagrams</w:t>
      </w:r>
    </w:p>
    <w:p>
      <w:pPr>
        <w:jc w:val="center"/>
      </w:pPr>
      <w:r>
        <w:drawing>
          <wp:inline xmlns:a="http://schemas.openxmlformats.org/drawingml/2006/main" xmlns:pic="http://schemas.openxmlformats.org/drawingml/2006/picture">
            <wp:extent cx="5669280" cy="4654968"/>
            <wp:docPr id="8" name="Picture 8"/>
            <wp:cNvGraphicFramePr>
              <a:graphicFrameLocks noChangeAspect="1"/>
            </wp:cNvGraphicFramePr>
            <a:graphic>
              <a:graphicData uri="http://schemas.openxmlformats.org/drawingml/2006/picture">
                <pic:pic>
                  <pic:nvPicPr>
                    <pic:cNvPr id="0" name="11_C01_Communication_Diagram.png"/>
                    <pic:cNvPicPr/>
                  </pic:nvPicPr>
                  <pic:blipFill>
                    <a:blip r:embed="rId28"/>
                    <a:stretch>
                      <a:fillRect/>
                    </a:stretch>
                  </pic:blipFill>
                  <pic:spPr>
                    <a:xfrm>
                      <a:off x="0" y="0"/>
                      <a:ext cx="5669280" cy="4654968"/>
                    </a:xfrm>
                    <a:prstGeom prst="rect"/>
                  </pic:spPr>
                </pic:pic>
              </a:graphicData>
            </a:graphic>
          </wp:inline>
        </w:drawing>
      </w:r>
    </w:p>
    <w:p>
      <w:pPr>
        <w:jc w:val="center"/>
      </w:pPr>
      <w:r>
        <w:rPr>
          <w:i/>
          <w:sz w:val="18"/>
        </w:rPr>
        <w:t>Figure 8. Communication diagram - team registration and event setup interactions.</w:t>
      </w:r>
    </w:p>
    <w:p>
      <w:pPr>
        <w:jc w:val="center"/>
      </w:pPr>
      <w:r>
        <w:drawing>
          <wp:inline xmlns:a="http://schemas.openxmlformats.org/drawingml/2006/main" xmlns:pic="http://schemas.openxmlformats.org/drawingml/2006/picture">
            <wp:extent cx="5669280" cy="3925976"/>
            <wp:docPr id="9" name="Picture 9"/>
            <wp:cNvGraphicFramePr>
              <a:graphicFrameLocks noChangeAspect="1"/>
            </wp:cNvGraphicFramePr>
            <a:graphic>
              <a:graphicData uri="http://schemas.openxmlformats.org/drawingml/2006/picture">
                <pic:pic>
                  <pic:nvPicPr>
                    <pic:cNvPr id="0" name="12_C02_Communication_Diagram.png"/>
                    <pic:cNvPicPr/>
                  </pic:nvPicPr>
                  <pic:blipFill>
                    <a:blip r:embed="rId29"/>
                    <a:stretch>
                      <a:fillRect/>
                    </a:stretch>
                  </pic:blipFill>
                  <pic:spPr>
                    <a:xfrm>
                      <a:off x="0" y="0"/>
                      <a:ext cx="5669280" cy="3925976"/>
                    </a:xfrm>
                    <a:prstGeom prst="rect"/>
                  </pic:spPr>
                </pic:pic>
              </a:graphicData>
            </a:graphic>
          </wp:inline>
        </w:drawing>
      </w:r>
    </w:p>
    <w:p>
      <w:pPr>
        <w:jc w:val="center"/>
      </w:pPr>
      <w:r>
        <w:rPr>
          <w:i/>
          <w:sz w:val="18"/>
        </w:rPr>
        <w:t>Figure 9. Communication diagram - submission and judging interactions.</w:t>
      </w:r>
    </w:p>
    <w:p>
      <w:pPr>
        <w:jc w:val="center"/>
      </w:pPr>
      <w:r>
        <w:drawing>
          <wp:inline xmlns:a="http://schemas.openxmlformats.org/drawingml/2006/main" xmlns:pic="http://schemas.openxmlformats.org/drawingml/2006/picture">
            <wp:extent cx="5669280" cy="5576341"/>
            <wp:docPr id="10" name="Picture 10"/>
            <wp:cNvGraphicFramePr>
              <a:graphicFrameLocks noChangeAspect="1"/>
            </wp:cNvGraphicFramePr>
            <a:graphic>
              <a:graphicData uri="http://schemas.openxmlformats.org/drawingml/2006/picture">
                <pic:pic>
                  <pic:nvPicPr>
                    <pic:cNvPr id="0" name="13_C03_Communication_Diagram.png"/>
                    <pic:cNvPicPr/>
                  </pic:nvPicPr>
                  <pic:blipFill>
                    <a:blip r:embed="rId30"/>
                    <a:stretch>
                      <a:fillRect/>
                    </a:stretch>
                  </pic:blipFill>
                  <pic:spPr>
                    <a:xfrm>
                      <a:off x="0" y="0"/>
                      <a:ext cx="5669280" cy="5576341"/>
                    </a:xfrm>
                    <a:prstGeom prst="rect"/>
                  </pic:spPr>
                </pic:pic>
              </a:graphicData>
            </a:graphic>
          </wp:inline>
        </w:drawing>
      </w:r>
    </w:p>
    <w:p>
      <w:pPr>
        <w:jc w:val="center"/>
      </w:pPr>
      <w:r>
        <w:rPr>
          <w:i/>
          <w:sz w:val="18"/>
        </w:rPr>
        <w:t>Figure 10. Communication diagram - ranking, promotion, and reporting interactions.</w:t>
      </w:r>
    </w:p>
    <w:p>
      <w:pPr>
        <w:pStyle w:val="Heading2"/>
      </w:pPr>
      <w:r>
        <w:t>IV.2 System High-Level Design</w:t>
      </w:r>
    </w:p>
    <w:p>
      <w:r>
        <w:t>SEAL uses a layered architecture. The presentation layer exposes web UI and REST API endpoints. The application/service layer coordinates use cases such as event setup, team registration, submission, scoring, ranking, and award publication. The domain layer contains competition rules, scoring calculations, promotion logic, and audit concepts. The data access layer persists users, teams, rounds, submissions, scores, rankings, and export records.</w:t>
      </w:r>
    </w:p>
    <w:p>
      <w:pPr>
        <w:jc w:val="center"/>
      </w:pPr>
      <w:r>
        <w:drawing>
          <wp:inline xmlns:a="http://schemas.openxmlformats.org/drawingml/2006/main" xmlns:pic="http://schemas.openxmlformats.org/drawingml/2006/picture">
            <wp:extent cx="5669280" cy="2520467"/>
            <wp:docPr id="11" name="Picture 11"/>
            <wp:cNvGraphicFramePr>
              <a:graphicFrameLocks noChangeAspect="1"/>
            </wp:cNvGraphicFramePr>
            <a:graphic>
              <a:graphicData uri="http://schemas.openxmlformats.org/drawingml/2006/picture">
                <pic:pic>
                  <pic:nvPicPr>
                    <pic:cNvPr id="0" name="14_System_Architecture_Diagram.png"/>
                    <pic:cNvPicPr/>
                  </pic:nvPicPr>
                  <pic:blipFill>
                    <a:blip r:embed="rId31"/>
                    <a:stretch>
                      <a:fillRect/>
                    </a:stretch>
                  </pic:blipFill>
                  <pic:spPr>
                    <a:xfrm>
                      <a:off x="0" y="0"/>
                      <a:ext cx="5669280" cy="2520467"/>
                    </a:xfrm>
                    <a:prstGeom prst="rect"/>
                  </pic:spPr>
                </pic:pic>
              </a:graphicData>
            </a:graphic>
          </wp:inline>
        </w:drawing>
      </w:r>
    </w:p>
    <w:p>
      <w:pPr>
        <w:jc w:val="center"/>
      </w:pPr>
      <w:r>
        <w:rPr>
          <w:i/>
          <w:sz w:val="18"/>
        </w:rPr>
        <w:t>Figure 11. System architecture diagram.</w:t>
      </w:r>
    </w:p>
    <w:p>
      <w:pPr>
        <w:pStyle w:val="Heading2"/>
      </w:pPr>
      <w:r>
        <w:t>IV.3 Component and Package Diagram</w:t>
      </w:r>
    </w:p>
    <w:p>
      <w:pPr>
        <w:pStyle w:val="Heading2"/>
      </w:pPr>
      <w:r>
        <w:t>IV.3.1 Component Diagram</w:t>
      </w:r>
    </w:p>
    <w:p>
      <w:pPr>
        <w:jc w:val="center"/>
      </w:pPr>
      <w:r>
        <w:drawing>
          <wp:inline xmlns:a="http://schemas.openxmlformats.org/drawingml/2006/main" xmlns:pic="http://schemas.openxmlformats.org/drawingml/2006/picture">
            <wp:extent cx="5669280" cy="12755880"/>
            <wp:docPr id="12" name="Picture 12"/>
            <wp:cNvGraphicFramePr>
              <a:graphicFrameLocks noChangeAspect="1"/>
            </wp:cNvGraphicFramePr>
            <a:graphic>
              <a:graphicData uri="http://schemas.openxmlformats.org/drawingml/2006/picture">
                <pic:pic>
                  <pic:nvPicPr>
                    <pic:cNvPr id="0" name="01_Page-1.png"/>
                    <pic:cNvPicPr/>
                  </pic:nvPicPr>
                  <pic:blipFill>
                    <a:blip r:embed="rId32"/>
                    <a:stretch>
                      <a:fillRect/>
                    </a:stretch>
                  </pic:blipFill>
                  <pic:spPr>
                    <a:xfrm>
                      <a:off x="0" y="0"/>
                      <a:ext cx="5669280" cy="12755880"/>
                    </a:xfrm>
                    <a:prstGeom prst="rect"/>
                  </pic:spPr>
                </pic:pic>
              </a:graphicData>
            </a:graphic>
          </wp:inline>
        </w:drawing>
      </w:r>
    </w:p>
    <w:p>
      <w:pPr>
        <w:jc w:val="center"/>
      </w:pPr>
      <w:r>
        <w:rPr>
          <w:i/>
          <w:sz w:val="18"/>
        </w:rPr>
        <w:t>Figure 12. Component diagram.</w:t>
      </w:r>
    </w:p>
    <w:p>
      <w:pPr>
        <w:pStyle w:val="Heading2"/>
      </w:pPr>
      <w:r>
        <w:t>IV.3.1 Package Diagram</w:t>
      </w:r>
    </w:p>
    <w:tbl>
      <w:tblPr>
        <w:tblStyle w:val="TableGrid"/>
        <w:tblW w:type="auto" w:w="0"/>
        <w:tblLayout w:type="fixed"/>
        <w:tblLook w:firstColumn="1" w:firstRow="1" w:lastColumn="0" w:lastRow="0" w:noHBand="0" w:noVBand="1" w:val="04A0"/>
      </w:tblPr>
      <w:tblGrid>
        <w:gridCol w:w="3009"/>
        <w:gridCol w:w="3009"/>
        <w:gridCol w:w="3009"/>
      </w:tblGrid>
      <w:tr>
        <w:tc>
          <w:tcPr>
            <w:tcW w:type="dxa" w:w="648"/>
            <w:vAlign w:val="center"/>
            <w:shd w:fill="E8EEF5"/>
          </w:tcPr>
          <w:p>
            <w:r>
              <w:rPr>
                <w:b/>
              </w:rPr>
              <w:t>No</w:t>
            </w:r>
          </w:p>
        </w:tc>
        <w:tc>
          <w:tcPr>
            <w:tcW w:type="dxa" w:w="2232"/>
            <w:vAlign w:val="center"/>
            <w:shd w:fill="E8EEF5"/>
          </w:tcPr>
          <w:p>
            <w:r>
              <w:rPr>
                <w:b/>
              </w:rPr>
              <w:t>Package</w:t>
            </w:r>
          </w:p>
        </w:tc>
        <w:tc>
          <w:tcPr>
            <w:tcW w:type="dxa" w:w="6480"/>
            <w:vAlign w:val="center"/>
            <w:shd w:fill="E8EEF5"/>
          </w:tcPr>
          <w:p>
            <w:r>
              <w:rPr>
                <w:b/>
              </w:rPr>
              <w:t>Description</w:t>
            </w:r>
          </w:p>
        </w:tc>
      </w:tr>
      <w:tr>
        <w:tc>
          <w:tcPr>
            <w:tcW w:type="dxa" w:w="648"/>
            <w:vAlign w:val="center"/>
          </w:tcPr>
          <w:p>
            <w:r>
              <w:t>01</w:t>
            </w:r>
          </w:p>
        </w:tc>
        <w:tc>
          <w:tcPr>
            <w:tcW w:type="dxa" w:w="2232"/>
            <w:vAlign w:val="center"/>
          </w:tcPr>
          <w:p>
            <w:r>
              <w:t>identity</w:t>
            </w:r>
          </w:p>
        </w:tc>
        <w:tc>
          <w:tcPr>
            <w:tcW w:type="dxa" w:w="6480"/>
            <w:vAlign w:val="center"/>
          </w:tcPr>
          <w:p>
            <w:r>
              <w:t>Authentication, JWT issuance, password hashing, role and approval state management.</w:t>
            </w:r>
          </w:p>
        </w:tc>
      </w:tr>
      <w:tr>
        <w:tc>
          <w:tcPr>
            <w:tcW w:type="dxa" w:w="648"/>
            <w:vAlign w:val="center"/>
          </w:tcPr>
          <w:p>
            <w:r>
              <w:t>02</w:t>
            </w:r>
          </w:p>
        </w:tc>
        <w:tc>
          <w:tcPr>
            <w:tcW w:type="dxa" w:w="2232"/>
            <w:vAlign w:val="center"/>
          </w:tcPr>
          <w:p>
            <w:r>
              <w:t>event</w:t>
            </w:r>
          </w:p>
        </w:tc>
        <w:tc>
          <w:tcPr>
            <w:tcW w:type="dxa" w:w="6480"/>
            <w:vAlign w:val="center"/>
          </w:tcPr>
          <w:p>
            <w:r>
              <w:t>Event, round, category, criteria, mentor, judge assignment, and promotion rule management.</w:t>
            </w:r>
          </w:p>
        </w:tc>
      </w:tr>
      <w:tr>
        <w:tc>
          <w:tcPr>
            <w:tcW w:type="dxa" w:w="648"/>
            <w:vAlign w:val="center"/>
          </w:tcPr>
          <w:p>
            <w:r>
              <w:t>03</w:t>
            </w:r>
          </w:p>
        </w:tc>
        <w:tc>
          <w:tcPr>
            <w:tcW w:type="dxa" w:w="2232"/>
            <w:vAlign w:val="center"/>
          </w:tcPr>
          <w:p>
            <w:r>
              <w:t>team</w:t>
            </w:r>
          </w:p>
        </w:tc>
        <w:tc>
          <w:tcPr>
            <w:tcW w:type="dxa" w:w="6480"/>
            <w:vAlign w:val="center"/>
          </w:tcPr>
          <w:p>
            <w:r>
              <w:t>Team creation, member validation, and category registration.</w:t>
            </w:r>
          </w:p>
        </w:tc>
      </w:tr>
      <w:tr>
        <w:tc>
          <w:tcPr>
            <w:tcW w:type="dxa" w:w="648"/>
            <w:vAlign w:val="center"/>
          </w:tcPr>
          <w:p>
            <w:r>
              <w:t>04</w:t>
            </w:r>
          </w:p>
        </w:tc>
        <w:tc>
          <w:tcPr>
            <w:tcW w:type="dxa" w:w="2232"/>
            <w:vAlign w:val="center"/>
          </w:tcPr>
          <w:p>
            <w:r>
              <w:t>submission</w:t>
            </w:r>
          </w:p>
        </w:tc>
        <w:tc>
          <w:tcPr>
            <w:tcW w:type="dxa" w:w="6480"/>
            <w:vAlign w:val="center"/>
          </w:tcPr>
          <w:p>
            <w:r>
              <w:t>Round-based submission URLs and optional Git metadata synchronization.</w:t>
            </w:r>
          </w:p>
        </w:tc>
      </w:tr>
      <w:tr>
        <w:tc>
          <w:tcPr>
            <w:tcW w:type="dxa" w:w="648"/>
            <w:vAlign w:val="center"/>
          </w:tcPr>
          <w:p>
            <w:r>
              <w:t>05</w:t>
            </w:r>
          </w:p>
        </w:tc>
        <w:tc>
          <w:tcPr>
            <w:tcW w:type="dxa" w:w="2232"/>
            <w:vAlign w:val="center"/>
          </w:tcPr>
          <w:p>
            <w:r>
              <w:t>evaluation</w:t>
            </w:r>
          </w:p>
        </w:tc>
        <w:tc>
          <w:tcPr>
            <w:tcW w:type="dxa" w:w="6480"/>
            <w:vAlign w:val="center"/>
          </w:tcPr>
          <w:p>
            <w:r>
              <w:t>Criterion-level score capture, judge assignment enforcement, calibration support, and score audit.</w:t>
            </w:r>
          </w:p>
        </w:tc>
      </w:tr>
      <w:tr>
        <w:tc>
          <w:tcPr>
            <w:tcW w:type="dxa" w:w="648"/>
            <w:vAlign w:val="center"/>
          </w:tcPr>
          <w:p>
            <w:r>
              <w:t>06</w:t>
            </w:r>
          </w:p>
        </w:tc>
        <w:tc>
          <w:tcPr>
            <w:tcW w:type="dxa" w:w="2232"/>
            <w:vAlign w:val="center"/>
          </w:tcPr>
          <w:p>
            <w:r>
              <w:t>ranking</w:t>
            </w:r>
          </w:p>
        </w:tc>
        <w:tc>
          <w:tcPr>
            <w:tcW w:type="dxa" w:w="6480"/>
            <w:vAlign w:val="center"/>
          </w:tcPr>
          <w:p>
            <w:r>
              <w:t>Weighted aggregation, category/event ranking, promotion, elimination, and awards.</w:t>
            </w:r>
          </w:p>
        </w:tc>
      </w:tr>
      <w:tr>
        <w:tc>
          <w:tcPr>
            <w:tcW w:type="dxa" w:w="648"/>
            <w:vAlign w:val="center"/>
          </w:tcPr>
          <w:p>
            <w:r>
              <w:t>07</w:t>
            </w:r>
          </w:p>
        </w:tc>
        <w:tc>
          <w:tcPr>
            <w:tcW w:type="dxa" w:w="2232"/>
            <w:vAlign w:val="center"/>
          </w:tcPr>
          <w:p>
            <w:r>
              <w:t>reporting</w:t>
            </w:r>
          </w:p>
        </w:tc>
        <w:tc>
          <w:tcPr>
            <w:tcW w:type="dxa" w:w="6480"/>
            <w:vAlign w:val="center"/>
          </w:tcPr>
          <w:p>
            <w:r>
              <w:t>CSV/Excel exports, anonymized RBL datasets, and dashboard data.</w:t>
            </w:r>
          </w:p>
        </w:tc>
      </w:tr>
    </w:tbl>
    <w:p/>
    <w:p>
      <w:pPr>
        <w:pStyle w:val="Heading2"/>
      </w:pPr>
      <w:r>
        <w:t>IV.4 Class diagram</w:t>
      </w:r>
    </w:p>
    <w:p>
      <w:r>
        <w:t>The class model centers on Event, Round, Category, Team, TeamMember, Submission, Criteria, JudgeAssignment, Evaluation, ScoreDetail, RankingResult, Award, and AuditLog. The model separates score details from aggregated ranking results so SEAL can support both operational ranking and RBL research analysis.</w:t>
      </w:r>
    </w:p>
    <w:p>
      <w:pPr>
        <w:jc w:val="center"/>
      </w:pPr>
      <w:r>
        <w:drawing>
          <wp:inline xmlns:a="http://schemas.openxmlformats.org/drawingml/2006/main" xmlns:pic="http://schemas.openxmlformats.org/drawingml/2006/picture">
            <wp:extent cx="5669280" cy="3134639"/>
            <wp:docPr id="13" name="Picture 13"/>
            <wp:cNvGraphicFramePr>
              <a:graphicFrameLocks noChangeAspect="1"/>
            </wp:cNvGraphicFramePr>
            <a:graphic>
              <a:graphicData uri="http://schemas.openxmlformats.org/drawingml/2006/picture">
                <pic:pic>
                  <pic:nvPicPr>
                    <pic:cNvPr id="0" name="09_ClassDiagram.png"/>
                    <pic:cNvPicPr/>
                  </pic:nvPicPr>
                  <pic:blipFill>
                    <a:blip r:embed="rId33"/>
                    <a:stretch>
                      <a:fillRect/>
                    </a:stretch>
                  </pic:blipFill>
                  <pic:spPr>
                    <a:xfrm>
                      <a:off x="0" y="0"/>
                      <a:ext cx="5669280" cy="3134639"/>
                    </a:xfrm>
                    <a:prstGeom prst="rect"/>
                  </pic:spPr>
                </pic:pic>
              </a:graphicData>
            </a:graphic>
          </wp:inline>
        </w:drawing>
      </w:r>
    </w:p>
    <w:p>
      <w:pPr>
        <w:jc w:val="center"/>
      </w:pPr>
      <w:r>
        <w:rPr>
          <w:i/>
          <w:sz w:val="18"/>
        </w:rPr>
        <w:t>Figure 13. Class diagram.</w:t>
      </w:r>
    </w:p>
    <w:p>
      <w:pPr>
        <w:pStyle w:val="Heading2"/>
      </w:pPr>
      <w:r>
        <w:t>IV.5 Database Design</w:t>
      </w:r>
    </w:p>
    <w:p>
      <w:r>
        <w:t>The relational database stores normalized competition data. Important tables include users, student_profiles, events, rounds, categories, teams, team_members, registrations, criteria_templates, event_criteria, judge_assignments, submissions, evaluations, score_details, rankings, eliminations, awards, notifications, and audit_logs.</w:t>
      </w:r>
    </w:p>
    <w:p>
      <w:pPr>
        <w:jc w:val="center"/>
      </w:pPr>
      <w:r>
        <w:drawing>
          <wp:inline xmlns:a="http://schemas.openxmlformats.org/drawingml/2006/main" xmlns:pic="http://schemas.openxmlformats.org/drawingml/2006/picture">
            <wp:extent cx="5669280" cy="4741963"/>
            <wp:docPr id="14" name="Picture 14"/>
            <wp:cNvGraphicFramePr>
              <a:graphicFrameLocks noChangeAspect="1"/>
            </wp:cNvGraphicFramePr>
            <a:graphic>
              <a:graphicData uri="http://schemas.openxmlformats.org/drawingml/2006/picture">
                <pic:pic>
                  <pic:nvPicPr>
                    <pic:cNvPr id="0" name="10_Database_Diagram_ERD.png"/>
                    <pic:cNvPicPr/>
                  </pic:nvPicPr>
                  <pic:blipFill>
                    <a:blip r:embed="rId34"/>
                    <a:stretch>
                      <a:fillRect/>
                    </a:stretch>
                  </pic:blipFill>
                  <pic:spPr>
                    <a:xfrm>
                      <a:off x="0" y="0"/>
                      <a:ext cx="5669280" cy="4741963"/>
                    </a:xfrm>
                    <a:prstGeom prst="rect"/>
                  </pic:spPr>
                </pic:pic>
              </a:graphicData>
            </a:graphic>
          </wp:inline>
        </w:drawing>
      </w:r>
    </w:p>
    <w:p>
      <w:pPr>
        <w:jc w:val="center"/>
      </w:pPr>
      <w:r>
        <w:rPr>
          <w:i/>
          <w:sz w:val="18"/>
        </w:rPr>
        <w:t>Figure 14. Database ERD.</w:t>
      </w:r>
    </w:p>
    <w:p>
      <w:pPr>
        <w:pStyle w:val="Heading1"/>
      </w:pPr>
      <w:r>
        <w:t>V. Implementation</w:t>
      </w:r>
    </w:p>
    <w:p>
      <w:pPr>
        <w:pStyle w:val="Heading2"/>
      </w:pPr>
      <w:r>
        <w:t>V.1 Map architecture to the structure of the project</w:t>
      </w:r>
    </w:p>
    <w:tbl>
      <w:tblPr>
        <w:tblStyle w:val="TableGrid"/>
        <w:tblW w:type="auto" w:w="0"/>
        <w:tblLayout w:type="fixed"/>
        <w:tblLook w:firstColumn="1" w:firstRow="1" w:lastColumn="0" w:lastRow="0" w:noHBand="0" w:noVBand="1" w:val="04A0"/>
      </w:tblPr>
      <w:tblGrid>
        <w:gridCol w:w="3009"/>
        <w:gridCol w:w="3009"/>
        <w:gridCol w:w="3009"/>
      </w:tblGrid>
      <w:tr>
        <w:tc>
          <w:tcPr>
            <w:tcW w:type="dxa" w:w="1800"/>
            <w:vAlign w:val="center"/>
            <w:shd w:fill="E8EEF5"/>
          </w:tcPr>
          <w:p>
            <w:r>
              <w:rPr>
                <w:b/>
              </w:rPr>
              <w:t>Layer</w:t>
            </w:r>
          </w:p>
        </w:tc>
        <w:tc>
          <w:tcPr>
            <w:tcW w:type="dxa" w:w="2448"/>
            <w:vAlign w:val="center"/>
            <w:shd w:fill="E8EEF5"/>
          </w:tcPr>
          <w:p>
            <w:r>
              <w:rPr>
                <w:b/>
              </w:rPr>
              <w:t>Suggested Project Module</w:t>
            </w:r>
          </w:p>
        </w:tc>
        <w:tc>
          <w:tcPr>
            <w:tcW w:type="dxa" w:w="5112"/>
            <w:vAlign w:val="center"/>
            <w:shd w:fill="E8EEF5"/>
          </w:tcPr>
          <w:p>
            <w:r>
              <w:rPr>
                <w:b/>
              </w:rPr>
              <w:t>Responsibilities</w:t>
            </w:r>
          </w:p>
        </w:tc>
      </w:tr>
      <w:tr>
        <w:tc>
          <w:tcPr>
            <w:tcW w:type="dxa" w:w="1800"/>
            <w:vAlign w:val="center"/>
          </w:tcPr>
          <w:p>
            <w:r>
              <w:t>Presentation</w:t>
            </w:r>
          </w:p>
        </w:tc>
        <w:tc>
          <w:tcPr>
            <w:tcW w:type="dxa" w:w="2448"/>
            <w:vAlign w:val="center"/>
          </w:tcPr>
          <w:p>
            <w:r>
              <w:t>web / api</w:t>
            </w:r>
          </w:p>
        </w:tc>
        <w:tc>
          <w:tcPr>
            <w:tcW w:type="dxa" w:w="5112"/>
            <w:vAlign w:val="center"/>
          </w:tcPr>
          <w:p>
            <w:r>
              <w:t>Screens and endpoints for account approval, events, teams, submissions, judging, ranking, exports, and dashboards.</w:t>
            </w:r>
          </w:p>
        </w:tc>
      </w:tr>
      <w:tr>
        <w:tc>
          <w:tcPr>
            <w:tcW w:type="dxa" w:w="1800"/>
            <w:vAlign w:val="center"/>
          </w:tcPr>
          <w:p>
            <w:r>
              <w:t>Application</w:t>
            </w:r>
          </w:p>
        </w:tc>
        <w:tc>
          <w:tcPr>
            <w:tcW w:type="dxa" w:w="2448"/>
            <w:vAlign w:val="center"/>
          </w:tcPr>
          <w:p>
            <w:r>
              <w:t>services</w:t>
            </w:r>
          </w:p>
        </w:tc>
        <w:tc>
          <w:tcPr>
            <w:tcW w:type="dxa" w:w="5112"/>
            <w:vAlign w:val="center"/>
          </w:tcPr>
          <w:p>
            <w:r>
              <w:t>Use case orchestration, validation, transaction boundaries, and integration with GitHub/GitLab metadata APIs.</w:t>
            </w:r>
          </w:p>
        </w:tc>
      </w:tr>
      <w:tr>
        <w:tc>
          <w:tcPr>
            <w:tcW w:type="dxa" w:w="1800"/>
            <w:vAlign w:val="center"/>
          </w:tcPr>
          <w:p>
            <w:r>
              <w:t>Domain</w:t>
            </w:r>
          </w:p>
        </w:tc>
        <w:tc>
          <w:tcPr>
            <w:tcW w:type="dxa" w:w="2448"/>
            <w:vAlign w:val="center"/>
          </w:tcPr>
          <w:p>
            <w:r>
              <w:t>domain</w:t>
            </w:r>
          </w:p>
        </w:tc>
        <w:tc>
          <w:tcPr>
            <w:tcW w:type="dxa" w:w="5112"/>
            <w:vAlign w:val="center"/>
          </w:tcPr>
          <w:p>
            <w:r>
              <w:t>Entities, value objects, scoring rules, promotion rules, elimination policy, and award logic.</w:t>
            </w:r>
          </w:p>
        </w:tc>
      </w:tr>
      <w:tr>
        <w:tc>
          <w:tcPr>
            <w:tcW w:type="dxa" w:w="1800"/>
            <w:vAlign w:val="center"/>
          </w:tcPr>
          <w:p>
            <w:r>
              <w:t>Persistence</w:t>
            </w:r>
          </w:p>
        </w:tc>
        <w:tc>
          <w:tcPr>
            <w:tcW w:type="dxa" w:w="2448"/>
            <w:vAlign w:val="center"/>
          </w:tcPr>
          <w:p>
            <w:r>
              <w:t>repositories / data</w:t>
            </w:r>
          </w:p>
        </w:tc>
        <w:tc>
          <w:tcPr>
            <w:tcW w:type="dxa" w:w="5112"/>
            <w:vAlign w:val="center"/>
          </w:tcPr>
          <w:p>
            <w:r>
              <w:t>Database access for users, events, teams, submissions, evaluations, scores, rankings, and audit logs.</w:t>
            </w:r>
          </w:p>
        </w:tc>
      </w:tr>
      <w:tr>
        <w:tc>
          <w:tcPr>
            <w:tcW w:type="dxa" w:w="1800"/>
            <w:vAlign w:val="center"/>
          </w:tcPr>
          <w:p>
            <w:r>
              <w:t>Infrastructure</w:t>
            </w:r>
          </w:p>
        </w:tc>
        <w:tc>
          <w:tcPr>
            <w:tcW w:type="dxa" w:w="2448"/>
            <w:vAlign w:val="center"/>
          </w:tcPr>
          <w:p>
            <w:r>
              <w:t>integrations / jobs</w:t>
            </w:r>
          </w:p>
        </w:tc>
        <w:tc>
          <w:tcPr>
            <w:tcW w:type="dxa" w:w="5112"/>
            <w:vAlign w:val="center"/>
          </w:tcPr>
          <w:p>
            <w:r>
              <w:t>JWT, email/notification delivery, CSV/Excel export, metadata synchronization, and scheduled ranking tasks.</w:t>
            </w:r>
          </w:p>
        </w:tc>
      </w:tr>
    </w:tbl>
    <w:p/>
    <w:p>
      <w:pPr>
        <w:pStyle w:val="Heading2"/>
      </w:pPr>
      <w:r>
        <w:t>V.2 Map Class Diagram and Interaction Diagram to Code</w:t>
      </w:r>
    </w:p>
    <w:p>
      <w:r>
        <w:t>Each sequence diagram maps to an application service method. For example, UC-02 maps to SubmissionService.submitProject, UC-03 maps to EvaluationService.scoreSubmission, and UC-04 maps to RankingService.generateRoundRanking. Controllers validate request permissions and delegate business decisions to services, while repositories encapsulate database access.</w:t>
      </w:r>
    </w:p>
    <w:p>
      <w:pPr>
        <w:pStyle w:val="Heading1"/>
      </w:pPr>
      <w:r>
        <w:t>VI. Applying Alternative Architecture Patterns</w:t>
      </w:r>
    </w:p>
    <w:p>
      <w:pPr>
        <w:pStyle w:val="Heading2"/>
      </w:pPr>
      <w:r>
        <w:t>VI.1 Applying Service-Oriented Architecture (SOA)</w:t>
      </w:r>
    </w:p>
    <w:p>
      <w:r>
        <w:t>SEAL can evolve from a layered monolith into a service-oriented design by separating Identity Service, Event Service, Team Service, Submission Service, Evaluation Service, Ranking Service, Reporting Service, and Notification Service. This pattern is useful when different competition workflows need to scale independently or be maintained by separate teams.</w:t>
      </w:r>
    </w:p>
    <w:p>
      <w:pPr>
        <w:pStyle w:val="ListParagraph"/>
      </w:pPr>
      <w:r>
        <w:t>• Identity Service owns user registration, account approval, roles, JWT, and guest judge accounts.</w:t>
      </w:r>
    </w:p>
    <w:p>
      <w:pPr>
        <w:pStyle w:val="ListParagraph"/>
      </w:pPr>
      <w:r>
        <w:t>• Event Service owns event, round, category, criteria, mentor, and judge-assignment configuration.</w:t>
      </w:r>
    </w:p>
    <w:p>
      <w:pPr>
        <w:pStyle w:val="ListParagraph"/>
      </w:pPr>
      <w:r>
        <w:t>• Submission and Evaluation Services own round artifacts and criterion-level scoring records.</w:t>
      </w:r>
    </w:p>
    <w:p>
      <w:pPr>
        <w:pStyle w:val="ListParagraph"/>
      </w:pPr>
      <w:r>
        <w:t>• Ranking and Reporting Services own aggregation, promotion, awards, exports, and RBL datasets.</w:t>
      </w:r>
    </w:p>
    <w:p>
      <w:pPr>
        <w:pStyle w:val="Heading2"/>
      </w:pPr>
      <w:r>
        <w:t>VI.2 Applying Service Discovery Pattern in the service-oriented architecture</w:t>
      </w:r>
    </w:p>
    <w:p>
      <w:r>
        <w:t>If the system is deployed as multiple services, service discovery allows API gateway and backend services to locate available service instances dynamically. For the course project scope, a modular layered architecture is sufficient; service discovery is an optional future extension for larger deployments.</w:t>
      </w:r>
    </w:p>
    <w:p>
      <w:pPr>
        <w:pStyle w:val="Heading1"/>
      </w:pPr>
      <w:r>
        <w:t>VII. Conclusion</w:t>
      </w:r>
    </w:p>
    <w:p>
      <w:r>
        <w:t>The SEAL Hackathon Management System provides an end-to-end platform for managing Software Engineering hackathon events. By combining event configuration, team registration, submission management, judge evaluation, automated ranking, audit logging, and exportable research datasets, the system reduces manual coordination effort and improves transparency of competition results.</w:t>
      </w:r>
    </w:p>
    <w:sectPr w:rsidR="00A1469D" w:rsidRPr="00A1469D" w:rsidSect="00155E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w:altName w:val="Segoe UI"/>
    <w:charset w:val="00"/>
    <w:family w:val="swiss"/>
    <w:pitch w:val="variable"/>
    <w:sig w:usb0="00000001" w:usb1="4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E77510"/>
    <w:multiLevelType w:val="hybridMultilevel"/>
    <w:tmpl w:val="2F30940A"/>
    <w:lvl w:ilvl="0" w:tplc="D42EA93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E8671C"/>
    <w:multiLevelType w:val="hybridMultilevel"/>
    <w:tmpl w:val="DACC827A"/>
    <w:lvl w:ilvl="0" w:tplc="538C9A1E">
      <w:start w:val="1"/>
      <w:numFmt w:val="upperRoman"/>
      <w:pStyle w:val="Tam"/>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09841B0"/>
    <w:multiLevelType w:val="multilevel"/>
    <w:tmpl w:val="9F5CFA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317F44"/>
    <w:multiLevelType w:val="multilevel"/>
    <w:tmpl w:val="2A0EA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9040D1"/>
    <w:multiLevelType w:val="hybridMultilevel"/>
    <w:tmpl w:val="9AB6BB6E"/>
    <w:lvl w:ilvl="0" w:tplc="D2FA79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FA0480"/>
    <w:multiLevelType w:val="hybridMultilevel"/>
    <w:tmpl w:val="9AB6BB6E"/>
    <w:lvl w:ilvl="0" w:tplc="D2FA79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104BD2"/>
    <w:multiLevelType w:val="hybridMultilevel"/>
    <w:tmpl w:val="A7E48AB6"/>
    <w:lvl w:ilvl="0" w:tplc="EB0CAACA">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6D47C1"/>
    <w:multiLevelType w:val="hybridMultilevel"/>
    <w:tmpl w:val="B0F40BAA"/>
    <w:lvl w:ilvl="0" w:tplc="CAA6D0B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BF6D3C"/>
    <w:multiLevelType w:val="multilevel"/>
    <w:tmpl w:val="E722B6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6556E8"/>
    <w:multiLevelType w:val="multilevel"/>
    <w:tmpl w:val="7FA092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7D3535"/>
    <w:multiLevelType w:val="multilevel"/>
    <w:tmpl w:val="E654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6E157E"/>
    <w:multiLevelType w:val="multilevel"/>
    <w:tmpl w:val="797E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BB6DAC"/>
    <w:multiLevelType w:val="hybridMultilevel"/>
    <w:tmpl w:val="80D4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1A2136"/>
    <w:multiLevelType w:val="hybridMultilevel"/>
    <w:tmpl w:val="7D3838C2"/>
    <w:lvl w:ilvl="0" w:tplc="3D962D72">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4"/>
  </w:num>
  <w:num w:numId="2">
    <w:abstractNumId w:val="13"/>
  </w:num>
  <w:num w:numId="3">
    <w:abstractNumId w:val="0"/>
  </w:num>
  <w:num w:numId="4">
    <w:abstractNumId w:val="1"/>
  </w:num>
  <w:num w:numId="5">
    <w:abstractNumId w:val="0"/>
    <w:lvlOverride w:ilvl="0">
      <w:startOverride w:val="1"/>
    </w:lvlOverride>
  </w:num>
  <w:num w:numId="6">
    <w:abstractNumId w:val="12"/>
  </w:num>
  <w:num w:numId="7">
    <w:abstractNumId w:val="11"/>
  </w:num>
  <w:num w:numId="8">
    <w:abstractNumId w:val="3"/>
  </w:num>
  <w:num w:numId="9">
    <w:abstractNumId w:val="6"/>
  </w:num>
  <w:num w:numId="10">
    <w:abstractNumId w:val="10"/>
  </w:num>
  <w:num w:numId="11">
    <w:abstractNumId w:val="2"/>
  </w:num>
  <w:num w:numId="12">
    <w:abstractNumId w:val="7"/>
  </w:num>
  <w:num w:numId="13">
    <w:abstractNumId w:val="9"/>
  </w:num>
  <w:num w:numId="14">
    <w:abstractNumId w:val="4"/>
  </w:num>
  <w:num w:numId="15">
    <w:abstractNumId w:val="8"/>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4E27"/>
    <w:rsid w:val="00011832"/>
    <w:rsid w:val="000132D0"/>
    <w:rsid w:val="00051EC7"/>
    <w:rsid w:val="00084244"/>
    <w:rsid w:val="000A5FE8"/>
    <w:rsid w:val="000A79E7"/>
    <w:rsid w:val="000B4EA5"/>
    <w:rsid w:val="000C6BDC"/>
    <w:rsid w:val="00102510"/>
    <w:rsid w:val="001174BD"/>
    <w:rsid w:val="0012505A"/>
    <w:rsid w:val="0015116B"/>
    <w:rsid w:val="00155E22"/>
    <w:rsid w:val="001569F3"/>
    <w:rsid w:val="00172595"/>
    <w:rsid w:val="00173934"/>
    <w:rsid w:val="001B3BEB"/>
    <w:rsid w:val="001C28A5"/>
    <w:rsid w:val="001C4960"/>
    <w:rsid w:val="001D05D1"/>
    <w:rsid w:val="001E67CE"/>
    <w:rsid w:val="001F18D5"/>
    <w:rsid w:val="001F43A7"/>
    <w:rsid w:val="00237678"/>
    <w:rsid w:val="00242AE1"/>
    <w:rsid w:val="002500C5"/>
    <w:rsid w:val="00252176"/>
    <w:rsid w:val="00255126"/>
    <w:rsid w:val="00257E5E"/>
    <w:rsid w:val="002A4D9B"/>
    <w:rsid w:val="002C054B"/>
    <w:rsid w:val="00336411"/>
    <w:rsid w:val="003500E9"/>
    <w:rsid w:val="0035088D"/>
    <w:rsid w:val="00351120"/>
    <w:rsid w:val="003C3CC2"/>
    <w:rsid w:val="003C6AFA"/>
    <w:rsid w:val="003D4D0A"/>
    <w:rsid w:val="003F2D96"/>
    <w:rsid w:val="003F79EA"/>
    <w:rsid w:val="00424FD3"/>
    <w:rsid w:val="00436ECB"/>
    <w:rsid w:val="00440339"/>
    <w:rsid w:val="0046756B"/>
    <w:rsid w:val="0047367F"/>
    <w:rsid w:val="004B52B5"/>
    <w:rsid w:val="004B535E"/>
    <w:rsid w:val="004E2BD0"/>
    <w:rsid w:val="00504AE8"/>
    <w:rsid w:val="00533250"/>
    <w:rsid w:val="00547B5A"/>
    <w:rsid w:val="00556EF7"/>
    <w:rsid w:val="00571828"/>
    <w:rsid w:val="00592153"/>
    <w:rsid w:val="00593E6F"/>
    <w:rsid w:val="005940A6"/>
    <w:rsid w:val="0061148F"/>
    <w:rsid w:val="006C2607"/>
    <w:rsid w:val="006C34E4"/>
    <w:rsid w:val="007257A6"/>
    <w:rsid w:val="0073351F"/>
    <w:rsid w:val="00736CF9"/>
    <w:rsid w:val="0079695F"/>
    <w:rsid w:val="007B4BFA"/>
    <w:rsid w:val="007D73E6"/>
    <w:rsid w:val="007E6244"/>
    <w:rsid w:val="00816771"/>
    <w:rsid w:val="008312FF"/>
    <w:rsid w:val="00832C26"/>
    <w:rsid w:val="008A74B5"/>
    <w:rsid w:val="008B5483"/>
    <w:rsid w:val="008B5CC8"/>
    <w:rsid w:val="00905F79"/>
    <w:rsid w:val="0090703F"/>
    <w:rsid w:val="00922652"/>
    <w:rsid w:val="00922A14"/>
    <w:rsid w:val="009276FD"/>
    <w:rsid w:val="009407B0"/>
    <w:rsid w:val="00940C2D"/>
    <w:rsid w:val="0097089C"/>
    <w:rsid w:val="009C0C67"/>
    <w:rsid w:val="009C7787"/>
    <w:rsid w:val="00A0058F"/>
    <w:rsid w:val="00A03C92"/>
    <w:rsid w:val="00A1469D"/>
    <w:rsid w:val="00A6179F"/>
    <w:rsid w:val="00A976AB"/>
    <w:rsid w:val="00AF3745"/>
    <w:rsid w:val="00B44E27"/>
    <w:rsid w:val="00B72539"/>
    <w:rsid w:val="00B913A9"/>
    <w:rsid w:val="00BD68AC"/>
    <w:rsid w:val="00C4061E"/>
    <w:rsid w:val="00C843B6"/>
    <w:rsid w:val="00C87F08"/>
    <w:rsid w:val="00C90AE2"/>
    <w:rsid w:val="00D03948"/>
    <w:rsid w:val="00D06A01"/>
    <w:rsid w:val="00D2314E"/>
    <w:rsid w:val="00D41904"/>
    <w:rsid w:val="00D713CD"/>
    <w:rsid w:val="00DA2C4A"/>
    <w:rsid w:val="00DC60D0"/>
    <w:rsid w:val="00E256FB"/>
    <w:rsid w:val="00E30D61"/>
    <w:rsid w:val="00E31F7F"/>
    <w:rsid w:val="00E84810"/>
    <w:rsid w:val="00E86F0B"/>
    <w:rsid w:val="00F038E5"/>
    <w:rsid w:val="00F27669"/>
    <w:rsid w:val="00F5200D"/>
    <w:rsid w:val="00F5273A"/>
    <w:rsid w:val="00F666C4"/>
    <w:rsid w:val="00FB60AE"/>
    <w:rsid w:val="00FC4EE6"/>
    <w:rsid w:val="00FC5BFF"/>
    <w:rsid w:val="00FF5E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246E9"/>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469D"/>
    <w:pPr>
      <w:spacing w:after="120" w:line="264" w:lineRule="auto"/>
    </w:pPr>
    <w:rPr>
      <w:rFonts w:ascii="Calibri" w:eastAsia="Times New Roman" w:hAnsi="Calibri" w:cs="Times New Roman"/>
      <w:sz w:val="22"/>
      <w:szCs w:val="24"/>
      <w:lang w:val="en-US"/>
    </w:rPr>
  </w:style>
  <w:style w:type="paragraph" w:styleId="Heading1">
    <w:name w:val="heading 1"/>
    <w:basedOn w:val="Normal"/>
    <w:next w:val="Normal"/>
    <w:link w:val="Heading1Char"/>
    <w:autoRedefine/>
    <w:uiPriority w:val="9"/>
    <w:qFormat/>
    <w:rsid w:val="00257E5E"/>
    <w:pPr>
      <w:keepNext/>
      <w:keepLines/>
      <w:spacing w:before="320" w:after="160"/>
      <w:outlineLvl w:val="0"/>
    </w:pPr>
    <w:rPr>
      <w:rFonts w:asciiTheme="majorHAnsi" w:eastAsiaTheme="majorEastAsia" w:hAnsiTheme="majorHAnsi" w:cstheme="majorBidi" w:ascii="Calibri" w:hAnsi="Calibri"/>
      <w:b/>
      <w:color w:val="2E74B5"/>
      <w:sz w:val="32"/>
      <w:szCs w:val="32"/>
    </w:rPr>
  </w:style>
  <w:style w:type="paragraph" w:styleId="Heading2">
    <w:name w:val="heading 2"/>
    <w:basedOn w:val="Normal"/>
    <w:next w:val="Tam"/>
    <w:link w:val="Heading2Char"/>
    <w:autoRedefine/>
    <w:uiPriority w:val="9"/>
    <w:unhideWhenUsed/>
    <w:qFormat/>
    <w:rsid w:val="007E6244"/>
    <w:pPr>
      <w:keepNext/>
      <w:keepLines/>
      <w:spacing w:before="240" w:after="120"/>
      <w:outlineLvl w:val="1"/>
    </w:pPr>
    <w:rPr>
      <w:rFonts w:eastAsiaTheme="majorEastAsia" w:ascii="Calibri" w:hAnsi="Calibri"/>
      <w:b/>
      <w:i/>
      <w:color w:val="2E74B5"/>
      <w:sz w:val="26"/>
      <w:szCs w:val="26"/>
    </w:rPr>
  </w:style>
  <w:style w:type="paragraph" w:styleId="Heading3">
    <w:name w:val="heading 3"/>
    <w:basedOn w:val="Normal"/>
    <w:next w:val="Normal"/>
    <w:link w:val="Heading3Char"/>
    <w:autoRedefine/>
    <w:uiPriority w:val="9"/>
    <w:unhideWhenUsed/>
    <w:qFormat/>
    <w:rsid w:val="007E6244"/>
    <w:pPr>
      <w:keepNext/>
      <w:keepLines/>
      <w:spacing w:before="160" w:after="80"/>
      <w:outlineLvl w:val="2"/>
    </w:pPr>
    <w:rPr>
      <w:rFonts w:eastAsiaTheme="majorEastAsia" w:ascii="Calibri" w:hAnsi="Calibri"/>
      <w:b/>
      <w:i/>
      <w:color w:val="1F4D78"/>
      <w:sz w:val="24"/>
    </w:rPr>
  </w:style>
  <w:style w:type="paragraph" w:styleId="Heading4">
    <w:name w:val="heading 4"/>
    <w:basedOn w:val="Normal"/>
    <w:next w:val="Normal"/>
    <w:link w:val="Heading4Char"/>
    <w:autoRedefine/>
    <w:uiPriority w:val="9"/>
    <w:unhideWhenUsed/>
    <w:qFormat/>
    <w:rsid w:val="002500C5"/>
    <w:pPr>
      <w:keepNext/>
      <w:keepLines/>
      <w:spacing w:before="40"/>
      <w:outlineLvl w:val="3"/>
    </w:pPr>
    <w:rPr>
      <w:rFonts w:asciiTheme="majorHAnsi" w:eastAsiaTheme="majorEastAsia" w:hAnsiTheme="majorHAnsi" w:cstheme="majorBidi"/>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61148F"/>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7E6244"/>
    <w:rPr>
      <w:rFonts w:ascii="Times New Roman" w:eastAsiaTheme="majorEastAsia" w:hAnsi="Times New Roman" w:cs="Times New Roman"/>
      <w:b/>
      <w:i/>
      <w:color w:val="000000" w:themeColor="text1"/>
      <w:sz w:val="26"/>
      <w:szCs w:val="26"/>
      <w:lang w:val="en-US"/>
    </w:rPr>
  </w:style>
  <w:style w:type="character" w:customStyle="1" w:styleId="Heading3Char">
    <w:name w:val="Heading 3 Char"/>
    <w:basedOn w:val="DefaultParagraphFont"/>
    <w:link w:val="Heading3"/>
    <w:uiPriority w:val="9"/>
    <w:rsid w:val="007E6244"/>
    <w:rPr>
      <w:rFonts w:ascii="Times New Roman" w:eastAsiaTheme="majorEastAsia" w:hAnsi="Times New Roman" w:cs="Times New Roman"/>
      <w:i/>
      <w:sz w:val="24"/>
      <w:szCs w:val="24"/>
      <w:lang w:val="en-US"/>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character" w:customStyle="1" w:styleId="Heading4Char">
    <w:name w:val="Heading 4 Char"/>
    <w:basedOn w:val="DefaultParagraphFont"/>
    <w:link w:val="Heading4"/>
    <w:uiPriority w:val="9"/>
    <w:rsid w:val="002500C5"/>
    <w:rPr>
      <w:rFonts w:asciiTheme="majorHAnsi" w:eastAsiaTheme="majorEastAsia" w:hAnsiTheme="majorHAnsi" w:cstheme="majorBidi"/>
      <w:b/>
      <w:i/>
      <w:iCs/>
    </w:rPr>
  </w:style>
  <w:style w:type="paragraph" w:styleId="List">
    <w:name w:val="List"/>
    <w:basedOn w:val="Normal"/>
    <w:semiHidden/>
    <w:rsid w:val="00011832"/>
    <w:pPr>
      <w:spacing w:after="120" w:line="240" w:lineRule="exact"/>
      <w:ind w:left="630" w:hanging="630"/>
    </w:pPr>
    <w:rPr>
      <w:szCs w:val="20"/>
    </w:rPr>
  </w:style>
  <w:style w:type="paragraph" w:customStyle="1" w:styleId="Fig-Graphic">
    <w:name w:val="Fig-Graphic"/>
    <w:basedOn w:val="Normal"/>
    <w:next w:val="Normal"/>
    <w:qFormat/>
    <w:rsid w:val="00011832"/>
    <w:pPr>
      <w:widowControl w:val="0"/>
      <w:suppressAutoHyphens/>
      <w:autoSpaceDE w:val="0"/>
      <w:autoSpaceDN w:val="0"/>
      <w:adjustRightInd w:val="0"/>
      <w:spacing w:before="180" w:after="80" w:line="240" w:lineRule="atLeast"/>
      <w:ind w:left="480"/>
      <w:textAlignment w:val="baseline"/>
    </w:pPr>
    <w:rPr>
      <w:rFonts w:ascii="Segoe" w:eastAsiaTheme="minorEastAsia" w:hAnsi="Segoe" w:cs="Segoe"/>
      <w:iCs/>
      <w:color w:val="000000"/>
      <w:sz w:val="18"/>
      <w:szCs w:val="19"/>
    </w:rPr>
  </w:style>
  <w:style w:type="character" w:customStyle="1" w:styleId="FigNum">
    <w:name w:val="Fig Num"/>
    <w:uiPriority w:val="8"/>
    <w:rsid w:val="00011832"/>
    <w:rPr>
      <w:b/>
      <w:bCs/>
      <w:caps/>
      <w:sz w:val="15"/>
      <w:szCs w:val="15"/>
    </w:rPr>
  </w:style>
  <w:style w:type="paragraph" w:customStyle="1" w:styleId="TableTextsmall">
    <w:name w:val="Table Text small"/>
    <w:basedOn w:val="Normal"/>
    <w:rsid w:val="00F27669"/>
    <w:pPr>
      <w:keepNext/>
      <w:keepLines/>
      <w:spacing w:before="20" w:after="20" w:line="240" w:lineRule="exact"/>
      <w:ind w:left="95"/>
    </w:pPr>
    <w:rPr>
      <w:rFonts w:ascii="Arial" w:hAnsi="Arial"/>
      <w:sz w:val="18"/>
      <w:szCs w:val="18"/>
    </w:rPr>
  </w:style>
  <w:style w:type="paragraph" w:customStyle="1" w:styleId="TableHead">
    <w:name w:val="Table Head"/>
    <w:basedOn w:val="Heading3"/>
    <w:next w:val="Normal"/>
    <w:rsid w:val="00F27669"/>
    <w:pPr>
      <w:spacing w:before="60" w:after="60" w:line="240" w:lineRule="exact"/>
      <w:jc w:val="center"/>
      <w:outlineLvl w:val="9"/>
    </w:pPr>
    <w:rPr>
      <w:rFonts w:ascii="Arial" w:eastAsia="Times New Roman" w:hAnsi="Arial"/>
      <w:sz w:val="22"/>
      <w:szCs w:val="22"/>
    </w:rPr>
  </w:style>
  <w:style w:type="paragraph" w:styleId="TOCHeading">
    <w:name w:val="TOC Heading"/>
    <w:basedOn w:val="Heading1"/>
    <w:next w:val="Normal"/>
    <w:uiPriority w:val="39"/>
    <w:unhideWhenUsed/>
    <w:qFormat/>
    <w:rsid w:val="00E86F0B"/>
    <w:pPr>
      <w:outlineLvl w:val="9"/>
    </w:pPr>
    <w:rPr>
      <w:b w:val="0"/>
      <w:color w:val="2E74B5" w:themeColor="accent1" w:themeShade="BF"/>
    </w:rPr>
  </w:style>
  <w:style w:type="paragraph" w:styleId="TOC1">
    <w:name w:val="toc 1"/>
    <w:basedOn w:val="Normal"/>
    <w:next w:val="Normal"/>
    <w:autoRedefine/>
    <w:uiPriority w:val="39"/>
    <w:unhideWhenUsed/>
    <w:rsid w:val="00E86F0B"/>
    <w:pPr>
      <w:spacing w:after="100"/>
    </w:pPr>
  </w:style>
  <w:style w:type="paragraph" w:styleId="TOC2">
    <w:name w:val="toc 2"/>
    <w:basedOn w:val="Normal"/>
    <w:next w:val="Normal"/>
    <w:autoRedefine/>
    <w:uiPriority w:val="39"/>
    <w:unhideWhenUsed/>
    <w:rsid w:val="00E86F0B"/>
    <w:pPr>
      <w:spacing w:after="100"/>
      <w:ind w:left="220"/>
    </w:pPr>
  </w:style>
  <w:style w:type="paragraph" w:styleId="TOC3">
    <w:name w:val="toc 3"/>
    <w:basedOn w:val="Normal"/>
    <w:next w:val="Normal"/>
    <w:autoRedefine/>
    <w:uiPriority w:val="39"/>
    <w:unhideWhenUsed/>
    <w:rsid w:val="00E86F0B"/>
    <w:pPr>
      <w:spacing w:after="100"/>
      <w:ind w:left="440"/>
    </w:pPr>
  </w:style>
  <w:style w:type="paragraph" w:customStyle="1" w:styleId="Bang">
    <w:name w:val="Bang"/>
    <w:basedOn w:val="Normal"/>
    <w:autoRedefine/>
    <w:rsid w:val="00C90AE2"/>
    <w:pPr>
      <w:spacing w:before="80" w:after="80"/>
    </w:pPr>
    <w:rPr>
      <w:rFonts w:ascii="Tahoma" w:hAnsi="Tahoma" w:cs="Tahoma"/>
      <w:sz w:val="18"/>
      <w:szCs w:val="18"/>
    </w:rPr>
  </w:style>
  <w:style w:type="paragraph" w:customStyle="1" w:styleId="HeadingLv1">
    <w:name w:val="Heading Lv1"/>
    <w:basedOn w:val="Normal"/>
    <w:autoRedefine/>
    <w:rsid w:val="00C90AE2"/>
    <w:pPr>
      <w:widowControl w:val="0"/>
      <w:spacing w:before="120" w:after="60"/>
      <w:jc w:val="center"/>
    </w:pPr>
    <w:rPr>
      <w:rFonts w:ascii="Tahoma" w:hAnsi="Tahoma" w:cs="Tahoma"/>
      <w:b/>
      <w:snapToGrid w:val="0"/>
      <w:color w:val="6E2500"/>
      <w:sz w:val="20"/>
      <w:szCs w:val="20"/>
    </w:rPr>
  </w:style>
  <w:style w:type="paragraph" w:styleId="NoSpacing">
    <w:name w:val="No Spacing"/>
    <w:uiPriority w:val="1"/>
    <w:qFormat/>
    <w:rsid w:val="0061148F"/>
    <w:pPr>
      <w:spacing w:after="0" w:line="240" w:lineRule="auto"/>
    </w:pPr>
  </w:style>
  <w:style w:type="character" w:customStyle="1" w:styleId="fontstyle01">
    <w:name w:val="fontstyle01"/>
    <w:basedOn w:val="DefaultParagraphFont"/>
    <w:rsid w:val="0061148F"/>
    <w:rPr>
      <w:rFonts w:ascii="TimesNewRomanPS-BoldMT" w:hAnsi="TimesNewRomanPS-BoldMT" w:hint="default"/>
      <w:b/>
      <w:bCs/>
      <w:i w:val="0"/>
      <w:iCs w:val="0"/>
      <w:color w:val="000000"/>
      <w:sz w:val="28"/>
      <w:szCs w:val="28"/>
    </w:rPr>
  </w:style>
  <w:style w:type="character" w:customStyle="1" w:styleId="fontstyle11">
    <w:name w:val="fontstyle11"/>
    <w:basedOn w:val="DefaultParagraphFont"/>
    <w:rsid w:val="0061148F"/>
    <w:rPr>
      <w:rFonts w:ascii="TimesNewRomanPSMT" w:hAnsi="TimesNewRomanPSMT" w:hint="default"/>
      <w:b w:val="0"/>
      <w:bCs w:val="0"/>
      <w:i w:val="0"/>
      <w:iCs w:val="0"/>
      <w:color w:val="000000"/>
      <w:sz w:val="24"/>
      <w:szCs w:val="24"/>
    </w:rPr>
  </w:style>
  <w:style w:type="paragraph" w:customStyle="1" w:styleId="Tam">
    <w:name w:val="Tam"/>
    <w:basedOn w:val="Heading1"/>
    <w:qFormat/>
    <w:rsid w:val="00257E5E"/>
    <w:pPr>
      <w:numPr>
        <w:numId w:val="4"/>
      </w:numPr>
    </w:p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F038E5"/>
  </w:style>
  <w:style w:type="character" w:styleId="Strong">
    <w:name w:val="Strong"/>
    <w:basedOn w:val="DefaultParagraphFont"/>
    <w:uiPriority w:val="22"/>
    <w:qFormat/>
    <w:rsid w:val="00F038E5"/>
    <w:rPr>
      <w:b/>
      <w:bCs/>
    </w:rPr>
  </w:style>
  <w:style w:type="paragraph" w:styleId="BodyText">
    <w:name w:val="Body Text"/>
    <w:basedOn w:val="Normal"/>
    <w:link w:val="BodyTextChar"/>
    <w:rsid w:val="00F038E5"/>
    <w:pPr>
      <w:spacing w:after="120" w:line="264" w:lineRule="auto"/>
    </w:pPr>
    <w:rPr>
      <w:rFonts w:ascii="Calibri" w:hAnsi="Calibri"/>
      <w:sz w:val="22"/>
      <w:szCs w:val="20"/>
    </w:rPr>
  </w:style>
  <w:style w:type="character" w:customStyle="1" w:styleId="BodyTextChar">
    <w:name w:val="Body Text Char"/>
    <w:basedOn w:val="DefaultParagraphFont"/>
    <w:link w:val="BodyText"/>
    <w:rsid w:val="00F038E5"/>
    <w:rPr>
      <w:rFonts w:ascii="Times New Roman" w:eastAsia="Times New Roman" w:hAnsi="Times New Roman" w:cs="Times New Roman"/>
      <w:szCs w:val="20"/>
      <w:lang w:val="en-US"/>
    </w:rPr>
  </w:style>
  <w:style w:type="character" w:styleId="HTMLCode">
    <w:name w:val="HTML Code"/>
    <w:basedOn w:val="DefaultParagraphFont"/>
    <w:uiPriority w:val="99"/>
    <w:semiHidden/>
    <w:unhideWhenUsed/>
    <w:rsid w:val="00F5273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7690578">
      <w:bodyDiv w:val="1"/>
      <w:marLeft w:val="0"/>
      <w:marRight w:val="0"/>
      <w:marTop w:val="0"/>
      <w:marBottom w:val="0"/>
      <w:divBdr>
        <w:top w:val="none" w:sz="0" w:space="0" w:color="auto"/>
        <w:left w:val="none" w:sz="0" w:space="0" w:color="auto"/>
        <w:bottom w:val="none" w:sz="0" w:space="0" w:color="auto"/>
        <w:right w:val="none" w:sz="0" w:space="0" w:color="auto"/>
      </w:divBdr>
    </w:div>
    <w:div w:id="332530256">
      <w:bodyDiv w:val="1"/>
      <w:marLeft w:val="0"/>
      <w:marRight w:val="0"/>
      <w:marTop w:val="0"/>
      <w:marBottom w:val="0"/>
      <w:divBdr>
        <w:top w:val="none" w:sz="0" w:space="0" w:color="auto"/>
        <w:left w:val="none" w:sz="0" w:space="0" w:color="auto"/>
        <w:bottom w:val="none" w:sz="0" w:space="0" w:color="auto"/>
        <w:right w:val="none" w:sz="0" w:space="0" w:color="auto"/>
      </w:divBdr>
    </w:div>
    <w:div w:id="782774268">
      <w:bodyDiv w:val="1"/>
      <w:marLeft w:val="0"/>
      <w:marRight w:val="0"/>
      <w:marTop w:val="0"/>
      <w:marBottom w:val="0"/>
      <w:divBdr>
        <w:top w:val="none" w:sz="0" w:space="0" w:color="auto"/>
        <w:left w:val="none" w:sz="0" w:space="0" w:color="auto"/>
        <w:bottom w:val="none" w:sz="0" w:space="0" w:color="auto"/>
        <w:right w:val="none" w:sz="0" w:space="0" w:color="auto"/>
      </w:divBdr>
    </w:div>
    <w:div w:id="862328679">
      <w:bodyDiv w:val="1"/>
      <w:marLeft w:val="0"/>
      <w:marRight w:val="0"/>
      <w:marTop w:val="0"/>
      <w:marBottom w:val="0"/>
      <w:divBdr>
        <w:top w:val="none" w:sz="0" w:space="0" w:color="auto"/>
        <w:left w:val="none" w:sz="0" w:space="0" w:color="auto"/>
        <w:bottom w:val="none" w:sz="0" w:space="0" w:color="auto"/>
        <w:right w:val="none" w:sz="0" w:space="0" w:color="auto"/>
      </w:divBdr>
    </w:div>
    <w:div w:id="1165706578">
      <w:bodyDiv w:val="1"/>
      <w:marLeft w:val="0"/>
      <w:marRight w:val="0"/>
      <w:marTop w:val="0"/>
      <w:marBottom w:val="0"/>
      <w:divBdr>
        <w:top w:val="none" w:sz="0" w:space="0" w:color="auto"/>
        <w:left w:val="none" w:sz="0" w:space="0" w:color="auto"/>
        <w:bottom w:val="none" w:sz="0" w:space="0" w:color="auto"/>
        <w:right w:val="none" w:sz="0" w:space="0" w:color="auto"/>
      </w:divBdr>
    </w:div>
    <w:div w:id="1618103273">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package" Target="embeddings/Microsoft_Visio_Drawing1.vsdx"/><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image" Target="media/image8.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540A46-C1EE-4AE7-8977-759DEBFCF2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15</Pages>
  <Words>2495</Words>
  <Characters>14225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VuLNS</cp:lastModifiedBy>
  <cp:revision>6</cp:revision>
  <dcterms:created xsi:type="dcterms:W3CDTF">2025-04-09T08:44:00Z</dcterms:created>
  <dcterms:modified xsi:type="dcterms:W3CDTF">2026-01-05T03:38:00Z</dcterms:modified>
</cp:coreProperties>
</file>