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永辉超市 (601933.SH) 股票分析报告</w:t>
      </w:r>
    </w:p>
    <w:p>
      <w:pPr>
        <w:spacing w:after="200"/>
        <w:jc w:val="right"/>
      </w:pPr>
      <w:r>
        <w:t xml:space="preserve">报告日期：2026 年 3 月 2 日</w:t>
      </w:r>
    </w:p>
    <w:p>
      <w:pPr>
        <w:pStyle w:val="Heading1"/>
        <w:spacing w:after="200" w:before="400"/>
      </w:pPr>
      <w:r>
        <w:t xml:space="preserve">核心数据概览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当前股价</w:t>
            </w:r>
          </w:p>
        </w:tc>
        <w:tc>
          <w:p>
            <w:r>
              <w:t xml:space="preserve">约 4.25 元</w:t>
            </w:r>
          </w:p>
        </w:tc>
      </w:tr>
      <w:tr>
        <w:tc>
          <w:p>
            <w:r>
              <w:t xml:space="preserve">市值</w:t>
            </w:r>
          </w:p>
        </w:tc>
        <w:tc>
          <w:p>
            <w:r>
              <w:t xml:space="preserve">约 379 亿元</w:t>
            </w:r>
          </w:p>
        </w:tc>
      </w:tr>
      <w:tr>
        <w:tc>
          <w:p>
            <w:r>
              <w:t xml:space="preserve">1 年涨跌幅</w:t>
            </w:r>
          </w:p>
        </w:tc>
        <w:tc>
          <w:p>
            <w:r>
              <w:t xml:space="preserve">-20.26%</w:t>
            </w:r>
          </w:p>
        </w:tc>
      </w:tr>
      <w:tr>
        <w:tc>
          <w:p>
            <w:r>
              <w:t xml:space="preserve">动态市盈率</w:t>
            </w:r>
          </w:p>
        </w:tc>
        <w:tc>
          <w:p>
            <w:r>
              <w:t xml:space="preserve">-45.16（亏损状态）</w:t>
            </w:r>
          </w:p>
        </w:tc>
      </w:tr>
      <w:tr>
        <w:tc>
          <w:p>
            <w:r>
              <w:t xml:space="preserve">动态市净率</w:t>
            </w:r>
          </w:p>
        </w:tc>
        <w:tc>
          <w:p>
            <w:r>
              <w:t xml:space="preserve">11.57</w:t>
            </w:r>
          </w:p>
        </w:tc>
      </w:tr>
    </w:tbl>
    <w:p>
      <w:pPr>
        <w:pStyle w:val="Heading1"/>
        <w:spacing w:after="200" w:before="400"/>
      </w:pPr>
      <w:r>
        <w:t xml:space="preserve">一、公司概况</w:t>
      </w:r>
    </w:p>
    <w:p>
      <w:r>
        <w:t xml:space="preserve">永辉超市是中国领先的连锁超市龙头企业，曾被誉为'超市一哥'。公司正在进行重大战略调整，从'规模扩张'转向'质量增长'，重新定位'新永辉、新品质'的战略发展方向。</w:t>
      </w:r>
    </w:p>
    <w:p>
      <w:pPr>
        <w:pStyle w:val="Heading1"/>
        <w:spacing w:after="200" w:before="400"/>
      </w:pPr>
      <w:r>
        <w:t xml:space="preserve">二、财务数据分析</w:t>
      </w:r>
    </w:p>
    <w:p>
      <w:pPr>
        <w:pStyle w:val="Heading2"/>
        <w:spacing w:after="100" w:before="200"/>
      </w:pPr>
      <w:r>
        <w:t xml:space="preserve">2.1 业绩表现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年度</w:t>
            </w:r>
          </w:p>
        </w:tc>
        <w:tc>
          <w:p>
            <w:r>
              <w:t xml:space="preserve">归母净利润（亿元）</w:t>
            </w:r>
          </w:p>
        </w:tc>
        <w:tc>
          <w:p>
            <w:r>
              <w:t xml:space="preserve">状态</w:t>
            </w:r>
          </w:p>
        </w:tc>
      </w:tr>
      <w:tr>
        <w:tc>
          <w:p>
            <w:r>
              <w:t xml:space="preserve">2022</w:t>
            </w:r>
          </w:p>
        </w:tc>
        <w:tc>
          <w:p>
            <w:r>
              <w:t xml:space="preserve">-27.63</w:t>
            </w:r>
          </w:p>
        </w:tc>
        <w:tc>
          <w:p>
            <w:r>
              <w:t xml:space="preserve">亏损</w:t>
            </w:r>
          </w:p>
        </w:tc>
      </w:tr>
      <w:tr>
        <w:tc>
          <w:p>
            <w:r>
              <w:t xml:space="preserve">2023</w:t>
            </w:r>
          </w:p>
        </w:tc>
        <w:tc>
          <w:p>
            <w:r>
              <w:t xml:space="preserve">-13.29</w:t>
            </w:r>
          </w:p>
        </w:tc>
        <w:tc>
          <w:p>
            <w:r>
              <w:t xml:space="preserve">亏损</w:t>
            </w:r>
          </w:p>
        </w:tc>
      </w:tr>
      <w:tr>
        <w:tc>
          <w:p>
            <w:r>
              <w:t xml:space="preserve">2024</w:t>
            </w:r>
          </w:p>
        </w:tc>
        <w:tc>
          <w:p>
            <w:r>
              <w:t xml:space="preserve">-14.65</w:t>
            </w:r>
          </w:p>
        </w:tc>
        <w:tc>
          <w:p>
            <w:r>
              <w:t xml:space="preserve">亏损</w:t>
            </w:r>
          </w:p>
        </w:tc>
      </w:tr>
      <w:tr>
        <w:tc>
          <w:p>
            <w:r>
              <w:t xml:space="preserve">2025（预计）</w:t>
            </w:r>
          </w:p>
        </w:tc>
        <w:tc>
          <w:p>
            <w:r>
              <w:t xml:space="preserve">-21.4</w:t>
            </w:r>
          </w:p>
        </w:tc>
        <w:tc>
          <w:p>
            <w:r>
              <w:t xml:space="preserve">亏损</w:t>
            </w:r>
          </w:p>
        </w:tc>
      </w:tr>
      <w:tr>
        <w:tc>
          <w:p>
            <w:r>
              <w:t xml:space="preserve">2025 扣非后</w:t>
            </w:r>
          </w:p>
        </w:tc>
        <w:tc>
          <w:p>
            <w:r>
              <w:t xml:space="preserve">-29.4</w:t>
            </w:r>
          </w:p>
        </w:tc>
        <w:tc>
          <w:p>
            <w:r>
              <w:t xml:space="preserve">亏损</w:t>
            </w:r>
          </w:p>
        </w:tc>
      </w:tr>
    </w:tbl>
    <w:p>
      <w:pPr>
        <w:spacing w:before="200"/>
      </w:pPr>
      <w:r>
        <w:t xml:space="preserve">关键数据：自 2021 年以来连续净利润亏损，5 年累计亏损或超 100 亿元。</w:t>
      </w:r>
    </w:p>
    <w:p>
      <w:pPr>
        <w:pStyle w:val="Heading2"/>
        <w:spacing w:after="100" w:before="300"/>
      </w:pPr>
      <w:r>
        <w:t xml:space="preserve">2.2 亏损原因分析</w:t>
      </w:r>
    </w:p>
    <w:p>
      <w:r>
        <w:t xml:space="preserve">1. 门店调改成本：深度调改 315 家门店，资产报废及一次性投入约 9.1 亿元
2. 停业装修损失：门店停业装修产生的毛利额损失约 3 亿元
3. 关店损失：关闭 381 家与未来战略定位不符的门店，产生资产报废损失、人员优化离职补偿、租赁相关违约赔偿等</w:t>
      </w:r>
    </w:p>
    <w:p>
      <w:pPr>
        <w:pStyle w:val="Heading1"/>
        <w:spacing w:after="200" w:before="400"/>
      </w:pPr>
      <w:r>
        <w:t xml:space="preserve">三、风险分析</w:t>
      </w:r>
    </w:p>
    <w:p>
      <w:pPr>
        <w:pStyle w:val="Heading2"/>
        <w:spacing w:after="100" w:before="200"/>
      </w:pPr>
      <w:r>
        <w:t xml:space="preserve">3.1 行业风险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风险类型</w:t>
            </w:r>
          </w:p>
        </w:tc>
        <w:tc>
          <w:p>
            <w:r>
              <w:t xml:space="preserve">风险程度</w:t>
            </w:r>
          </w:p>
        </w:tc>
        <w:tc>
          <w:p>
            <w:r>
              <w:t xml:space="preserve">说明</w:t>
            </w:r>
          </w:p>
        </w:tc>
      </w:tr>
      <w:tr>
        <w:tc>
          <w:p>
            <w:r>
              <w:t xml:space="preserve">行业竞争加剧</w:t>
            </w:r>
          </w:p>
        </w:tc>
        <w:tc>
          <w:p>
            <w:r>
              <w:t xml:space="preserve">高</w:t>
            </w:r>
          </w:p>
        </w:tc>
        <w:tc>
          <w:p>
            <w:r>
              <w:t xml:space="preserve">零售行业竞争白热化，仓储会员店、新零售模式崛起</w:t>
            </w:r>
          </w:p>
        </w:tc>
      </w:tr>
      <w:tr>
        <w:tc>
          <w:p>
            <w:r>
              <w:t xml:space="preserve">消费需求放缓</w:t>
            </w:r>
          </w:p>
        </w:tc>
        <w:tc>
          <w:p>
            <w:r>
              <w:t xml:space="preserve">高</w:t>
            </w:r>
          </w:p>
        </w:tc>
        <w:tc>
          <w:p>
            <w:r>
              <w:t xml:space="preserve">宏观经济环境下行，终端消费需求不及预期</w:t>
            </w:r>
          </w:p>
        </w:tc>
      </w:tr>
      <w:tr>
        <w:tc>
          <w:p>
            <w:r>
              <w:t xml:space="preserve">电商冲击</w:t>
            </w:r>
          </w:p>
        </w:tc>
        <w:tc>
          <w:p>
            <w:r>
              <w:t xml:space="preserve">高</w:t>
            </w:r>
          </w:p>
        </w:tc>
        <w:tc>
          <w:p>
            <w:r>
              <w:t xml:space="preserve">直播电商兴起，用户线上消费习惯固化</w:t>
            </w:r>
          </w:p>
        </w:tc>
      </w:tr>
      <w:tr>
        <w:tc>
          <w:p>
            <w:r>
              <w:t xml:space="preserve">转型不确定性</w:t>
            </w:r>
          </w:p>
        </w:tc>
        <w:tc>
          <w:p>
            <w:r>
              <w:t xml:space="preserve">中高</w:t>
            </w:r>
          </w:p>
        </w:tc>
        <w:tc>
          <w:p>
            <w:r>
              <w:t xml:space="preserve">战略调整效果需时间验证</w:t>
            </w:r>
          </w:p>
        </w:tc>
      </w:tr>
    </w:tbl>
    <w:p>
      <w:pPr>
        <w:pStyle w:val="Heading2"/>
        <w:spacing w:after="100" w:before="300"/>
      </w:pPr>
      <w:r>
        <w:t xml:space="preserve">3.2 公司特有风险</w:t>
      </w:r>
    </w:p>
    <w:p>
      <w:r>
        <w:t xml:space="preserve">• 连续亏损风险：若 2026 年无法扭亏，可能面临 ST 风险
• 现金流压力：大规模关店调改消耗现金储备
• 管理层变动：名创优品叶国富 62 亿收购后，管理层整合存在不确定性
• 资产出售损失：近期出售参股子公司永辉云金科技剩余股权，预计产生投资损失约 9088 万元</w:t>
      </w:r>
    </w:p>
    <w:p>
      <w:pPr>
        <w:pStyle w:val="Heading1"/>
        <w:spacing w:after="200" w:before="400"/>
      </w:pPr>
      <w:r>
        <w:t xml:space="preserve">四、投资机会与估值分析</w:t>
      </w:r>
    </w:p>
    <w:p>
      <w:pPr>
        <w:pStyle w:val="Heading2"/>
        <w:spacing w:after="100" w:before="200"/>
      </w:pPr>
      <w:r>
        <w:t xml:space="preserve">4.1 积极因素</w:t>
      </w:r>
    </w:p>
    <w:p>
      <w:r>
        <w:t xml:space="preserve">• 战略调整落地：2026 年门店调整完成后，若自有品牌占比提升至 40%，营收恢复正增长且利润率改善，PE 有望从负转正
• 估值修复空间：参考行业平均 PE（约 20 倍），未来两年股价存在翻倍潜力
• 核心优势保留：生鲜供应链和线上线下融合的核心优势仍在
• 分析师评级：7 位分析师中，4 位建议买入，3 位推荐卖出，2 位建议维持现状，评级共识为'中性'
• 目标价位：部分分析给出目标价 6.8-7.8 元，对应 2026 年估值修复</w:t>
      </w:r>
    </w:p>
    <w:p>
      <w:pPr>
        <w:pStyle w:val="Heading1"/>
        <w:spacing w:after="200" w:before="400"/>
      </w:pPr>
      <w:r>
        <w:t xml:space="preserve">五、买入点与建仓策略</w:t>
      </w:r>
    </w:p>
    <w:p>
      <w:pPr>
        <w:pStyle w:val="Heading2"/>
        <w:spacing w:after="100" w:before="200"/>
      </w:pPr>
      <w:r>
        <w:t xml:space="preserve">5.1 买入点位建议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价位区间</w:t>
            </w:r>
          </w:p>
        </w:tc>
        <w:tc>
          <w:p>
            <w:r>
              <w:t xml:space="preserve">操作建议</w:t>
            </w:r>
          </w:p>
        </w:tc>
        <w:tc>
          <w:p>
            <w:r>
              <w:t xml:space="preserve">理由</w:t>
            </w:r>
          </w:p>
        </w:tc>
      </w:tr>
      <w:tr>
        <w:tc>
          <w:p>
            <w:r>
              <w:t xml:space="preserve">3.8-4.0 元</w:t>
            </w:r>
          </w:p>
        </w:tc>
        <w:tc>
          <w:p>
            <w:r>
              <w:t xml:space="preserve">激进建仓</w:t>
            </w:r>
          </w:p>
        </w:tc>
        <w:tc>
          <w:p>
            <w:r>
              <w:t xml:space="preserve">接近阶段性底部，风险收益比较高</w:t>
            </w:r>
          </w:p>
        </w:tc>
      </w:tr>
      <w:tr>
        <w:tc>
          <w:p>
            <w:r>
              <w:t xml:space="preserve">4.0-4.3 元</w:t>
            </w:r>
          </w:p>
        </w:tc>
        <w:tc>
          <w:p>
            <w:r>
              <w:t xml:space="preserve">分批建仓</w:t>
            </w:r>
          </w:p>
        </w:tc>
        <w:tc>
          <w:p>
            <w:r>
              <w:t xml:space="preserve">当前价位，可小仓位试探</w:t>
            </w:r>
          </w:p>
        </w:tc>
      </w:tr>
      <w:tr>
        <w:tc>
          <w:p>
            <w:r>
              <w:t xml:space="preserve">4.5 元以上</w:t>
            </w:r>
          </w:p>
        </w:tc>
        <w:tc>
          <w:p>
            <w:r>
              <w:t xml:space="preserve">观望</w:t>
            </w:r>
          </w:p>
        </w:tc>
        <w:tc>
          <w:p>
            <w:r>
              <w:t xml:space="preserve">等待回调或转型明确信号</w:t>
            </w:r>
          </w:p>
        </w:tc>
      </w:tr>
      <w:tr>
        <w:tc>
          <w:p>
            <w:r>
              <w:t xml:space="preserve">突破 5.5 元</w:t>
            </w:r>
          </w:p>
        </w:tc>
        <w:tc>
          <w:p>
            <w:r>
              <w:t xml:space="preserve">追涨确认</w:t>
            </w:r>
          </w:p>
        </w:tc>
        <w:tc>
          <w:p>
            <w:r>
              <w:t xml:space="preserve">趋势反转信号</w:t>
            </w:r>
          </w:p>
        </w:tc>
      </w:tr>
    </w:tbl>
    <w:p>
      <w:pPr>
        <w:pStyle w:val="Heading2"/>
        <w:spacing w:after="100" w:before="300"/>
      </w:pPr>
      <w:r>
        <w:t xml:space="preserve">5.2 建仓时机</w:t>
      </w:r>
    </w:p>
    <w:p>
      <w:r>
        <w:t xml:space="preserve">最佳建仓窗口：
• 2026 年 Q1-Q2：等待 2025 年年报正式披露后，利空出尽
• 门店调改完成后：关注单店营收和利润率改善数据
• 季度业绩转正信号：首次出现单季度盈利时</w:t>
      </w:r>
    </w:p>
    <w:p>
      <w:pPr>
        <w:pStyle w:val="Heading2"/>
        <w:spacing w:after="100" w:before="300"/>
      </w:pPr>
      <w:r>
        <w:t xml:space="preserve">5.3 投资策略建议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投资者类型</w:t>
            </w:r>
          </w:p>
        </w:tc>
        <w:tc>
          <w:p>
            <w:r>
              <w:t xml:space="preserve">建议</w:t>
            </w:r>
          </w:p>
        </w:tc>
        <w:tc>
          <w:p>
            <w:r>
              <w:t xml:space="preserve">仓位</w:t>
            </w:r>
          </w:p>
        </w:tc>
      </w:tr>
      <w:tr>
        <w:tc>
          <w:p>
            <w:r>
              <w:t xml:space="preserve">保守型</w:t>
            </w:r>
          </w:p>
        </w:tc>
        <w:tc>
          <w:p>
            <w:r>
              <w:t xml:space="preserve">观望</w:t>
            </w:r>
          </w:p>
        </w:tc>
        <w:tc>
          <w:p>
            <w:r>
              <w:t xml:space="preserve">0%</w:t>
            </w:r>
          </w:p>
        </w:tc>
      </w:tr>
      <w:tr>
        <w:tc>
          <w:p>
            <w:r>
              <w:t xml:space="preserve">平衡型</w:t>
            </w:r>
          </w:p>
        </w:tc>
        <w:tc>
          <w:p>
            <w:r>
              <w:t xml:space="preserve">小仓位试探</w:t>
            </w:r>
          </w:p>
        </w:tc>
        <w:tc>
          <w:p>
            <w:r>
              <w:t xml:space="preserve">5-10%</w:t>
            </w:r>
          </w:p>
        </w:tc>
      </w:tr>
      <w:tr>
        <w:tc>
          <w:p>
            <w:r>
              <w:t xml:space="preserve">激进型</w:t>
            </w:r>
          </w:p>
        </w:tc>
        <w:tc>
          <w:p>
            <w:r>
              <w:t xml:space="preserve">中等仓位布局</w:t>
            </w:r>
          </w:p>
        </w:tc>
        <w:tc>
          <w:p>
            <w:r>
              <w:t xml:space="preserve">15-20%</w:t>
            </w:r>
          </w:p>
        </w:tc>
      </w:tr>
    </w:tbl>
    <w:p>
      <w:pPr>
        <w:pStyle w:val="Heading1"/>
        <w:spacing w:after="200" w:before="400"/>
      </w:pPr>
      <w:r>
        <w:t xml:space="preserve">六、风险提示</w:t>
      </w:r>
    </w:p>
    <w:p>
      <w:pPr>
        <w:shd w:fill="F0F0F0"/>
        <w:spacing w:after="200"/>
      </w:pPr>
      <w:r>
        <w:t xml:space="preserve">重要声明：本报告仅供参考，不构成投资建议。股市有风险，投资需谨慎。</w:t>
      </w:r>
    </w:p>
    <w:p>
      <w:r>
        <w:t xml:space="preserve">关键风险警示：
1. ST 风险：若 2026 年继续亏损，可能被实施退市风险警示
2. 转型失败风险：门店调改效果不及预期
3. 竞争加剧风险：盒马、山姆等竞争对手持续扩张
4. 流动性风险：主力资金近期呈净流出状态（2 月 26 日净流出 1.27 亿元）
5. 股东减持风险：关注大股东及高管减持动向</w:t>
      </w:r>
    </w:p>
    <w:p>
      <w:pPr>
        <w:pStyle w:val="Heading1"/>
        <w:spacing w:after="200" w:before="400"/>
      </w:pPr>
      <w:r>
        <w:t xml:space="preserve">七、结论与建议</w:t>
      </w:r>
    </w:p>
    <w:p>
      <w:pPr>
        <w:spacing w:after="200"/>
      </w:pPr>
      <w:r>
        <w:t xml:space="preserve">综合评级：中性偏谨慎</w:t>
      </w:r>
    </w:p>
    <w:p>
      <w:r>
        <w:t xml:space="preserve">核心观点：
永辉超市正处于'破局之困'的关键转型期。公司面临传统大卖场衰落与仓储会员店、新零售模式崛起的双重压力。虽然 5 年累计亏损超百亿，但公司仍在积极调整，关闭低效门店、优化供应链、推进数字化升级。</w:t>
      </w:r>
    </w:p>
    <w:p>
      <w:pPr>
        <w:pStyle w:val="Heading2"/>
        <w:spacing w:after="100" w:before="300"/>
      </w:pPr>
      <w:r>
        <w:t xml:space="preserve">关键观察指标：</w:t>
      </w:r>
    </w:p>
    <w:p>
      <w:r>
        <w:t xml:space="preserve">• 2025 年年报正式披露（关注亏损是否收窄）
• 2026 年 Q1 单店销售数据
• 自有品牌占比提升进度
• 经营性现金流改善情况</w:t>
      </w:r>
    </w:p>
    <w:p>
      <w:pPr>
        <w:spacing w:before="300"/>
      </w:pPr>
      <w:r>
        <w:t xml:space="preserve">时间窗口：2026 年 Q2 可能是重要观察节点，若转型成效初现，估值修复空间较大；若继续恶化，需警惕进一步下跌风险。</w:t>
      </w:r>
    </w:p>
    <w:p>
      <w:pPr>
        <w:spacing w:before="600"/>
        <w:jc w:val="center"/>
      </w:pPr>
      <w:r>
        <w:t xml:space="preserve">
---
报告生成时间：2026 年 3 月 2 日
数据来源：公开市场信息、公司公告、券商研报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2026-03-02T06:45:02.422Z</dcterms:created>
  <dcterms:modified xsi:type="dcterms:W3CDTF">2026-03-02T06:45:02.424Z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