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GB3，18个颜色，2.9门幅 克重414每平方米，三层梭织，物理遮光，遮</w:t>
      </w:r>
      <w:bookmarkStart w:id="0" w:name="_GoBack"/>
      <w:bookmarkEnd w:id="0"/>
      <w:r>
        <w:rPr>
          <w:rFonts w:hint="eastAsia"/>
          <w:lang w:val="en-US" w:eastAsia="zh-CN"/>
        </w:rPr>
        <w:t>光率85%-95%，采用色织工艺，使面料色牢度更高，面料颜色搭配更为丰富多彩。背面面料紧实，防刮耐用，正面竖纹提花更有延伸空间的效果。侘寂风格，能够营造一种现代年轻人寻求复古，除特色感以外的舒适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28E65BFD"/>
    <w:rsid w:val="6D69289F"/>
    <w:rsid w:val="701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133</Characters>
  <Lines>0</Lines>
  <Paragraphs>0</Paragraphs>
  <TotalTime>28</TotalTime>
  <ScaleCrop>false</ScaleCrop>
  <LinksUpToDate>false</LinksUpToDate>
  <CharactersWithSpaces>134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2023-04-13T02:51:00Z</dcterms:created>
  <dc:creator>Administrator</dc:creator>
  <cp:lastModifiedBy>Administrator</cp:lastModifiedBy>
  <dcterms:modified xsi:type="dcterms:W3CDTF">2023-04-13T04:30:00Z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5F055D0B4EF04EDD8428B7BAD525FA5D_12</vt:lpwstr>
  </property>
</Properties>
</file>