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黑体"/>
          <w:b/>
          <w:bCs/>
          <w:spacing w:val="50"/>
          <w:sz w:val="52"/>
          <w:szCs w:val="52"/>
        </w:rPr>
      </w:pPr>
      <w:r>
        <w:rPr>
          <w:rFonts w:hint="eastAsia" w:ascii="黑体"/>
          <w:b/>
          <w:bCs/>
          <w:spacing w:val="50"/>
          <w:sz w:val="52"/>
          <w:szCs w:val="52"/>
        </w:rPr>
        <w:t>刑 事 判 决 书</w:t>
      </w:r>
    </w:p>
    <w:p>
      <w:pPr>
        <w:spacing w:line="480" w:lineRule="exact"/>
        <w:jc w:val="both"/>
        <w:rPr>
          <w:rFonts w:hint="eastAsia" w:ascii="仿宋_GB2312" w:eastAsia="仿宋_GB2312"/>
          <w:sz w:val="32"/>
          <w:szCs w:val="32"/>
        </w:rPr>
      </w:pPr>
    </w:p>
    <w:p>
      <w:pPr>
        <w:spacing w:line="520" w:lineRule="exact"/>
        <w:ind w:firstLine="2100"/>
        <w:jc w:val="right"/>
        <w:rPr>
          <w:rFonts w:hint="eastAsia" w:ascii="仿宋_GB2312" w:eastAsia="仿宋_GB2312"/>
          <w:color w:val="000000"/>
          <w:sz w:val="32"/>
          <w:szCs w:val="32"/>
        </w:rPr>
      </w:pPr>
      <w:r>
        <w:rPr>
          <w:rFonts w:hint="eastAsia" w:ascii="仿宋_GB2312" w:eastAsia="仿宋_GB2312"/>
          <w:sz w:val="32"/>
          <w:szCs w:val="32"/>
        </w:rPr>
        <w:t>（2013）东刑初字</w:t>
      </w:r>
      <w:r>
        <w:rPr>
          <w:rFonts w:hint="eastAsia" w:ascii="仿宋_GB2312" w:eastAsia="仿宋_GB2312"/>
          <w:color w:val="000000"/>
          <w:sz w:val="32"/>
          <w:szCs w:val="32"/>
        </w:rPr>
        <w:t>第144号</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公诉机关天津市河东区人民检察院。</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王莉，女，1975年3月31日出生于天津市，汉族，小学文化，无业，住天津市河东区卫国道临池里18号楼5单元703号，户籍地天津市河东区真理道华泰里4号楼4门601号。1993年因犯介绍妇女卖淫罪被判处有期徒刑六年。</w:t>
      </w:r>
      <w:r>
        <w:rPr>
          <w:rFonts w:hint="eastAsia" w:ascii="仿宋_GB2312" w:eastAsia="仿宋_GB2312"/>
          <w:sz w:val="32"/>
          <w:szCs w:val="32"/>
        </w:rPr>
        <w:t>因涉嫌犯信用卡诈骗罪</w:t>
      </w:r>
      <w:r>
        <w:rPr>
          <w:rFonts w:hint="eastAsia" w:ascii="仿宋_GB2312" w:eastAsia="仿宋_GB2312"/>
          <w:color w:val="000000"/>
          <w:sz w:val="32"/>
          <w:szCs w:val="32"/>
        </w:rPr>
        <w:t>于2012年8月31日被取保候审。</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被告人王莉不请辩护人，自行辩护。</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以津河东检刑诉（2013）28号起诉书指控被告人王莉犯信用卡诈骗罪，于2013年4月25日向本院提起公诉。本院依法适用简易程序，实行独任审判，公开开庭审理了本案。天津市河东区人民检察院指派检察员王娜出庭支持公诉，被告人王莉到庭参加了诉讼。现已审理终结。</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起诉书指控：被告人王莉于2008年1月将其在中国民生银行股份有限公司天津分行申领卡号为4218700006796101的信用卡激活使用，自2008年1月30日最后一次还款后再未偿还过欠款。从2008年3月20日起，经中国民生银行股份有限公司天津分行多次催收，被告人王莉一直拒不归还欠款。截止2012年8月30日中国民生银行股份有限公司天津分行报案时，被告人王莉共拖欠本金人民币18297.02元。案发后，公安机关于2012年8月31日将被告人王莉查获归案。</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庭审中，被告人王莉对起诉书指控的事实未表异议，且有证人韩磊的证言，户籍材料，涉案银行出具的催收记录，举报材料，前科材料，信用卡申领材料，消费记录，情况说明，案件来源及到案经过等证据证实，足以认定。</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院认为，被告人王莉无视国家法纪，以非法占有为目的，恶意透支，数额较大，其行为已构成信用卡诈骗罪，依法应予惩处。公诉机关指控的罪名成立，本院予以确认。被告人王莉自愿认罪，可从轻处罚。综上，依照《中华人民共和国刑法》第一百九十六条第一款第（四）项、第二款、第六十七条第三款、第七十二条第一款、第七十六条之规定，判决如下：</w:t>
      </w:r>
    </w:p>
    <w:p>
      <w:pPr>
        <w:spacing w:line="52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被告人王莉犯信用卡诈骗罪，判处有期徒刑二年，缓刑三年，并处罚金人民币30000元。缓刑考验期限内，依法实行社区矫正。</w:t>
      </w:r>
    </w:p>
    <w:p>
      <w:pPr>
        <w:spacing w:line="520" w:lineRule="exact"/>
        <w:ind w:firstLine="800" w:firstLineChars="250"/>
        <w:jc w:val="both"/>
        <w:rPr>
          <w:rFonts w:hint="eastAsia" w:ascii="仿宋_GB2312" w:eastAsia="仿宋_GB2312"/>
          <w:color w:val="000000"/>
          <w:sz w:val="32"/>
          <w:szCs w:val="32"/>
        </w:rPr>
      </w:pPr>
      <w:r>
        <w:rPr>
          <w:rFonts w:hint="eastAsia" w:ascii="仿宋_GB2312" w:eastAsia="仿宋_GB2312"/>
          <w:color w:val="000000"/>
          <w:sz w:val="32"/>
          <w:szCs w:val="32"/>
        </w:rPr>
        <w:t>(缓刑考验期限，从判决确定之日起计算）</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（罚金限本判决生效后第二日起十日内缴纳） </w:t>
      </w:r>
    </w:p>
    <w:p>
      <w:pPr>
        <w:spacing w:line="52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如不服本判决，可于接到判决书的第二日起十日内通过本院或直接向天津市第二中级人民法院提出上诉。书面上诉的，应提交上诉状正本一份，副本两份。</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代理审判员    冯中婷</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sz w:val="32"/>
          <w:szCs w:val="32"/>
        </w:rPr>
        <w:t xml:space="preserve">本件与原本核对无异             </w:t>
      </w:r>
      <w:r>
        <w:rPr>
          <w:rFonts w:hint="eastAsia" w:ascii="仿宋_GB2312" w:eastAsia="仿宋_GB2312"/>
          <w:color w:val="000000"/>
          <w:sz w:val="32"/>
          <w:szCs w:val="32"/>
        </w:rPr>
        <w:t>二○一三年六月四日</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sectPr>
      <w:footerReference r:id="rId3" w:type="default"/>
      <w:footerReference r:id="rId4" w:type="even"/>
      <w:endnotePr>
        <w:numFmt w:val="decimal"/>
        <w:numStart w:val="0"/>
      </w:endnotePr>
      <w:pgSz w:w="11907" w:h="16840"/>
      <w:pgMar w:top="1701" w:right="1275"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endnotePr>
    <w:pos w:val="sectEnd"/>
    <w:numFmt w:val="decimal"/>
    <w:numStart w:val="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2CFC"/>
    <w:rsid w:val="0000671B"/>
    <w:rsid w:val="0001123E"/>
    <w:rsid w:val="000229F4"/>
    <w:rsid w:val="00031EDA"/>
    <w:rsid w:val="000802C2"/>
    <w:rsid w:val="00087A49"/>
    <w:rsid w:val="000B1CEA"/>
    <w:rsid w:val="000B56D8"/>
    <w:rsid w:val="000D1DB3"/>
    <w:rsid w:val="000F2918"/>
    <w:rsid w:val="000F46F9"/>
    <w:rsid w:val="000F50D3"/>
    <w:rsid w:val="000F5B41"/>
    <w:rsid w:val="00106598"/>
    <w:rsid w:val="001065C4"/>
    <w:rsid w:val="00123FB3"/>
    <w:rsid w:val="0013315B"/>
    <w:rsid w:val="00136547"/>
    <w:rsid w:val="00151494"/>
    <w:rsid w:val="00153342"/>
    <w:rsid w:val="00156450"/>
    <w:rsid w:val="00156A23"/>
    <w:rsid w:val="0018013B"/>
    <w:rsid w:val="00186D77"/>
    <w:rsid w:val="00191658"/>
    <w:rsid w:val="0019568B"/>
    <w:rsid w:val="001A5652"/>
    <w:rsid w:val="001B3353"/>
    <w:rsid w:val="001C2B85"/>
    <w:rsid w:val="001D2532"/>
    <w:rsid w:val="001D31BD"/>
    <w:rsid w:val="001D537D"/>
    <w:rsid w:val="001F0BA0"/>
    <w:rsid w:val="001F7E57"/>
    <w:rsid w:val="00216935"/>
    <w:rsid w:val="002200BF"/>
    <w:rsid w:val="00230E70"/>
    <w:rsid w:val="00243970"/>
    <w:rsid w:val="00262746"/>
    <w:rsid w:val="00281AB9"/>
    <w:rsid w:val="00283B5A"/>
    <w:rsid w:val="002B0567"/>
    <w:rsid w:val="002B666F"/>
    <w:rsid w:val="002C4243"/>
    <w:rsid w:val="002C5E78"/>
    <w:rsid w:val="003009D1"/>
    <w:rsid w:val="00316D14"/>
    <w:rsid w:val="00320154"/>
    <w:rsid w:val="0032750C"/>
    <w:rsid w:val="00327C9A"/>
    <w:rsid w:val="0033398F"/>
    <w:rsid w:val="00343752"/>
    <w:rsid w:val="00370DAE"/>
    <w:rsid w:val="003855E9"/>
    <w:rsid w:val="0039678F"/>
    <w:rsid w:val="003A5F21"/>
    <w:rsid w:val="003C126B"/>
    <w:rsid w:val="003D14C3"/>
    <w:rsid w:val="003F7AC6"/>
    <w:rsid w:val="00405A00"/>
    <w:rsid w:val="00436131"/>
    <w:rsid w:val="00436B40"/>
    <w:rsid w:val="00482790"/>
    <w:rsid w:val="00483056"/>
    <w:rsid w:val="00485516"/>
    <w:rsid w:val="00494E22"/>
    <w:rsid w:val="004A2B16"/>
    <w:rsid w:val="004B4126"/>
    <w:rsid w:val="004C4FEE"/>
    <w:rsid w:val="004F2686"/>
    <w:rsid w:val="004F720B"/>
    <w:rsid w:val="005016FF"/>
    <w:rsid w:val="005120BB"/>
    <w:rsid w:val="005353A2"/>
    <w:rsid w:val="00535439"/>
    <w:rsid w:val="00554A8D"/>
    <w:rsid w:val="00555420"/>
    <w:rsid w:val="00560016"/>
    <w:rsid w:val="00563404"/>
    <w:rsid w:val="00577ED2"/>
    <w:rsid w:val="00583122"/>
    <w:rsid w:val="005A7434"/>
    <w:rsid w:val="005C5F6B"/>
    <w:rsid w:val="005E299B"/>
    <w:rsid w:val="005F2C87"/>
    <w:rsid w:val="00621ED4"/>
    <w:rsid w:val="00622BF2"/>
    <w:rsid w:val="00652725"/>
    <w:rsid w:val="00652B91"/>
    <w:rsid w:val="00683D6C"/>
    <w:rsid w:val="006A5055"/>
    <w:rsid w:val="006C7A1A"/>
    <w:rsid w:val="00701534"/>
    <w:rsid w:val="0071126C"/>
    <w:rsid w:val="007200FC"/>
    <w:rsid w:val="007330DD"/>
    <w:rsid w:val="007374A6"/>
    <w:rsid w:val="00743800"/>
    <w:rsid w:val="00755D95"/>
    <w:rsid w:val="00760213"/>
    <w:rsid w:val="007617AB"/>
    <w:rsid w:val="0077263F"/>
    <w:rsid w:val="0077555F"/>
    <w:rsid w:val="00780010"/>
    <w:rsid w:val="007B2BFF"/>
    <w:rsid w:val="007C36CA"/>
    <w:rsid w:val="007C6AE3"/>
    <w:rsid w:val="007D743F"/>
    <w:rsid w:val="007D7D85"/>
    <w:rsid w:val="007E382D"/>
    <w:rsid w:val="007E3958"/>
    <w:rsid w:val="007E5DD9"/>
    <w:rsid w:val="007F6248"/>
    <w:rsid w:val="008014FD"/>
    <w:rsid w:val="0080751B"/>
    <w:rsid w:val="00826726"/>
    <w:rsid w:val="0082749F"/>
    <w:rsid w:val="00827A14"/>
    <w:rsid w:val="00832A02"/>
    <w:rsid w:val="00832CFC"/>
    <w:rsid w:val="00836F6D"/>
    <w:rsid w:val="008448BB"/>
    <w:rsid w:val="00847CC4"/>
    <w:rsid w:val="0086004A"/>
    <w:rsid w:val="00862940"/>
    <w:rsid w:val="008659A3"/>
    <w:rsid w:val="008976BB"/>
    <w:rsid w:val="008A365A"/>
    <w:rsid w:val="008B4D1C"/>
    <w:rsid w:val="008C61B0"/>
    <w:rsid w:val="008D62E7"/>
    <w:rsid w:val="008F3459"/>
    <w:rsid w:val="00900BED"/>
    <w:rsid w:val="00915CAC"/>
    <w:rsid w:val="00921251"/>
    <w:rsid w:val="00933F01"/>
    <w:rsid w:val="00943B93"/>
    <w:rsid w:val="00946E0E"/>
    <w:rsid w:val="00973E9F"/>
    <w:rsid w:val="00977FA1"/>
    <w:rsid w:val="00982257"/>
    <w:rsid w:val="00992298"/>
    <w:rsid w:val="00992AED"/>
    <w:rsid w:val="009938F9"/>
    <w:rsid w:val="009A6ABB"/>
    <w:rsid w:val="009B5D26"/>
    <w:rsid w:val="009C1F0D"/>
    <w:rsid w:val="009F372F"/>
    <w:rsid w:val="00A12211"/>
    <w:rsid w:val="00A163CD"/>
    <w:rsid w:val="00A21404"/>
    <w:rsid w:val="00A22FE4"/>
    <w:rsid w:val="00A34C90"/>
    <w:rsid w:val="00A36F64"/>
    <w:rsid w:val="00A373A2"/>
    <w:rsid w:val="00A37C98"/>
    <w:rsid w:val="00A45EF5"/>
    <w:rsid w:val="00A463AB"/>
    <w:rsid w:val="00A52CD7"/>
    <w:rsid w:val="00A628C9"/>
    <w:rsid w:val="00A63FB7"/>
    <w:rsid w:val="00A70464"/>
    <w:rsid w:val="00A80D40"/>
    <w:rsid w:val="00A9362A"/>
    <w:rsid w:val="00AA06CF"/>
    <w:rsid w:val="00AA0A6B"/>
    <w:rsid w:val="00AB7474"/>
    <w:rsid w:val="00AC20F5"/>
    <w:rsid w:val="00AD429E"/>
    <w:rsid w:val="00AE4B9F"/>
    <w:rsid w:val="00AF24DF"/>
    <w:rsid w:val="00AF5BB2"/>
    <w:rsid w:val="00B07846"/>
    <w:rsid w:val="00B10A81"/>
    <w:rsid w:val="00B1277C"/>
    <w:rsid w:val="00B27768"/>
    <w:rsid w:val="00B37530"/>
    <w:rsid w:val="00B51BD0"/>
    <w:rsid w:val="00B85121"/>
    <w:rsid w:val="00BA313F"/>
    <w:rsid w:val="00BB6D17"/>
    <w:rsid w:val="00BE2A01"/>
    <w:rsid w:val="00BF63D3"/>
    <w:rsid w:val="00C04193"/>
    <w:rsid w:val="00C12266"/>
    <w:rsid w:val="00C14E81"/>
    <w:rsid w:val="00C22182"/>
    <w:rsid w:val="00C3477D"/>
    <w:rsid w:val="00C51618"/>
    <w:rsid w:val="00C54D69"/>
    <w:rsid w:val="00C624E0"/>
    <w:rsid w:val="00C9032D"/>
    <w:rsid w:val="00CB0A76"/>
    <w:rsid w:val="00CC095A"/>
    <w:rsid w:val="00CC6FE8"/>
    <w:rsid w:val="00D05469"/>
    <w:rsid w:val="00D372F6"/>
    <w:rsid w:val="00D53B6A"/>
    <w:rsid w:val="00D770AA"/>
    <w:rsid w:val="00D80AF2"/>
    <w:rsid w:val="00D96DD1"/>
    <w:rsid w:val="00DA0288"/>
    <w:rsid w:val="00DA608B"/>
    <w:rsid w:val="00DB0134"/>
    <w:rsid w:val="00DC40EA"/>
    <w:rsid w:val="00DC7C5D"/>
    <w:rsid w:val="00DF160C"/>
    <w:rsid w:val="00DF587A"/>
    <w:rsid w:val="00DF6294"/>
    <w:rsid w:val="00E009DE"/>
    <w:rsid w:val="00E03722"/>
    <w:rsid w:val="00E06029"/>
    <w:rsid w:val="00E0671D"/>
    <w:rsid w:val="00E14AB9"/>
    <w:rsid w:val="00E14C69"/>
    <w:rsid w:val="00E254B2"/>
    <w:rsid w:val="00E36EE2"/>
    <w:rsid w:val="00E53C71"/>
    <w:rsid w:val="00E53DEC"/>
    <w:rsid w:val="00E5675A"/>
    <w:rsid w:val="00E56FD4"/>
    <w:rsid w:val="00EA4C3E"/>
    <w:rsid w:val="00EB53AB"/>
    <w:rsid w:val="00EC279B"/>
    <w:rsid w:val="00EC4D37"/>
    <w:rsid w:val="00ED3AE1"/>
    <w:rsid w:val="00ED4ED6"/>
    <w:rsid w:val="00EF0AF4"/>
    <w:rsid w:val="00EF0B64"/>
    <w:rsid w:val="00F1641C"/>
    <w:rsid w:val="00F22626"/>
    <w:rsid w:val="00F3575D"/>
    <w:rsid w:val="00F36B71"/>
    <w:rsid w:val="00F40167"/>
    <w:rsid w:val="00F40352"/>
    <w:rsid w:val="00F75640"/>
    <w:rsid w:val="00F82D1B"/>
    <w:rsid w:val="00F92CBE"/>
    <w:rsid w:val="00FB5CFF"/>
    <w:rsid w:val="00FE7DAB"/>
    <w:rsid w:val="00FF745D"/>
    <w:rsid w:val="00FF7890"/>
    <w:rsid w:val="17512675"/>
    <w:rsid w:val="54190057"/>
    <w:rsid w:val="63A511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80" w:lineRule="exact"/>
      <w:ind w:firstLine="640" w:firstLineChars="200"/>
    </w:pPr>
    <w:rPr>
      <w:rFonts w:ascii="仿宋_GB2312" w:eastAsia="仿宋_GB2312"/>
      <w:sz w:val="32"/>
    </w:rPr>
  </w:style>
  <w:style w:type="paragraph" w:styleId="3">
    <w:name w:val="Date"/>
    <w:basedOn w:val="1"/>
    <w:next w:val="1"/>
    <w:uiPriority w:val="0"/>
    <w:pPr>
      <w:ind w:left="100" w:leftChars="2500"/>
    </w:pPr>
  </w:style>
  <w:style w:type="paragraph" w:styleId="4">
    <w:name w:val="Body Text Indent 2"/>
    <w:basedOn w:val="1"/>
    <w:uiPriority w:val="0"/>
    <w:pPr>
      <w:spacing w:line="400" w:lineRule="exact"/>
      <w:ind w:firstLine="640" w:firstLineChars="200"/>
      <w:jc w:val="both"/>
    </w:pPr>
    <w:rPr>
      <w:rFonts w:ascii="仿宋_GB2312" w:eastAsia="仿宋_GB2312"/>
      <w:sz w:val="32"/>
    </w:rPr>
  </w:style>
  <w:style w:type="paragraph" w:styleId="5">
    <w:name w:val="Balloon Text"/>
    <w:basedOn w:val="1"/>
    <w:semiHidden/>
    <w:uiPriority w:val="0"/>
    <w:rPr>
      <w:sz w:val="18"/>
      <w:szCs w:val="18"/>
    </w:rPr>
  </w:style>
  <w:style w:type="paragraph" w:styleId="6">
    <w:name w:val="footer"/>
    <w:basedOn w:val="1"/>
    <w:qFormat/>
    <w:uiPriority w:val="0"/>
    <w:pPr>
      <w:tabs>
        <w:tab w:val="center" w:pos="4153"/>
        <w:tab w:val="right" w:pos="8306"/>
      </w:tabs>
      <w:snapToGrid w:val="0"/>
    </w:pPr>
    <w:rPr>
      <w:sz w:val="18"/>
      <w:szCs w:val="18"/>
    </w:rPr>
  </w:style>
  <w:style w:type="paragraph" w:styleId="7">
    <w:name w:val="Body Text Indent 3"/>
    <w:basedOn w:val="1"/>
    <w:uiPriority w:val="0"/>
    <w:pPr>
      <w:spacing w:line="400" w:lineRule="exact"/>
      <w:ind w:firstLine="660"/>
      <w:jc w:val="both"/>
    </w:pPr>
    <w:rPr>
      <w:rFonts w:ascii="仿宋_GB2312" w:eastAsia="仿宋_GB2312"/>
      <w:sz w:val="32"/>
    </w:rPr>
  </w:style>
  <w:style w:type="character" w:styleId="9">
    <w:name w:val="page number"/>
    <w:basedOn w:val="8"/>
    <w:uiPriority w:val="0"/>
  </w:style>
  <w:style w:type="table" w:styleId="11">
    <w:name w:val="Table Grid"/>
    <w:basedOn w:val="10"/>
    <w:uiPriority w:val="0"/>
    <w:pPr>
      <w:widowControl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SZ</Company>
  <Pages>1</Pages>
  <Words>159</Words>
  <Characters>910</Characters>
  <Lines>7</Lines>
  <Paragraphs>2</Paragraphs>
  <TotalTime>0</TotalTime>
  <ScaleCrop>false</ScaleCrop>
  <LinksUpToDate>false</LinksUpToDate>
  <CharactersWithSpaces>1067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2013-05-29T07:01:00Z</dcterms:created>
  <dc:creator>User1</dc:creator>
  <cp:lastModifiedBy>TF-PC</cp:lastModifiedBy>
  <cp:lastPrinted>2013-05-29T08:19:00Z</cp:lastPrinted>
  <dcterms:modified xsi:type="dcterms:W3CDTF">2018-08-27T09:47:50Z</dcterms:modified>
  <dc:title>天津市河东区人民法院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