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spacing w:line="360" w:lineRule="auto"/>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hint="eastAsia" w:ascii="仿宋_GB2312"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（2013）西刑初字第340号</w:t>
      </w:r>
    </w:p>
    <w:p>
      <w:pPr>
        <w:spacing w:line="500" w:lineRule="exact"/>
        <w:rPr>
          <w:rFonts w:eastAsia="仿宋_GB2312"/>
          <w:sz w:val="32"/>
          <w:szCs w:val="32"/>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sz w:val="32"/>
          <w:szCs w:val="32"/>
        </w:rPr>
        <w:t>被告人</w:t>
      </w:r>
      <w:r>
        <w:rPr>
          <w:rFonts w:eastAsia="仿宋_GB2312"/>
          <w:kern w:val="0"/>
          <w:sz w:val="32"/>
          <w:szCs w:val="32"/>
          <w:lang w:val="zh-CN"/>
        </w:rPr>
        <w:t>李颖，女，1983年10月5日出生，公民身份号码：120105198310053943，汉族，中专文化，无职业，住天津市河东区太阳城橙翠园25号楼1门602号，户籍地天津市河北区王串场开城里70栋204号。2012年5月22日因涉嫌犯有信用卡诈骗罪被取保候审，2013年4月23日被监视居住。</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天津市河西区人民检察院以津西检刑诉[2013]313号起诉书指控被告人</w:t>
      </w:r>
      <w:r>
        <w:rPr>
          <w:rFonts w:ascii="Times New Roman" w:hAnsi="Times New Roman" w:eastAsia="仿宋_GB2312"/>
          <w:kern w:val="0"/>
          <w:sz w:val="32"/>
          <w:szCs w:val="32"/>
          <w:lang w:val="zh-CN"/>
        </w:rPr>
        <w:t>李颖</w:t>
      </w:r>
      <w:r>
        <w:rPr>
          <w:rFonts w:ascii="Times New Roman" w:hAnsi="Times New Roman" w:eastAsia="仿宋_GB2312"/>
          <w:sz w:val="32"/>
          <w:szCs w:val="32"/>
        </w:rPr>
        <w:t>犯信用卡诈骗罪，于2013年8月6日向本院提起公诉，并向本院提出量刑建议。本院依法组成合议庭，公开开庭审理了本案，天津市河西区人民检察院指派代理检察员王朝亮出庭支持公诉，被告人</w:t>
      </w:r>
      <w:r>
        <w:rPr>
          <w:rFonts w:ascii="Times New Roman" w:hAnsi="Times New Roman" w:eastAsia="仿宋_GB2312"/>
          <w:kern w:val="0"/>
          <w:sz w:val="32"/>
          <w:szCs w:val="32"/>
          <w:lang w:val="zh-CN"/>
        </w:rPr>
        <w:t>李颖</w:t>
      </w:r>
      <w:r>
        <w:rPr>
          <w:rFonts w:ascii="Times New Roman" w:hAnsi="Times New Roman" w:eastAsia="仿宋_GB2312"/>
          <w:sz w:val="32"/>
          <w:szCs w:val="32"/>
        </w:rPr>
        <w:t>到庭参加了诉讼。现已审理终结。</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天津市河西区人民检察院指控，2008年9月3日，被告人李颖向中国建设银行股份有限公司天津市分行信用卡中心申办信用卡一张（卡号：4367455029322000，后变更为：4367455135750268），从2008年10月15日开始透支消费。期间，被告人李颖于2010年3月12日还款人民币6000元后拒不归还剩余款项。截止2012年5月14日，被告人李颖透支本息合计人民币47021.65元，该银行多次以电话、信函、上门等方式向被告人李颖进行催收，但其以各种理由推脱，未归还剩余款项。</w:t>
      </w:r>
    </w:p>
    <w:p>
      <w:pPr>
        <w:spacing w:line="500" w:lineRule="exact"/>
        <w:ind w:firstLine="640" w:firstLineChars="200"/>
        <w:rPr>
          <w:rFonts w:eastAsia="仿宋_GB2312"/>
          <w:sz w:val="32"/>
          <w:szCs w:val="32"/>
        </w:rPr>
      </w:pPr>
      <w:r>
        <w:rPr>
          <w:rFonts w:eastAsia="仿宋_GB2312"/>
          <w:sz w:val="32"/>
          <w:szCs w:val="32"/>
        </w:rPr>
        <w:t>对上述指控，公诉机关当庭宣读并出示了下列证据：</w:t>
      </w:r>
    </w:p>
    <w:p>
      <w:pPr>
        <w:pStyle w:val="2"/>
        <w:numPr>
          <w:ilvl w:val="0"/>
          <w:numId w:val="1"/>
        </w:numPr>
        <w:tabs>
          <w:tab w:val="left" w:pos="0"/>
          <w:tab w:val="clear" w:pos="1360"/>
        </w:tabs>
        <w:spacing w:line="500" w:lineRule="exact"/>
        <w:ind w:left="0" w:firstLine="640"/>
        <w:rPr>
          <w:rFonts w:ascii="Times New Roman" w:hAnsi="Times New Roman" w:eastAsia="仿宋_GB2312"/>
          <w:sz w:val="32"/>
          <w:szCs w:val="32"/>
        </w:rPr>
      </w:pPr>
      <w:r>
        <w:rPr>
          <w:rFonts w:ascii="Times New Roman" w:hAnsi="Times New Roman" w:eastAsia="仿宋_GB2312"/>
          <w:sz w:val="32"/>
          <w:szCs w:val="32"/>
        </w:rPr>
        <w:t>证人李某某的证言，证实与被告人李颖系父女关系，发卡银行曾多次上门催收被告人李颖的欠款，被告人李颖得知后表示不让其父管。</w:t>
      </w:r>
    </w:p>
    <w:p>
      <w:pPr>
        <w:pStyle w:val="2"/>
        <w:numPr>
          <w:ilvl w:val="0"/>
          <w:numId w:val="1"/>
        </w:numPr>
        <w:tabs>
          <w:tab w:val="left" w:pos="0"/>
          <w:tab w:val="clear" w:pos="1360"/>
        </w:tabs>
        <w:spacing w:line="500" w:lineRule="exact"/>
        <w:ind w:left="0" w:firstLine="640"/>
        <w:rPr>
          <w:rFonts w:ascii="Times New Roman" w:hAnsi="Times New Roman" w:eastAsia="仿宋_GB2312"/>
          <w:sz w:val="32"/>
          <w:szCs w:val="32"/>
        </w:rPr>
      </w:pPr>
      <w:r>
        <w:rPr>
          <w:rFonts w:ascii="Times New Roman" w:hAnsi="Times New Roman" w:eastAsia="仿宋_GB2312"/>
          <w:sz w:val="32"/>
          <w:szCs w:val="32"/>
        </w:rPr>
        <w:t>证人李某的证言，证实与被告人李颖系男女朋友关系，现已分手没有联系。</w:t>
      </w:r>
    </w:p>
    <w:p>
      <w:pPr>
        <w:pStyle w:val="2"/>
        <w:numPr>
          <w:ilvl w:val="0"/>
          <w:numId w:val="1"/>
        </w:numPr>
        <w:tabs>
          <w:tab w:val="left" w:pos="0"/>
          <w:tab w:val="clear" w:pos="1360"/>
        </w:tabs>
        <w:spacing w:line="500" w:lineRule="exact"/>
        <w:ind w:left="0" w:firstLine="640"/>
        <w:rPr>
          <w:rFonts w:ascii="Times New Roman" w:hAnsi="Times New Roman" w:eastAsia="仿宋_GB2312"/>
          <w:sz w:val="32"/>
          <w:szCs w:val="32"/>
        </w:rPr>
      </w:pPr>
      <w:r>
        <w:rPr>
          <w:rFonts w:ascii="Times New Roman" w:hAnsi="Times New Roman" w:eastAsia="仿宋_GB2312"/>
          <w:sz w:val="32"/>
          <w:szCs w:val="32"/>
        </w:rPr>
        <w:t>中国建设银行天津分行信用卡中心出具的营业执照复印件、组织机构代码证及申办信用卡手续，证实银行的主体资格以及申办信用卡的情况</w:t>
      </w:r>
      <w:r>
        <w:rPr>
          <w:rFonts w:hint="eastAsia" w:ascii="Times New Roman" w:hAnsi="Times New Roman" w:eastAsia="仿宋_GB2312"/>
          <w:sz w:val="32"/>
          <w:szCs w:val="32"/>
        </w:rPr>
        <w:t>。</w:t>
      </w:r>
    </w:p>
    <w:p>
      <w:pPr>
        <w:pStyle w:val="2"/>
        <w:numPr>
          <w:ilvl w:val="0"/>
          <w:numId w:val="1"/>
        </w:numPr>
        <w:tabs>
          <w:tab w:val="left" w:pos="0"/>
          <w:tab w:val="clear" w:pos="1360"/>
        </w:tabs>
        <w:spacing w:line="500" w:lineRule="exact"/>
        <w:ind w:left="0" w:firstLine="640"/>
        <w:rPr>
          <w:rFonts w:ascii="Times New Roman" w:hAnsi="Times New Roman" w:eastAsia="仿宋_GB2312"/>
          <w:sz w:val="32"/>
          <w:szCs w:val="32"/>
        </w:rPr>
      </w:pPr>
      <w:r>
        <w:rPr>
          <w:rFonts w:ascii="Times New Roman" w:hAnsi="Times New Roman" w:eastAsia="仿宋_GB2312"/>
          <w:sz w:val="32"/>
          <w:szCs w:val="32"/>
        </w:rPr>
        <w:t>中国建设银行天津分行信用卡中心出具的透支消费明细，证实被告人李颖持卡透支消费的情况。</w:t>
      </w:r>
    </w:p>
    <w:p>
      <w:pPr>
        <w:pStyle w:val="2"/>
        <w:numPr>
          <w:ilvl w:val="0"/>
          <w:numId w:val="1"/>
        </w:numPr>
        <w:tabs>
          <w:tab w:val="left" w:pos="0"/>
          <w:tab w:val="clear" w:pos="1360"/>
        </w:tabs>
        <w:spacing w:line="500" w:lineRule="exact"/>
        <w:ind w:left="0" w:firstLine="640"/>
        <w:rPr>
          <w:rFonts w:ascii="Times New Roman" w:hAnsi="Times New Roman" w:eastAsia="仿宋_GB2312"/>
          <w:sz w:val="32"/>
          <w:szCs w:val="32"/>
        </w:rPr>
      </w:pPr>
      <w:r>
        <w:rPr>
          <w:rFonts w:ascii="Times New Roman" w:hAnsi="Times New Roman" w:eastAsia="仿宋_GB2312"/>
          <w:sz w:val="32"/>
          <w:szCs w:val="32"/>
        </w:rPr>
        <w:t>中国建设银行天津分行信用卡中心出具催收记录，证实该银行多次以电话、信函的方式向被告人李颖催收欠款。</w:t>
      </w:r>
    </w:p>
    <w:p>
      <w:pPr>
        <w:pStyle w:val="2"/>
        <w:numPr>
          <w:ilvl w:val="0"/>
          <w:numId w:val="1"/>
        </w:numPr>
        <w:tabs>
          <w:tab w:val="left" w:pos="0"/>
          <w:tab w:val="clear" w:pos="1360"/>
        </w:tabs>
        <w:spacing w:line="500" w:lineRule="exact"/>
        <w:ind w:left="0" w:firstLine="640"/>
        <w:rPr>
          <w:rFonts w:ascii="Times New Roman" w:hAnsi="Times New Roman" w:eastAsia="仿宋_GB2312"/>
          <w:sz w:val="32"/>
          <w:szCs w:val="32"/>
        </w:rPr>
      </w:pPr>
      <w:r>
        <w:rPr>
          <w:rFonts w:ascii="Times New Roman" w:hAnsi="Times New Roman" w:eastAsia="仿宋_GB2312"/>
          <w:sz w:val="32"/>
          <w:szCs w:val="32"/>
        </w:rPr>
        <w:t>天津市天正司法鉴定中心文书司法鉴定报告书，证实被告人李颖于2008年10月23日和24日在天津金源盛珠宝首饰店刷卡消费时，在刷卡凭证上“李颖”的签名与被告人李颖在公安机关讯问笔录上“李颖”的签名字迹系同一人书写形成。</w:t>
      </w:r>
    </w:p>
    <w:p>
      <w:pPr>
        <w:pStyle w:val="2"/>
        <w:numPr>
          <w:ilvl w:val="0"/>
          <w:numId w:val="1"/>
        </w:numPr>
        <w:tabs>
          <w:tab w:val="left" w:pos="0"/>
          <w:tab w:val="clear" w:pos="1360"/>
        </w:tabs>
        <w:spacing w:line="500" w:lineRule="exact"/>
        <w:ind w:left="0" w:firstLine="640"/>
        <w:rPr>
          <w:rFonts w:ascii="Times New Roman" w:hAnsi="Times New Roman" w:eastAsia="仿宋_GB2312"/>
          <w:sz w:val="32"/>
          <w:szCs w:val="32"/>
        </w:rPr>
      </w:pPr>
      <w:r>
        <w:rPr>
          <w:rFonts w:ascii="Times New Roman" w:hAnsi="Times New Roman" w:eastAsia="仿宋_GB2312"/>
          <w:sz w:val="32"/>
          <w:szCs w:val="32"/>
        </w:rPr>
        <w:t>公安机关出具的案件来源、抓获经过，证实本案的案发和被告人李颖到案的经过。</w:t>
      </w:r>
    </w:p>
    <w:p>
      <w:pPr>
        <w:tabs>
          <w:tab w:val="left" w:pos="4320"/>
          <w:tab w:val="left" w:pos="4620"/>
          <w:tab w:val="left" w:pos="5760"/>
        </w:tabs>
        <w:spacing w:line="500" w:lineRule="exact"/>
        <w:ind w:firstLine="636" w:firstLineChars="199"/>
        <w:rPr>
          <w:rFonts w:eastAsia="仿宋_GB2312"/>
          <w:sz w:val="32"/>
          <w:szCs w:val="32"/>
        </w:rPr>
      </w:pPr>
      <w:r>
        <w:rPr>
          <w:rFonts w:eastAsia="仿宋_GB2312"/>
          <w:sz w:val="32"/>
          <w:szCs w:val="32"/>
        </w:rPr>
        <w:t>公诉机关认为，被告人李颖的行为触犯了《中华人民共和国刑法》第一百九十六条之规定，已构成信用卡诈骗罪，提请本院对被告人李颖依法判处。</w:t>
      </w:r>
    </w:p>
    <w:p>
      <w:pPr>
        <w:pStyle w:val="2"/>
        <w:tabs>
          <w:tab w:val="left" w:pos="0"/>
        </w:tabs>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庭审中，被告人李颖对起诉书指控的犯罪事实不表异议，但提出透支购买的金项链是给自己的前任丈夫，自己没有实际得到，故自己的行为不构成犯罪。</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经审理查明，2008年9月3日，被告人李颖向中国建设银行股份有限公司天津市分行信用卡中心申办信用卡一张（卡号：4367455029322000，后变更为：4367455135750268），并于2008年10月15日开始透支消费。期间，被告人李颖于2010年3月12日还款人民币6000元后拒不归还剩余款项。截止2012年5月14日，被告人李颖透支本息合计人民币47021.65元，其中本金人民币21015.65元。2009年9月7日至案发，该银行多次以电话、信函、上门等方式向被告人李颖进行催收，但其以各种理由推脱，未归还剩余款项。2012年5月15日，被告人李颖接公安机关电话通知到案。</w:t>
      </w:r>
    </w:p>
    <w:p>
      <w:pPr>
        <w:spacing w:line="500" w:lineRule="exact"/>
        <w:ind w:firstLine="640" w:firstLineChars="200"/>
        <w:rPr>
          <w:rFonts w:eastAsia="仿宋_GB2312"/>
          <w:sz w:val="32"/>
          <w:szCs w:val="32"/>
        </w:rPr>
      </w:pPr>
      <w:r>
        <w:rPr>
          <w:rFonts w:eastAsia="仿宋_GB2312"/>
          <w:sz w:val="32"/>
          <w:szCs w:val="32"/>
        </w:rPr>
        <w:t>天津市河西区人民检察院就上述事实向本院提供的相关证据，经当庭质证，被告人李颖对公诉机关当庭出示的证据不持异议，公诉机关提供的证据来源合法，内容客观真实，本院予以确认。</w:t>
      </w:r>
    </w:p>
    <w:p>
      <w:pPr>
        <w:pStyle w:val="2"/>
        <w:tabs>
          <w:tab w:val="left" w:pos="0"/>
        </w:tabs>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本院认为，被告人李颖目无国家法律，使用信用卡恶意透支，经发卡银行多次催收，超过三个月仍不归还，透支数额</w:t>
      </w:r>
      <w:r>
        <w:rPr>
          <w:rFonts w:ascii="Times New Roman" w:hAnsi="Times New Roman" w:eastAsia="仿宋_GB2312"/>
          <w:kern w:val="0"/>
          <w:sz w:val="32"/>
          <w:szCs w:val="32"/>
        </w:rPr>
        <w:t>共计人民币</w:t>
      </w:r>
      <w:r>
        <w:rPr>
          <w:rFonts w:ascii="Times New Roman" w:hAnsi="Times New Roman" w:eastAsia="仿宋_GB2312"/>
          <w:sz w:val="32"/>
          <w:szCs w:val="32"/>
        </w:rPr>
        <w:t>2.1万</w:t>
      </w:r>
      <w:r>
        <w:rPr>
          <w:rFonts w:ascii="Times New Roman" w:hAnsi="Times New Roman" w:eastAsia="仿宋_GB2312"/>
          <w:kern w:val="0"/>
          <w:sz w:val="32"/>
          <w:szCs w:val="32"/>
        </w:rPr>
        <w:t>余元，数额较大，</w:t>
      </w:r>
      <w:r>
        <w:rPr>
          <w:rFonts w:ascii="Times New Roman" w:hAnsi="Times New Roman" w:eastAsia="仿宋_GB2312"/>
          <w:sz w:val="32"/>
          <w:szCs w:val="32"/>
        </w:rPr>
        <w:t>其行为已构成信用卡诈骗罪。天津市河西区人民检察院指控被告人李颖犯信用卡诈骗罪，事实清楚，证据确实充分，罪名成立，本院予以支持。被告人李颖提出，因透支购买的金项链是给自己的前任丈夫，自己没有实际得到，故自己的行为不构成信用卡诈骗罪的辩解与法相悖，本院不予采纳。为严肃国家法律，维护金融管理秩序，</w:t>
      </w:r>
      <w:r>
        <w:rPr>
          <w:rFonts w:ascii="Times New Roman" w:hAnsi="Times New Roman" w:eastAsia="仿宋_GB2312"/>
          <w:bCs/>
          <w:kern w:val="0"/>
          <w:sz w:val="32"/>
          <w:szCs w:val="32"/>
          <w:lang w:val="zh-CN"/>
        </w:rPr>
        <w:t>保护公共财产权利不受侵犯，</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w:t>
      </w:r>
      <w:r>
        <w:rPr>
          <w:rFonts w:ascii="Times New Roman" w:hAnsi="Times New Roman" w:eastAsia="仿宋_GB2312"/>
          <w:sz w:val="32"/>
          <w:szCs w:val="32"/>
        </w:rPr>
        <w:t>之规定，判决如下：</w:t>
      </w:r>
    </w:p>
    <w:p>
      <w:pPr>
        <w:spacing w:line="500" w:lineRule="exact"/>
        <w:ind w:firstLine="720" w:firstLineChars="225"/>
        <w:rPr>
          <w:rFonts w:eastAsia="仿宋_GB2312"/>
          <w:sz w:val="32"/>
          <w:szCs w:val="32"/>
        </w:rPr>
      </w:pPr>
      <w:r>
        <w:rPr>
          <w:rFonts w:eastAsia="仿宋_GB2312"/>
          <w:sz w:val="32"/>
          <w:szCs w:val="32"/>
        </w:rPr>
        <w:t>被告人李颖犯信用卡诈骗罪，判处有期徒刑一年二个月，罚金人民币20000元（</w:t>
      </w:r>
      <w:r>
        <w:rPr>
          <w:rFonts w:hint="eastAsia" w:eastAsia="仿宋_GB2312"/>
          <w:sz w:val="32"/>
          <w:szCs w:val="32"/>
        </w:rPr>
        <w:t>已交</w:t>
      </w:r>
      <w:r>
        <w:rPr>
          <w:rFonts w:eastAsia="仿宋_GB2312"/>
          <w:sz w:val="32"/>
          <w:szCs w:val="32"/>
        </w:rPr>
        <w:t>纳）。</w:t>
      </w:r>
    </w:p>
    <w:p>
      <w:pPr>
        <w:spacing w:line="500" w:lineRule="exact"/>
        <w:ind w:firstLine="320" w:firstLineChars="100"/>
        <w:rPr>
          <w:rFonts w:eastAsia="仿宋_GB2312"/>
          <w:sz w:val="32"/>
          <w:szCs w:val="32"/>
        </w:rPr>
      </w:pPr>
      <w:r>
        <w:rPr>
          <w:rFonts w:eastAsia="仿宋_GB2312"/>
          <w:sz w:val="32"/>
          <w:szCs w:val="32"/>
        </w:rPr>
        <w:t>（刑期从判决执行之日起计算。判决执行以前先行羁押的，羁押一日折抵刑期一日，即自201</w:t>
      </w:r>
      <w:r>
        <w:rPr>
          <w:rFonts w:hint="eastAsia" w:eastAsia="仿宋_GB2312"/>
          <w:sz w:val="32"/>
          <w:szCs w:val="32"/>
        </w:rPr>
        <w:t>4</w:t>
      </w:r>
      <w:r>
        <w:rPr>
          <w:rFonts w:eastAsia="仿宋_GB2312"/>
          <w:sz w:val="32"/>
          <w:szCs w:val="32"/>
        </w:rPr>
        <w:t>年</w:t>
      </w:r>
      <w:r>
        <w:rPr>
          <w:rFonts w:hint="eastAsia" w:eastAsia="仿宋_GB2312"/>
          <w:sz w:val="32"/>
          <w:szCs w:val="32"/>
        </w:rPr>
        <w:t>1</w:t>
      </w:r>
      <w:r>
        <w:rPr>
          <w:rFonts w:eastAsia="仿宋_GB2312"/>
          <w:sz w:val="32"/>
          <w:szCs w:val="32"/>
        </w:rPr>
        <w:t>月</w:t>
      </w:r>
      <w:r>
        <w:rPr>
          <w:rFonts w:hint="eastAsia" w:eastAsia="仿宋_GB2312"/>
          <w:sz w:val="32"/>
          <w:szCs w:val="32"/>
        </w:rPr>
        <w:t>4</w:t>
      </w:r>
      <w:r>
        <w:rPr>
          <w:rFonts w:eastAsia="仿宋_GB2312"/>
          <w:sz w:val="32"/>
          <w:szCs w:val="32"/>
        </w:rPr>
        <w:t>日起至</w:t>
      </w:r>
      <w:r>
        <w:rPr>
          <w:rFonts w:hint="eastAsia" w:eastAsia="仿宋_GB2312"/>
          <w:sz w:val="32"/>
          <w:szCs w:val="32"/>
        </w:rPr>
        <w:t>2015</w:t>
      </w:r>
      <w:r>
        <w:rPr>
          <w:rFonts w:eastAsia="仿宋_GB2312"/>
          <w:sz w:val="32"/>
          <w:szCs w:val="32"/>
        </w:rPr>
        <w:t>年</w:t>
      </w:r>
      <w:r>
        <w:rPr>
          <w:rFonts w:hint="eastAsia" w:eastAsia="仿宋_GB2312"/>
          <w:sz w:val="32"/>
          <w:szCs w:val="32"/>
        </w:rPr>
        <w:t>3</w:t>
      </w:r>
      <w:r>
        <w:rPr>
          <w:rFonts w:eastAsia="仿宋_GB2312"/>
          <w:sz w:val="32"/>
          <w:szCs w:val="32"/>
        </w:rPr>
        <w:t>月</w:t>
      </w:r>
      <w:r>
        <w:rPr>
          <w:rFonts w:hint="eastAsia" w:eastAsia="仿宋_GB2312"/>
          <w:sz w:val="32"/>
          <w:szCs w:val="32"/>
        </w:rPr>
        <w:t>3</w:t>
      </w:r>
      <w:r>
        <w:rPr>
          <w:rFonts w:eastAsia="仿宋_GB2312"/>
          <w:sz w:val="32"/>
          <w:szCs w:val="32"/>
        </w:rPr>
        <w:t>日止</w:t>
      </w:r>
      <w:r>
        <w:rPr>
          <w:rFonts w:hint="eastAsia" w:eastAsia="仿宋_GB2312"/>
          <w:sz w:val="32"/>
          <w:szCs w:val="32"/>
        </w:rPr>
        <w:t>。</w:t>
      </w:r>
      <w:r>
        <w:rPr>
          <w:rFonts w:eastAsia="仿宋_GB2312"/>
          <w:sz w:val="32"/>
          <w:szCs w:val="32"/>
        </w:rPr>
        <w:t>）</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rPr>
          <w:rFonts w:hint="eastAsia" w:eastAsia="仿宋_GB2312"/>
          <w:sz w:val="32"/>
          <w:szCs w:val="32"/>
        </w:rPr>
      </w:pPr>
    </w:p>
    <w:p>
      <w:pPr>
        <w:spacing w:line="500" w:lineRule="exact"/>
        <w:rPr>
          <w:rFonts w:hint="eastAsia" w:eastAsia="仿宋_GB2312"/>
          <w:sz w:val="32"/>
          <w:szCs w:val="32"/>
        </w:rPr>
      </w:pPr>
    </w:p>
    <w:p>
      <w:pPr>
        <w:spacing w:line="500" w:lineRule="exact"/>
        <w:rPr>
          <w:rFonts w:eastAsia="仿宋_GB2312"/>
          <w:szCs w:val="32"/>
        </w:rPr>
      </w:pPr>
    </w:p>
    <w:p>
      <w:pPr>
        <w:tabs>
          <w:tab w:val="left" w:pos="6765"/>
        </w:tabs>
        <w:wordWrap w:val="0"/>
        <w:spacing w:line="500" w:lineRule="exact"/>
        <w:ind w:firstLine="640" w:firstLineChars="200"/>
        <w:jc w:val="right"/>
        <w:rPr>
          <w:rFonts w:eastAsia="仿宋_GB2312"/>
          <w:sz w:val="32"/>
          <w:szCs w:val="32"/>
        </w:rPr>
      </w:pPr>
      <w:r>
        <w:rPr>
          <w:rFonts w:eastAsia="仿宋_GB2312"/>
          <w:sz w:val="32"/>
          <w:szCs w:val="32"/>
        </w:rPr>
        <w:t>审  判  长</w:t>
      </w:r>
      <w:r>
        <w:rPr>
          <w:rFonts w:hint="eastAsia" w:eastAsia="仿宋_GB2312"/>
          <w:sz w:val="32"/>
          <w:szCs w:val="32"/>
        </w:rPr>
        <w:t xml:space="preserve">    </w:t>
      </w:r>
      <w:r>
        <w:rPr>
          <w:rFonts w:eastAsia="仿宋_GB2312"/>
          <w:sz w:val="32"/>
          <w:szCs w:val="32"/>
        </w:rPr>
        <w:t>果</w:t>
      </w:r>
      <w:r>
        <w:rPr>
          <w:rFonts w:hint="eastAsia" w:eastAsia="仿宋_GB2312"/>
          <w:sz w:val="32"/>
          <w:szCs w:val="32"/>
        </w:rPr>
        <w:t xml:space="preserve">  </w:t>
      </w:r>
      <w:r>
        <w:rPr>
          <w:rFonts w:eastAsia="仿宋_GB2312"/>
          <w:sz w:val="32"/>
          <w:szCs w:val="32"/>
        </w:rPr>
        <w:t>健</w:t>
      </w:r>
    </w:p>
    <w:p>
      <w:pPr>
        <w:tabs>
          <w:tab w:val="left" w:pos="6765"/>
        </w:tabs>
        <w:spacing w:line="500" w:lineRule="exact"/>
        <w:ind w:firstLine="640" w:firstLineChars="200"/>
        <w:jc w:val="right"/>
        <w:rPr>
          <w:rFonts w:eastAsia="仿宋_GB2312"/>
          <w:sz w:val="32"/>
          <w:szCs w:val="32"/>
        </w:rPr>
      </w:pPr>
      <w:r>
        <w:rPr>
          <w:rFonts w:eastAsia="仿宋_GB2312"/>
          <w:sz w:val="32"/>
          <w:szCs w:val="32"/>
        </w:rPr>
        <w:t xml:space="preserve">审  判  员   </w:t>
      </w:r>
      <w:r>
        <w:rPr>
          <w:rFonts w:hint="eastAsia" w:eastAsia="仿宋_GB2312"/>
          <w:sz w:val="32"/>
          <w:szCs w:val="32"/>
        </w:rPr>
        <w:t xml:space="preserve"> </w:t>
      </w:r>
      <w:r>
        <w:rPr>
          <w:rFonts w:eastAsia="仿宋_GB2312"/>
          <w:sz w:val="32"/>
          <w:szCs w:val="32"/>
        </w:rPr>
        <w:t>闫</w:t>
      </w:r>
      <w:r>
        <w:rPr>
          <w:rFonts w:hint="eastAsia" w:eastAsia="仿宋_GB2312"/>
          <w:sz w:val="32"/>
          <w:szCs w:val="32"/>
        </w:rPr>
        <w:t xml:space="preserve"> </w:t>
      </w:r>
      <w:r>
        <w:rPr>
          <w:rFonts w:eastAsia="仿宋_GB2312"/>
          <w:sz w:val="32"/>
          <w:szCs w:val="32"/>
        </w:rPr>
        <w:t xml:space="preserve"> 清</w:t>
      </w:r>
    </w:p>
    <w:p>
      <w:pPr>
        <w:tabs>
          <w:tab w:val="left" w:pos="6765"/>
        </w:tabs>
        <w:spacing w:line="500" w:lineRule="exact"/>
        <w:ind w:firstLine="640" w:firstLineChars="200"/>
        <w:jc w:val="right"/>
        <w:rPr>
          <w:rFonts w:eastAsia="仿宋_GB2312"/>
          <w:sz w:val="32"/>
          <w:szCs w:val="32"/>
        </w:rPr>
      </w:pPr>
      <w:r>
        <w:rPr>
          <w:rFonts w:eastAsia="仿宋_GB2312"/>
          <w:sz w:val="32"/>
          <w:szCs w:val="32"/>
        </w:rPr>
        <w:t xml:space="preserve">人民陪审员 </w:t>
      </w:r>
      <w:r>
        <w:rPr>
          <w:rFonts w:hint="eastAsia" w:eastAsia="仿宋_GB2312"/>
          <w:sz w:val="32"/>
          <w:szCs w:val="32"/>
        </w:rPr>
        <w:t xml:space="preserve"> </w:t>
      </w:r>
      <w:r>
        <w:rPr>
          <w:rFonts w:eastAsia="仿宋_GB2312"/>
          <w:sz w:val="32"/>
          <w:szCs w:val="32"/>
        </w:rPr>
        <w:t xml:space="preserve"> </w:t>
      </w:r>
      <w:r>
        <w:rPr>
          <w:rFonts w:hint="eastAsia" w:eastAsia="仿宋_GB2312"/>
          <w:sz w:val="32"/>
          <w:szCs w:val="32"/>
        </w:rPr>
        <w:t xml:space="preserve"> </w:t>
      </w:r>
      <w:r>
        <w:rPr>
          <w:rFonts w:eastAsia="仿宋_GB2312"/>
          <w:sz w:val="32"/>
          <w:szCs w:val="32"/>
        </w:rPr>
        <w:t>谷世文</w:t>
      </w:r>
    </w:p>
    <w:p>
      <w:pPr>
        <w:tabs>
          <w:tab w:val="left" w:pos="6765"/>
        </w:tabs>
        <w:spacing w:line="500" w:lineRule="exact"/>
        <w:ind w:firstLine="640" w:firstLineChars="200"/>
        <w:jc w:val="right"/>
        <w:rPr>
          <w:rFonts w:eastAsia="仿宋_GB2312"/>
          <w:sz w:val="32"/>
          <w:szCs w:val="32"/>
        </w:rPr>
      </w:pPr>
    </w:p>
    <w:p>
      <w:pPr>
        <w:spacing w:line="500" w:lineRule="exact"/>
        <w:ind w:firstLine="640" w:firstLineChars="200"/>
        <w:jc w:val="right"/>
        <w:rPr>
          <w:rFonts w:hint="eastAsia" w:eastAsia="仿宋_GB2312"/>
          <w:sz w:val="32"/>
          <w:szCs w:val="32"/>
        </w:rPr>
      </w:pPr>
      <w:r>
        <w:rPr>
          <w:rFonts w:eastAsia="仿宋_GB2312"/>
          <w:sz w:val="32"/>
          <w:szCs w:val="32"/>
        </w:rPr>
        <w:t>二</w:t>
      </w:r>
      <w:r>
        <w:rPr>
          <w:rFonts w:hint="eastAsia" w:ascii="宋体" w:hAnsi="宋体" w:cs="宋体"/>
          <w:sz w:val="32"/>
          <w:szCs w:val="32"/>
        </w:rPr>
        <w:t>〇</w:t>
      </w:r>
      <w:r>
        <w:rPr>
          <w:rFonts w:eastAsia="仿宋_GB2312"/>
          <w:sz w:val="32"/>
          <w:szCs w:val="32"/>
        </w:rPr>
        <w:t>一</w:t>
      </w:r>
      <w:r>
        <w:rPr>
          <w:rFonts w:hint="eastAsia" w:eastAsia="仿宋_GB2312"/>
          <w:sz w:val="32"/>
          <w:szCs w:val="32"/>
        </w:rPr>
        <w:t>四</w:t>
      </w:r>
      <w:r>
        <w:rPr>
          <w:rFonts w:eastAsia="仿宋_GB2312"/>
          <w:sz w:val="32"/>
          <w:szCs w:val="32"/>
        </w:rPr>
        <w:t>年</w:t>
      </w:r>
      <w:r>
        <w:rPr>
          <w:rFonts w:hint="eastAsia" w:eastAsia="仿宋_GB2312"/>
          <w:sz w:val="32"/>
          <w:szCs w:val="32"/>
        </w:rPr>
        <w:t>一</w:t>
      </w:r>
      <w:r>
        <w:rPr>
          <w:rFonts w:eastAsia="仿宋_GB2312"/>
          <w:sz w:val="32"/>
          <w:szCs w:val="32"/>
        </w:rPr>
        <w:t>月</w:t>
      </w:r>
      <w:r>
        <w:rPr>
          <w:rFonts w:hint="eastAsia" w:eastAsia="仿宋_GB2312"/>
          <w:sz w:val="32"/>
          <w:szCs w:val="32"/>
        </w:rPr>
        <w:t>四</w:t>
      </w:r>
      <w:r>
        <w:rPr>
          <w:rFonts w:eastAsia="仿宋_GB2312"/>
          <w:sz w:val="32"/>
          <w:szCs w:val="32"/>
        </w:rPr>
        <w:t>日</w:t>
      </w:r>
    </w:p>
    <w:p>
      <w:pPr>
        <w:spacing w:line="500" w:lineRule="exact"/>
        <w:ind w:firstLine="640" w:firstLineChars="200"/>
        <w:jc w:val="right"/>
        <w:rPr>
          <w:rFonts w:hint="eastAsia" w:ascii="宋体" w:hAnsi="宋体" w:cs="宋体"/>
          <w:sz w:val="32"/>
          <w:szCs w:val="32"/>
        </w:rPr>
      </w:pPr>
    </w:p>
    <w:p>
      <w:pPr>
        <w:wordWrap w:val="0"/>
        <w:spacing w:line="500" w:lineRule="exact"/>
        <w:ind w:firstLine="640" w:firstLineChars="200"/>
        <w:jc w:val="right"/>
        <w:rPr>
          <w:rFonts w:hint="eastAsia" w:eastAsia="仿宋_GB2312"/>
          <w:sz w:val="32"/>
          <w:szCs w:val="32"/>
        </w:rPr>
      </w:pPr>
      <w:r>
        <w:rPr>
          <w:rFonts w:eastAsia="仿宋_GB2312"/>
          <w:sz w:val="32"/>
          <w:szCs w:val="32"/>
        </w:rPr>
        <w:t xml:space="preserve">书  记  员 </w:t>
      </w:r>
      <w:r>
        <w:rPr>
          <w:rFonts w:hint="eastAsia" w:eastAsia="仿宋_GB2312"/>
          <w:sz w:val="32"/>
          <w:szCs w:val="32"/>
        </w:rPr>
        <w:t xml:space="preserve">   </w:t>
      </w:r>
      <w:r>
        <w:rPr>
          <w:rFonts w:eastAsia="仿宋_GB2312"/>
          <w:sz w:val="32"/>
          <w:szCs w:val="32"/>
        </w:rPr>
        <w:t>刘丛薇</w:t>
      </w:r>
    </w:p>
    <w:p>
      <w:pPr>
        <w:wordWrap w:val="0"/>
        <w:spacing w:line="500" w:lineRule="exact"/>
        <w:ind w:firstLine="640" w:firstLineChars="200"/>
        <w:jc w:val="right"/>
        <w:rPr>
          <w:rFonts w:hint="eastAsia" w:eastAsia="仿宋_GB2312"/>
          <w:sz w:val="32"/>
          <w:szCs w:val="32"/>
        </w:rPr>
      </w:pPr>
      <w:r>
        <w:rPr>
          <w:rFonts w:hint="eastAsia" w:eastAsia="仿宋_GB2312"/>
          <w:sz w:val="32"/>
          <w:szCs w:val="32"/>
        </w:rPr>
        <w:t>速  录  员    王  欣</w:t>
      </w:r>
    </w:p>
    <w:p>
      <w:pPr>
        <w:spacing w:line="500" w:lineRule="exact"/>
        <w:rPr>
          <w:rFonts w:eastAsia="仿宋_GB2312"/>
          <w:b/>
          <w:szCs w:val="32"/>
        </w:rPr>
      </w:pPr>
    </w:p>
    <w:p>
      <w:pPr>
        <w:rPr>
          <w:rFonts w:hint="eastAsia"/>
          <w:b/>
          <w:szCs w:val="32"/>
        </w:rPr>
      </w:pPr>
    </w:p>
    <w:p>
      <w:pPr>
        <w:ind w:firstLine="640" w:firstLineChars="200"/>
        <w:rPr>
          <w:rFonts w:ascii="仿宋_GB2312" w:eastAsia="仿宋_GB2312"/>
          <w:sz w:val="32"/>
        </w:rPr>
      </w:pPr>
      <w:r>
        <w:rPr>
          <w:rFonts w:hint="eastAsia" w:ascii="仿宋_GB2312" w:eastAsia="仿宋_GB2312"/>
          <w:sz w:val="32"/>
        </w:rPr>
        <w:t>本案引用的法律条文</w:t>
      </w:r>
    </w:p>
    <w:p>
      <w:pPr>
        <w:ind w:firstLine="640" w:firstLineChars="200"/>
        <w:rPr>
          <w:rFonts w:ascii="仿宋_GB2312" w:eastAsia="仿宋_GB2312"/>
          <w:sz w:val="32"/>
        </w:rPr>
      </w:pPr>
      <w:r>
        <w:rPr>
          <w:rFonts w:hint="eastAsia" w:ascii="仿宋_GB2312" w:eastAsia="仿宋_GB2312"/>
          <w:sz w:val="32"/>
        </w:rPr>
        <w:t>《中华人民共和国刑法》</w:t>
      </w:r>
    </w:p>
    <w:p>
      <w:pPr>
        <w:ind w:firstLine="640" w:firstLineChars="200"/>
        <w:rPr>
          <w:rFonts w:hint="eastAsia" w:ascii="仿宋_GB2312" w:eastAsia="仿宋_GB2312"/>
          <w:sz w:val="32"/>
        </w:rPr>
      </w:pPr>
      <w:r>
        <w:rPr>
          <w:rFonts w:hint="eastAsia" w:ascii="仿宋_GB2312" w:eastAsia="仿宋_GB2312"/>
          <w:sz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ind w:firstLine="640" w:firstLineChars="200"/>
        <w:rPr>
          <w:rFonts w:hint="eastAsia" w:ascii="仿宋_GB2312" w:eastAsia="仿宋_GB2312"/>
          <w:sz w:val="32"/>
        </w:rPr>
      </w:pPr>
      <w:r>
        <w:rPr>
          <w:rFonts w:hint="eastAsia" w:ascii="仿宋_GB2312" w:eastAsia="仿宋_GB2312"/>
          <w:sz w:val="32"/>
        </w:rPr>
        <w:t>（二）使用作废的信用卡的；</w:t>
      </w:r>
    </w:p>
    <w:p>
      <w:pPr>
        <w:ind w:firstLine="640" w:firstLineChars="200"/>
        <w:rPr>
          <w:rFonts w:hint="eastAsia" w:ascii="仿宋_GB2312" w:eastAsia="仿宋_GB2312"/>
          <w:sz w:val="32"/>
        </w:rPr>
      </w:pPr>
      <w:r>
        <w:rPr>
          <w:rFonts w:hint="eastAsia" w:ascii="仿宋_GB2312" w:eastAsia="仿宋_GB2312"/>
          <w:sz w:val="32"/>
        </w:rPr>
        <w:t>（三）冒用他人信用卡的；</w:t>
      </w:r>
    </w:p>
    <w:p>
      <w:pPr>
        <w:ind w:firstLine="640" w:firstLineChars="200"/>
        <w:rPr>
          <w:rFonts w:hint="eastAsia"/>
        </w:rPr>
      </w:pPr>
      <w:r>
        <w:rPr>
          <w:rFonts w:hint="eastAsia" w:ascii="仿宋_GB2312" w:eastAsia="仿宋_GB2312"/>
          <w:sz w:val="32"/>
        </w:rPr>
        <w:t>（四）恶意透支的。</w:t>
      </w:r>
    </w:p>
    <w:p>
      <w:pPr>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F256D"/>
    <w:multiLevelType w:val="multilevel"/>
    <w:tmpl w:val="3E3F256D"/>
    <w:lvl w:ilvl="0" w:tentative="0">
      <w:start w:val="1"/>
      <w:numFmt w:val="decimal"/>
      <w:lvlText w:val="%1、"/>
      <w:lvlJc w:val="left"/>
      <w:pPr>
        <w:tabs>
          <w:tab w:val="left" w:pos="1360"/>
        </w:tabs>
        <w:ind w:left="1360" w:hanging="720"/>
      </w:pPr>
      <w:rPr>
        <w:rFonts w:hint="default"/>
      </w:rPr>
    </w:lvl>
    <w:lvl w:ilvl="1" w:tentative="0">
      <w:start w:val="1"/>
      <w:numFmt w:val="lowerLetter"/>
      <w:lvlText w:val="%2)"/>
      <w:lvlJc w:val="left"/>
      <w:pPr>
        <w:tabs>
          <w:tab w:val="left" w:pos="1480"/>
        </w:tabs>
        <w:ind w:left="1480" w:hanging="420"/>
      </w:pPr>
    </w:lvl>
    <w:lvl w:ilvl="2" w:tentative="0">
      <w:start w:val="1"/>
      <w:numFmt w:val="lowerRoman"/>
      <w:lvlText w:val="%3."/>
      <w:lvlJc w:val="right"/>
      <w:pPr>
        <w:tabs>
          <w:tab w:val="left" w:pos="1900"/>
        </w:tabs>
        <w:ind w:left="1900" w:hanging="420"/>
      </w:pPr>
    </w:lvl>
    <w:lvl w:ilvl="3" w:tentative="0">
      <w:start w:val="1"/>
      <w:numFmt w:val="decimal"/>
      <w:lvlText w:val="%4."/>
      <w:lvlJc w:val="left"/>
      <w:pPr>
        <w:tabs>
          <w:tab w:val="left" w:pos="2320"/>
        </w:tabs>
        <w:ind w:left="2320" w:hanging="420"/>
      </w:pPr>
    </w:lvl>
    <w:lvl w:ilvl="4" w:tentative="0">
      <w:start w:val="1"/>
      <w:numFmt w:val="lowerLetter"/>
      <w:lvlText w:val="%5)"/>
      <w:lvlJc w:val="left"/>
      <w:pPr>
        <w:tabs>
          <w:tab w:val="left" w:pos="2740"/>
        </w:tabs>
        <w:ind w:left="2740" w:hanging="420"/>
      </w:pPr>
    </w:lvl>
    <w:lvl w:ilvl="5" w:tentative="0">
      <w:start w:val="1"/>
      <w:numFmt w:val="lowerRoman"/>
      <w:lvlText w:val="%6."/>
      <w:lvlJc w:val="right"/>
      <w:pPr>
        <w:tabs>
          <w:tab w:val="left" w:pos="3160"/>
        </w:tabs>
        <w:ind w:left="3160" w:hanging="420"/>
      </w:pPr>
    </w:lvl>
    <w:lvl w:ilvl="6" w:tentative="0">
      <w:start w:val="1"/>
      <w:numFmt w:val="decimal"/>
      <w:lvlText w:val="%7."/>
      <w:lvlJc w:val="left"/>
      <w:pPr>
        <w:tabs>
          <w:tab w:val="left" w:pos="3580"/>
        </w:tabs>
        <w:ind w:left="3580" w:hanging="420"/>
      </w:pPr>
    </w:lvl>
    <w:lvl w:ilvl="7" w:tentative="0">
      <w:start w:val="1"/>
      <w:numFmt w:val="lowerLetter"/>
      <w:lvlText w:val="%8)"/>
      <w:lvlJc w:val="left"/>
      <w:pPr>
        <w:tabs>
          <w:tab w:val="left" w:pos="4000"/>
        </w:tabs>
        <w:ind w:left="4000" w:hanging="420"/>
      </w:pPr>
    </w:lvl>
    <w:lvl w:ilvl="8" w:tentative="0">
      <w:start w:val="1"/>
      <w:numFmt w:val="lowerRoman"/>
      <w:lvlText w:val="%9."/>
      <w:lvlJc w:val="right"/>
      <w:pPr>
        <w:tabs>
          <w:tab w:val="left"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5149"/>
    <w:rsid w:val="00001494"/>
    <w:rsid w:val="00005048"/>
    <w:rsid w:val="00012DBF"/>
    <w:rsid w:val="00016B63"/>
    <w:rsid w:val="0004293C"/>
    <w:rsid w:val="00042C10"/>
    <w:rsid w:val="00044E94"/>
    <w:rsid w:val="00046DEA"/>
    <w:rsid w:val="00050427"/>
    <w:rsid w:val="0005480B"/>
    <w:rsid w:val="0006119D"/>
    <w:rsid w:val="000617E7"/>
    <w:rsid w:val="00063D52"/>
    <w:rsid w:val="00065F8A"/>
    <w:rsid w:val="00067B02"/>
    <w:rsid w:val="0008349D"/>
    <w:rsid w:val="00084E7D"/>
    <w:rsid w:val="000A32E0"/>
    <w:rsid w:val="000A578B"/>
    <w:rsid w:val="000A7151"/>
    <w:rsid w:val="000C1254"/>
    <w:rsid w:val="000C3C7E"/>
    <w:rsid w:val="000C60E3"/>
    <w:rsid w:val="000C7089"/>
    <w:rsid w:val="000C7524"/>
    <w:rsid w:val="000F4EA3"/>
    <w:rsid w:val="000F572B"/>
    <w:rsid w:val="0011290D"/>
    <w:rsid w:val="00124CE9"/>
    <w:rsid w:val="00136ACE"/>
    <w:rsid w:val="001746E5"/>
    <w:rsid w:val="00190303"/>
    <w:rsid w:val="00194ACE"/>
    <w:rsid w:val="001A0A80"/>
    <w:rsid w:val="001A0AC7"/>
    <w:rsid w:val="001A1DE6"/>
    <w:rsid w:val="001B7DE5"/>
    <w:rsid w:val="001C5ECF"/>
    <w:rsid w:val="001D7354"/>
    <w:rsid w:val="001E62EF"/>
    <w:rsid w:val="001F1BBA"/>
    <w:rsid w:val="00202C6D"/>
    <w:rsid w:val="00207D6B"/>
    <w:rsid w:val="00222A1A"/>
    <w:rsid w:val="00231876"/>
    <w:rsid w:val="00246B08"/>
    <w:rsid w:val="00260593"/>
    <w:rsid w:val="00260A9D"/>
    <w:rsid w:val="002E0081"/>
    <w:rsid w:val="002F1820"/>
    <w:rsid w:val="002F2690"/>
    <w:rsid w:val="003054E0"/>
    <w:rsid w:val="0030712E"/>
    <w:rsid w:val="00322C51"/>
    <w:rsid w:val="003257D9"/>
    <w:rsid w:val="00330267"/>
    <w:rsid w:val="00332C87"/>
    <w:rsid w:val="00362A21"/>
    <w:rsid w:val="00364D80"/>
    <w:rsid w:val="003802D3"/>
    <w:rsid w:val="00383F9F"/>
    <w:rsid w:val="003A0971"/>
    <w:rsid w:val="003B2AFD"/>
    <w:rsid w:val="003B5770"/>
    <w:rsid w:val="003C1B3A"/>
    <w:rsid w:val="003C3CD4"/>
    <w:rsid w:val="003C66D6"/>
    <w:rsid w:val="003D0C6C"/>
    <w:rsid w:val="003F6B92"/>
    <w:rsid w:val="00402E24"/>
    <w:rsid w:val="00462343"/>
    <w:rsid w:val="0046325A"/>
    <w:rsid w:val="004834A2"/>
    <w:rsid w:val="004847F7"/>
    <w:rsid w:val="00484872"/>
    <w:rsid w:val="004866B9"/>
    <w:rsid w:val="004A7ACD"/>
    <w:rsid w:val="004B3076"/>
    <w:rsid w:val="004B4BC3"/>
    <w:rsid w:val="004C1B53"/>
    <w:rsid w:val="004C3AE5"/>
    <w:rsid w:val="004C71FC"/>
    <w:rsid w:val="004E2A44"/>
    <w:rsid w:val="004E2F46"/>
    <w:rsid w:val="005117BB"/>
    <w:rsid w:val="00520137"/>
    <w:rsid w:val="00520330"/>
    <w:rsid w:val="00560363"/>
    <w:rsid w:val="005950E1"/>
    <w:rsid w:val="005A4595"/>
    <w:rsid w:val="005C009F"/>
    <w:rsid w:val="005D24DF"/>
    <w:rsid w:val="005E5047"/>
    <w:rsid w:val="005E50D8"/>
    <w:rsid w:val="005F0CC2"/>
    <w:rsid w:val="00603E84"/>
    <w:rsid w:val="00611947"/>
    <w:rsid w:val="00627E96"/>
    <w:rsid w:val="00631E76"/>
    <w:rsid w:val="006512D8"/>
    <w:rsid w:val="00662DF3"/>
    <w:rsid w:val="00673828"/>
    <w:rsid w:val="00675E9A"/>
    <w:rsid w:val="00691FE0"/>
    <w:rsid w:val="006A6206"/>
    <w:rsid w:val="006A689F"/>
    <w:rsid w:val="006C27D2"/>
    <w:rsid w:val="006E5F99"/>
    <w:rsid w:val="007505B4"/>
    <w:rsid w:val="00760E1C"/>
    <w:rsid w:val="00770CAC"/>
    <w:rsid w:val="00777E45"/>
    <w:rsid w:val="00790ADB"/>
    <w:rsid w:val="00794653"/>
    <w:rsid w:val="007A3922"/>
    <w:rsid w:val="007A69FD"/>
    <w:rsid w:val="007A794C"/>
    <w:rsid w:val="007B6030"/>
    <w:rsid w:val="007D0FD6"/>
    <w:rsid w:val="007D10C2"/>
    <w:rsid w:val="007E2E41"/>
    <w:rsid w:val="007E6893"/>
    <w:rsid w:val="007F603A"/>
    <w:rsid w:val="00812D94"/>
    <w:rsid w:val="00822085"/>
    <w:rsid w:val="00835A5E"/>
    <w:rsid w:val="008369D7"/>
    <w:rsid w:val="00836B49"/>
    <w:rsid w:val="008374B3"/>
    <w:rsid w:val="00837588"/>
    <w:rsid w:val="0085766A"/>
    <w:rsid w:val="00881432"/>
    <w:rsid w:val="00885772"/>
    <w:rsid w:val="008869C9"/>
    <w:rsid w:val="0089409B"/>
    <w:rsid w:val="0089707F"/>
    <w:rsid w:val="008A18A4"/>
    <w:rsid w:val="008A5D02"/>
    <w:rsid w:val="008C2229"/>
    <w:rsid w:val="008D0859"/>
    <w:rsid w:val="008D71D9"/>
    <w:rsid w:val="008E2EAF"/>
    <w:rsid w:val="008E77E3"/>
    <w:rsid w:val="008E7BED"/>
    <w:rsid w:val="008F0B6F"/>
    <w:rsid w:val="009067AE"/>
    <w:rsid w:val="00907664"/>
    <w:rsid w:val="0091048A"/>
    <w:rsid w:val="00936C8C"/>
    <w:rsid w:val="009414C2"/>
    <w:rsid w:val="0095560B"/>
    <w:rsid w:val="00957F7B"/>
    <w:rsid w:val="00962525"/>
    <w:rsid w:val="0097781E"/>
    <w:rsid w:val="0098712C"/>
    <w:rsid w:val="00997E1D"/>
    <w:rsid w:val="009C427F"/>
    <w:rsid w:val="009C48E4"/>
    <w:rsid w:val="009E50B8"/>
    <w:rsid w:val="009F3717"/>
    <w:rsid w:val="009F3ADD"/>
    <w:rsid w:val="00A13EF3"/>
    <w:rsid w:val="00A17497"/>
    <w:rsid w:val="00A2576C"/>
    <w:rsid w:val="00A273C9"/>
    <w:rsid w:val="00A3347B"/>
    <w:rsid w:val="00A3665F"/>
    <w:rsid w:val="00A431D6"/>
    <w:rsid w:val="00A47451"/>
    <w:rsid w:val="00A73EB1"/>
    <w:rsid w:val="00A74699"/>
    <w:rsid w:val="00A76C8F"/>
    <w:rsid w:val="00A83627"/>
    <w:rsid w:val="00A8605A"/>
    <w:rsid w:val="00AA367B"/>
    <w:rsid w:val="00AA3BC3"/>
    <w:rsid w:val="00AA4351"/>
    <w:rsid w:val="00AB035C"/>
    <w:rsid w:val="00AB43DF"/>
    <w:rsid w:val="00AC3573"/>
    <w:rsid w:val="00AD4FA0"/>
    <w:rsid w:val="00AD747D"/>
    <w:rsid w:val="00AE415D"/>
    <w:rsid w:val="00AF66C7"/>
    <w:rsid w:val="00B04FBC"/>
    <w:rsid w:val="00B33CDE"/>
    <w:rsid w:val="00B356F9"/>
    <w:rsid w:val="00B41045"/>
    <w:rsid w:val="00B41C65"/>
    <w:rsid w:val="00B51A24"/>
    <w:rsid w:val="00B67838"/>
    <w:rsid w:val="00B770E4"/>
    <w:rsid w:val="00B870C6"/>
    <w:rsid w:val="00B91603"/>
    <w:rsid w:val="00B93AF2"/>
    <w:rsid w:val="00BA3EA2"/>
    <w:rsid w:val="00BA59BE"/>
    <w:rsid w:val="00BD5149"/>
    <w:rsid w:val="00BE792B"/>
    <w:rsid w:val="00BF281A"/>
    <w:rsid w:val="00BF666A"/>
    <w:rsid w:val="00C05C18"/>
    <w:rsid w:val="00C13B8A"/>
    <w:rsid w:val="00C14555"/>
    <w:rsid w:val="00C357DF"/>
    <w:rsid w:val="00C41814"/>
    <w:rsid w:val="00C41D7C"/>
    <w:rsid w:val="00C47B75"/>
    <w:rsid w:val="00C57342"/>
    <w:rsid w:val="00C67CF5"/>
    <w:rsid w:val="00C87E48"/>
    <w:rsid w:val="00C914D2"/>
    <w:rsid w:val="00C92FF4"/>
    <w:rsid w:val="00CA1594"/>
    <w:rsid w:val="00CD3294"/>
    <w:rsid w:val="00CD3A7B"/>
    <w:rsid w:val="00CE1A6C"/>
    <w:rsid w:val="00CE5E58"/>
    <w:rsid w:val="00CF1255"/>
    <w:rsid w:val="00D24203"/>
    <w:rsid w:val="00D40471"/>
    <w:rsid w:val="00D47576"/>
    <w:rsid w:val="00D61232"/>
    <w:rsid w:val="00D66308"/>
    <w:rsid w:val="00D70358"/>
    <w:rsid w:val="00D70E0E"/>
    <w:rsid w:val="00D72E20"/>
    <w:rsid w:val="00DE497F"/>
    <w:rsid w:val="00DF06DC"/>
    <w:rsid w:val="00DF12CB"/>
    <w:rsid w:val="00DF2BD6"/>
    <w:rsid w:val="00DF7ECD"/>
    <w:rsid w:val="00E01322"/>
    <w:rsid w:val="00E1151C"/>
    <w:rsid w:val="00E269F6"/>
    <w:rsid w:val="00E50CFD"/>
    <w:rsid w:val="00E512FD"/>
    <w:rsid w:val="00E660F9"/>
    <w:rsid w:val="00E73881"/>
    <w:rsid w:val="00E84770"/>
    <w:rsid w:val="00EB5D8E"/>
    <w:rsid w:val="00EB6D45"/>
    <w:rsid w:val="00ED3E2C"/>
    <w:rsid w:val="00EF55E8"/>
    <w:rsid w:val="00EF5AA5"/>
    <w:rsid w:val="00EF6996"/>
    <w:rsid w:val="00F130A4"/>
    <w:rsid w:val="00F25503"/>
    <w:rsid w:val="00F33449"/>
    <w:rsid w:val="00F4132F"/>
    <w:rsid w:val="00F41B49"/>
    <w:rsid w:val="00F4453C"/>
    <w:rsid w:val="00F5047B"/>
    <w:rsid w:val="00F54D80"/>
    <w:rsid w:val="00F57E8C"/>
    <w:rsid w:val="00F66E3E"/>
    <w:rsid w:val="00F70A4E"/>
    <w:rsid w:val="00F73C72"/>
    <w:rsid w:val="00F779A6"/>
    <w:rsid w:val="00F91BE8"/>
    <w:rsid w:val="00F957A9"/>
    <w:rsid w:val="00F968D1"/>
    <w:rsid w:val="00FC14F9"/>
    <w:rsid w:val="00FC4E54"/>
    <w:rsid w:val="00FD5086"/>
    <w:rsid w:val="00FD5E9A"/>
    <w:rsid w:val="00FE4CA7"/>
    <w:rsid w:val="00FF040E"/>
    <w:rsid w:val="240E6F20"/>
    <w:rsid w:val="31E10616"/>
    <w:rsid w:val="76455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V"/>
    </w:tcPr>
  </w:style>
  <w:style w:type="paragraph" w:styleId="2">
    <w:name w:val="Plain Text"/>
    <w:basedOn w:val="1"/>
    <w:qFormat/>
    <w:uiPriority w:val="0"/>
    <w:rPr>
      <w:rFonts w:ascii="宋体" w:hAnsi="Courier New"/>
      <w:szCs w:val="20"/>
    </w:rPr>
  </w:style>
  <w:style w:type="paragraph" w:styleId="3">
    <w:name w:val="Date"/>
    <w:basedOn w:val="1"/>
    <w:next w:val="1"/>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customStyle="1" w:styleId="6">
    <w:name w:val="Char"/>
    <w:basedOn w:val="1"/>
    <w:link w:val="5"/>
    <w:qFormat/>
    <w:uiPriority w:val="0"/>
    <w:pPr>
      <w:widowControl/>
      <w:spacing w:after="160" w:line="240" w:lineRule="exact"/>
      <w:jc w:val="left"/>
    </w:pPr>
    <w:rPr>
      <w:rFonts w:ascii="Verdana" w:hAnsi="Verdana" w:eastAsia="仿宋_GB2312"/>
      <w:kern w:val="0"/>
      <w:sz w:val="24"/>
      <w:szCs w:val="20"/>
      <w:lang w:eastAsia="en-US"/>
    </w:rPr>
  </w:style>
  <w:style w:type="character" w:styleId="7">
    <w:name w:val="page number"/>
    <w:basedOn w:val="5"/>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358</Words>
  <Characters>2041</Characters>
  <Lines>17</Lines>
  <Paragraphs>4</Paragraphs>
  <TotalTime>0</TotalTime>
  <ScaleCrop>false</ScaleCrop>
  <LinksUpToDate>false</LinksUpToDate>
  <CharactersWithSpaces>2395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2013-08-14T06:25:00Z</dcterms:created>
  <dc:creator>MC SYSTEM</dc:creator>
  <cp:lastModifiedBy>TF-PC</cp:lastModifiedBy>
  <dcterms:modified xsi:type="dcterms:W3CDTF">2018-08-27T09:48:32Z</dcterms:modified>
  <dc:title>天津市河西区人民法院</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