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jc w:val="center"/>
        <w:rPr>
          <w:rFonts w:hint="eastAsia" w:ascii="宋体" w:hAnsi="宋体"/>
          <w:sz w:val="44"/>
        </w:rPr>
      </w:pPr>
      <w:bookmarkStart w:id="0" w:name="_GoBack"/>
      <w:bookmarkEnd w:id="0"/>
      <w:r>
        <w:rPr>
          <w:rFonts w:hint="eastAsia" w:ascii="宋体" w:hAnsi="宋体"/>
          <w:sz w:val="44"/>
        </w:rPr>
        <w:t>天津市宝坻区人民法院</w:t>
      </w:r>
    </w:p>
    <w:p>
      <w:pPr>
        <w:spacing w:before="240" w:beforeLines="100" w:line="800" w:lineRule="exact"/>
        <w:jc w:val="center"/>
        <w:rPr>
          <w:rFonts w:hint="eastAsia" w:ascii="宋体" w:hAnsi="宋体"/>
          <w:kern w:val="0"/>
          <w:sz w:val="52"/>
        </w:rPr>
      </w:pPr>
      <w:r>
        <w:rPr>
          <w:rFonts w:hint="eastAsia" w:ascii="宋体" w:hAnsi="宋体"/>
          <w:spacing w:val="50"/>
          <w:kern w:val="0"/>
          <w:sz w:val="52"/>
        </w:rPr>
        <w:t>刑事判决</w:t>
      </w:r>
      <w:r>
        <w:rPr>
          <w:rFonts w:hint="eastAsia" w:ascii="宋体" w:hAnsi="宋体"/>
          <w:kern w:val="0"/>
          <w:sz w:val="52"/>
        </w:rPr>
        <w:t>书</w:t>
      </w:r>
    </w:p>
    <w:p>
      <w:pPr>
        <w:spacing w:after="240" w:afterLines="100" w:line="900" w:lineRule="exact"/>
        <w:jc w:val="right"/>
        <w:rPr>
          <w:rFonts w:hint="eastAsia" w:ascii="仿宋_GB2312" w:eastAsia="仿宋_GB2312"/>
          <w:sz w:val="32"/>
        </w:rPr>
      </w:pPr>
      <w:r>
        <w:rPr>
          <w:rFonts w:hint="eastAsia" w:ascii="仿宋_GB2312" w:eastAsia="仿宋_GB2312"/>
          <w:sz w:val="32"/>
        </w:rPr>
        <w:t>（2015）宝刑初字第421号</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公诉机关天津市宝坻区人民检察院。</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被告人王东波，男，1969年6月20日出生，天津市宝坻区人，汉族，初中文化，个体工商户，住宝坻区口东镇刘台村北街4排19号。因涉嫌犯信用卡诈骗罪于2015年5月10日被天津市公安局宝坻分局刑事拘留，同年6月16日被执行逮捕。现羁押于宝坻区看守所。</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辩护人白永举，天津文韬律师事务所律师。</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以津宝检公诉刑诉[2015]316号起诉书指控被告人王东波犯信用卡诈骗罪，于2015年9月10日向本院提起公诉，并提出量刑建议。本院依法适用简易程序，组成合议庭，公开开庭审理了本案。宝坻区人民检察院代理检察员赵敏出庭支持公诉，被告人王东波及其辩护人白永举均到庭参加诉讼。现已审理终结。</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宝坻区人民检察院指控，2011年5月17日，被告人王东波以其个人名义从中信银行申领一张额度为25000元的信用卡（卡号4033920006933420），后该卡一直用于透支消费，2013年9月28日最后一次还款2000元，后中信银行多次催款，王东波为躲避银行催款，变更其联系方式及住址，且一直未再还款，截至2015年4月17日，该信用卡共欠本金24965.91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2011年7月19日，被告人王东波以其个人名义在中国农业银行办理了一张信用卡（卡号4637580003370628），后该卡用于透支消费，2013年12月9日该信用卡还款9万元，但于当日又被其透支消费98500元，后农业银行多次催款，王东波为躲避银行催款，变更其联系方式及住址，致银行未能与其取得联系，王东波也未还款，截至2015年2月17日，该信用卡共欠本金99794.49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上述事实，被告人在庭审过程中无异议，并有证人刘民、张宝宇、黄勇、邓景富、张志娟、王连波、张志国、王奇的证言笔录，举报材料，王东波申领信用卡材料，账户信息明细表，银行催收记录，案件来源及到案经过材料，常住人口登记表，房屋租赁及解除协议，宝坻区交通局出具证明，中信银行信用卡账户情况说明，涉案中信银行信用卡，银行外访录音光盘等证据证实，足以认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本院认为，被告人王东波以非法占有为目的，违反信用卡管理规定，恶意透支信用卡，数额巨大，其行为已构成信用卡诈骗罪。宝坻区人民检察院指控被告人犯罪罪名成立。鉴于被告人王东波到案后能够如实供述自己的罪行，依法予以从轻处罚。辩护人提出的王东波有坦白情节的辩护意见，符合法律规定，本院予以采纳。公诉机关所提量刑建议，本院亦予以采纳。综上，依照《中华人民共和国刑法》第一百九十六条第一款第（四）项、第二款，第六十七条第三款，第六十四条，《最高人民法院、最高人民检察院关于办理妨害信用卡管理刑事案件具体应用法律若干问题的解释》第六条之规定，判决如下：</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一、被告人王东波犯信用卡诈骗罪，判处有期徒刑五年六个月，并处罚金人民币五万元。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（刑期从判决执行之日起计算。判决执行前先行羁押的，羁押一日折抵刑期一日，即自2015年5月10日起至2020年11月9日止。罚金于判决生效后十日内缴纳。）</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二、责令被告人王东波退赔被害单位中信银行信用卡本金24965.91元；中国农业银行信用卡本金99794.49元。</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如不服本判决，可在接到判决书的第二日起十日内，通过本院或者直接向天津市第一中级人民法院提出上诉。书面上诉的，应当提交上诉状正本一份、副本二份。</w:t>
      </w:r>
    </w:p>
    <w:p>
      <w:pPr>
        <w:spacing w:before="960" w:beforeLines="400" w:line="600" w:lineRule="exact"/>
        <w:ind w:right="565" w:rightChars="269"/>
        <w:jc w:val="right"/>
        <w:rPr>
          <w:rFonts w:hint="eastAsia"/>
        </w:rPr>
      </w:pPr>
      <w:r>
        <w:rPr>
          <w:rFonts w:hint="eastAsia" w:ascii="仿宋_GB2312" w:hAnsi="Calibri" w:eastAsia="仿宋_GB2312"/>
          <w:sz w:val="32"/>
        </w:rPr>
        <w:t>审  判  长    王宏伟</w:t>
      </w:r>
      <w:r>
        <w:rPr>
          <w:rFonts w:hint="eastAsia" w:ascii="仿宋_GB2312" w:hAnsi="Calibri" w:eastAsia="仿宋_GB2312"/>
          <w:sz w:val="32"/>
        </w:rPr>
        <w:br w:type="textWrapping"/>
      </w:r>
      <w:r>
        <w:rPr>
          <w:rFonts w:hint="eastAsia" w:ascii="仿宋_GB2312" w:hAnsi="Calibri" w:eastAsia="仿宋_GB2312"/>
          <w:sz w:val="32"/>
        </w:rPr>
        <w:t>人民陪审员    李秀林</w:t>
      </w:r>
      <w:r>
        <w:rPr>
          <w:rFonts w:hint="eastAsia" w:ascii="仿宋_GB2312" w:hAnsi="Calibri" w:eastAsia="仿宋_GB2312"/>
          <w:sz w:val="32"/>
        </w:rPr>
        <w:br w:type="textWrapping"/>
      </w:r>
      <w:r>
        <w:rPr>
          <w:rFonts w:hint="eastAsia" w:ascii="仿宋_GB2312" w:hAnsi="Calibri" w:eastAsia="仿宋_GB2312"/>
          <w:sz w:val="32"/>
        </w:rPr>
        <w:t>人民陪审员    杨万珍</w:t>
      </w:r>
    </w:p>
    <w:p>
      <w:pPr>
        <w:spacing w:before="1920" w:beforeLines="8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二○一五年九月二十五日</w:t>
      </w:r>
    </w:p>
    <w:p>
      <w:pPr>
        <w:spacing w:before="480" w:beforeLines="200" w:line="600" w:lineRule="exact"/>
        <w:ind w:right="565" w:rightChars="269"/>
        <w:jc w:val="right"/>
        <w:rPr>
          <w:rFonts w:hint="eastAsia" w:ascii="仿宋_GB2312" w:hAnsi="Calibri" w:eastAsia="仿宋_GB2312"/>
          <w:sz w:val="32"/>
        </w:rPr>
      </w:pPr>
      <w:r>
        <w:rPr>
          <w:rFonts w:hint="eastAsia" w:ascii="仿宋_GB2312" w:hAnsi="Calibri" w:eastAsia="仿宋_GB2312"/>
          <w:sz w:val="32"/>
        </w:rPr>
        <w:t>书  记  员    曾庆颖</w:t>
      </w:r>
    </w:p>
    <w:p>
      <w:pPr>
        <w:spacing w:line="520" w:lineRule="exact"/>
        <w:ind w:firstLine="640" w:firstLineChars="200"/>
        <w:rPr>
          <w:rFonts w:hint="eastAsia" w:ascii="仿宋_GB2312" w:hAnsi="宋体" w:eastAsia="仿宋_GB2312"/>
          <w:sz w:val="32"/>
        </w:rPr>
      </w:pPr>
      <w:r>
        <w:rPr>
          <w:rFonts w:ascii="仿宋_GB2312" w:hAnsi="宋体" w:eastAsia="仿宋_GB2312"/>
          <w:sz w:val="32"/>
        </w:rPr>
        <w:br w:type="page"/>
      </w:r>
      <w:r>
        <w:rPr>
          <w:rFonts w:hint="eastAsia" w:ascii="仿宋_GB2312" w:hAnsi="宋体" w:eastAsia="仿宋_GB2312"/>
          <w:sz w:val="32"/>
        </w:rPr>
        <w:t>本案引用的法律条文：</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《中华人民共和国刑法》</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（一）使用伪造的信用卡的；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（二）使用作废的信用卡的；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（三）冒用他人信用卡的；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（四）恶意透支的。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前款所称恶意透支，是指持卡人以非法占有为目的，超过规定限额或者规定期限透支，并且经发卡银行催收后仍不归还的行为。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盗窃信用卡并使用的，依照本法第二百六十四条的规定定罪处罚。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第六十七条第三款  犯罪嫌疑人虽不具有前两款规定的自首情节，但是如实供述自己罪行的，可以从轻处罚；因其如实供述自己罪行，避免特别严重后果发生的，可以减轻处罚。</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《最高人民法院、最高人民检察院关于办理妨害信用卡管理刑事案件具体应用法律若干问题的解释》</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第六条   持卡人以非法占有为目的，超过规定限额或者规定期限透支，并且经发卡银行两次催收后超过3个月仍不归还的，应当认定为刑法第一百九十六条规定的“恶意透支”。</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有以下情形之一的，应当认定为刑法第一百九十六条第二款规定的“以非法占有为目的”：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（一）明知没有还款能力而大量透支，无法归还的；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（二）肆意挥霍透支的资金，无法归还的；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（三）透支后逃匿、改变联系方式，逃避银行催收的；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（四）抽逃、转移资金，隐匿财产，逃避还款的；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（五）使用透支的资金进行违法犯罪活动的；</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（六）其他非法占有资金，拒不归还的行为。</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恶意透支的数额，是指在第一款规定的条件下持卡人拒不归还的数额或者尚未归还的数额。不包括复利、滞纳金、手续费等发卡银行收取的费用。</w:t>
      </w:r>
    </w:p>
    <w:p>
      <w:pPr>
        <w:spacing w:line="520" w:lineRule="exact"/>
        <w:ind w:firstLine="640" w:firstLineChars="200"/>
        <w:rPr>
          <w:rFonts w:hint="eastAsia" w:ascii="仿宋_GB2312" w:hAnsi="宋体" w:eastAsia="仿宋_GB2312"/>
          <w:sz w:val="32"/>
        </w:rPr>
      </w:pPr>
      <w:r>
        <w:rPr>
          <w:rFonts w:hint="eastAsia" w:ascii="仿宋_GB2312" w:hAnsi="宋体" w:eastAsia="仿宋_GB2312"/>
          <w:sz w:val="32"/>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sectPr>
      <w:headerReference r:id="rId5" w:type="first"/>
      <w:footerReference r:id="rId8" w:type="first"/>
      <w:headerReference r:id="rId3" w:type="default"/>
      <w:footerReference r:id="rId6" w:type="default"/>
      <w:headerReference r:id="rId4" w:type="even"/>
      <w:footerReference r:id="rId7" w:type="even"/>
      <w:pgSz w:w="11907" w:h="16839"/>
      <w:pgMar w:top="1701" w:right="1418" w:bottom="1701" w:left="1701" w:header="851" w:footer="1701" w:gutter="0"/>
      <w:cols w:space="425" w:num="1"/>
      <w:titlePg/>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3</w:t>
    </w:r>
    <w:r>
      <w:rPr>
        <w:rStyle w:val="6"/>
        <w:rFonts w:ascii="Calibri" w:hAnsi="Calibri"/>
      </w:rPr>
      <w:fldChar w:fldCharType="end"/>
    </w:r>
  </w:p>
  <w:p>
    <w:pPr>
      <w:rPr>
        <w:rFonts w:ascii="Calibri" w:hAnsi="Calibri"/>
        <w:sz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tabs>
        <w:tab w:val="clear" w:pos="4153"/>
        <w:tab w:val="clear" w:pos="8306"/>
      </w:tabs>
      <w:rPr>
        <w:rStyle w:val="6"/>
        <w:rFonts w:ascii="Calibri" w:hAnsi="Calibri"/>
      </w:rPr>
    </w:pPr>
    <w:r>
      <w:rPr>
        <w:rStyle w:val="6"/>
        <w:rFonts w:ascii="Calibri" w:hAnsi="Calibri"/>
      </w:rPr>
      <w:fldChar w:fldCharType="begin"/>
    </w:r>
    <w:r>
      <w:rPr>
        <w:rStyle w:val="6"/>
        <w:rFonts w:ascii="Calibri" w:hAnsi="Calibri"/>
      </w:rPr>
      <w:instrText xml:space="preserve">PAGE  </w:instrText>
    </w:r>
    <w:r>
      <w:rPr>
        <w:rStyle w:val="6"/>
        <w:rFonts w:ascii="Calibri" w:hAnsi="Calibri"/>
      </w:rPr>
      <w:fldChar w:fldCharType="separate"/>
    </w:r>
    <w:r>
      <w:rPr>
        <w:rStyle w:val="6"/>
        <w:rFonts w:ascii="Calibri" w:hAnsi="Calibri"/>
      </w:rPr>
      <w:t>4</w:t>
    </w:r>
    <w:r>
      <w:rPr>
        <w:rStyle w:val="6"/>
        <w:rFonts w:ascii="Calibri" w:hAnsi="Calibri"/>
      </w:rPr>
      <w:fldChar w:fldCharType="end"/>
    </w:r>
  </w:p>
  <w:p>
    <w:pPr>
      <w:pStyle w:val="3"/>
      <w:tabs>
        <w:tab w:val="clear" w:pos="4153"/>
        <w:tab w:val="clear" w:pos="8306"/>
      </w:tabs>
      <w:rPr>
        <w:rFonts w:ascii="Calibri" w:hAnsi="Calibr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1</w:t>
    </w:r>
    <w:r>
      <w:rPr>
        <w:rFonts w:ascii="Calibri" w:hAnsi="Calibri"/>
      </w:rPr>
      <w:fldChar w:fldCharType="end"/>
    </w:r>
  </w:p>
  <w:p>
    <w:pPr>
      <w:pStyle w:val="3"/>
      <w:tabs>
        <w:tab w:val="clear" w:pos="4153"/>
        <w:tab w:val="clear" w:pos="8306"/>
      </w:tabs>
      <w:rPr>
        <w:rFonts w:ascii="Calibri" w:hAnsi="Calibri"/>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76"/>
  <w:drawingGridVerticalSpacing w:val="537"/>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E339D"/>
    <w:rsid w:val="00004108"/>
    <w:rsid w:val="000078BD"/>
    <w:rsid w:val="0002369C"/>
    <w:rsid w:val="00027136"/>
    <w:rsid w:val="00033246"/>
    <w:rsid w:val="000379B5"/>
    <w:rsid w:val="00042ADA"/>
    <w:rsid w:val="00042E96"/>
    <w:rsid w:val="0004368F"/>
    <w:rsid w:val="00054AAB"/>
    <w:rsid w:val="00065C1C"/>
    <w:rsid w:val="00086E61"/>
    <w:rsid w:val="000A5812"/>
    <w:rsid w:val="000A6AC1"/>
    <w:rsid w:val="000B71ED"/>
    <w:rsid w:val="000C0859"/>
    <w:rsid w:val="000C5C3D"/>
    <w:rsid w:val="000D420D"/>
    <w:rsid w:val="000F1C08"/>
    <w:rsid w:val="00106054"/>
    <w:rsid w:val="00113489"/>
    <w:rsid w:val="00117244"/>
    <w:rsid w:val="001241B9"/>
    <w:rsid w:val="00136033"/>
    <w:rsid w:val="00137322"/>
    <w:rsid w:val="00141D2F"/>
    <w:rsid w:val="00147615"/>
    <w:rsid w:val="00170451"/>
    <w:rsid w:val="0017639F"/>
    <w:rsid w:val="00183DF9"/>
    <w:rsid w:val="0018618F"/>
    <w:rsid w:val="001A0921"/>
    <w:rsid w:val="001A30EC"/>
    <w:rsid w:val="001B48EE"/>
    <w:rsid w:val="001C0487"/>
    <w:rsid w:val="001C2C01"/>
    <w:rsid w:val="001D1BAE"/>
    <w:rsid w:val="001D640C"/>
    <w:rsid w:val="001D6A4F"/>
    <w:rsid w:val="001E231D"/>
    <w:rsid w:val="00206F9C"/>
    <w:rsid w:val="00221483"/>
    <w:rsid w:val="00241EDA"/>
    <w:rsid w:val="00255BD5"/>
    <w:rsid w:val="00257A5A"/>
    <w:rsid w:val="00262420"/>
    <w:rsid w:val="00267D88"/>
    <w:rsid w:val="00270A72"/>
    <w:rsid w:val="00276948"/>
    <w:rsid w:val="0028166D"/>
    <w:rsid w:val="00286E31"/>
    <w:rsid w:val="0028750E"/>
    <w:rsid w:val="0029045F"/>
    <w:rsid w:val="00291336"/>
    <w:rsid w:val="00293F51"/>
    <w:rsid w:val="002A36C2"/>
    <w:rsid w:val="002B6B2F"/>
    <w:rsid w:val="002D2441"/>
    <w:rsid w:val="002E59DD"/>
    <w:rsid w:val="002E7BFE"/>
    <w:rsid w:val="003027C2"/>
    <w:rsid w:val="00307E80"/>
    <w:rsid w:val="0032670F"/>
    <w:rsid w:val="00361A29"/>
    <w:rsid w:val="0036563B"/>
    <w:rsid w:val="00366929"/>
    <w:rsid w:val="003830A4"/>
    <w:rsid w:val="00386D3A"/>
    <w:rsid w:val="00392B27"/>
    <w:rsid w:val="0039386C"/>
    <w:rsid w:val="003A04F4"/>
    <w:rsid w:val="003A1E70"/>
    <w:rsid w:val="003A28BF"/>
    <w:rsid w:val="003A3AED"/>
    <w:rsid w:val="003B1800"/>
    <w:rsid w:val="003C69D7"/>
    <w:rsid w:val="003F26FC"/>
    <w:rsid w:val="003F2880"/>
    <w:rsid w:val="003F3826"/>
    <w:rsid w:val="003F6179"/>
    <w:rsid w:val="00411AF7"/>
    <w:rsid w:val="004130FD"/>
    <w:rsid w:val="0042161E"/>
    <w:rsid w:val="00425596"/>
    <w:rsid w:val="00434D7E"/>
    <w:rsid w:val="004508D4"/>
    <w:rsid w:val="00452F53"/>
    <w:rsid w:val="00463013"/>
    <w:rsid w:val="00467CDE"/>
    <w:rsid w:val="00474945"/>
    <w:rsid w:val="00483B03"/>
    <w:rsid w:val="00487FB6"/>
    <w:rsid w:val="00497344"/>
    <w:rsid w:val="004B4A62"/>
    <w:rsid w:val="004C751E"/>
    <w:rsid w:val="004D1632"/>
    <w:rsid w:val="004D3BA0"/>
    <w:rsid w:val="004D4086"/>
    <w:rsid w:val="004D52DF"/>
    <w:rsid w:val="004D6CE5"/>
    <w:rsid w:val="004D78C4"/>
    <w:rsid w:val="004F6862"/>
    <w:rsid w:val="004F70CE"/>
    <w:rsid w:val="00501D65"/>
    <w:rsid w:val="00505834"/>
    <w:rsid w:val="005244BE"/>
    <w:rsid w:val="00532A25"/>
    <w:rsid w:val="00532E88"/>
    <w:rsid w:val="005408BE"/>
    <w:rsid w:val="00547D6F"/>
    <w:rsid w:val="00552E16"/>
    <w:rsid w:val="005636C0"/>
    <w:rsid w:val="0057147A"/>
    <w:rsid w:val="0057502C"/>
    <w:rsid w:val="00581C22"/>
    <w:rsid w:val="00582944"/>
    <w:rsid w:val="00586591"/>
    <w:rsid w:val="005930BF"/>
    <w:rsid w:val="00597D57"/>
    <w:rsid w:val="005B636E"/>
    <w:rsid w:val="005C28D9"/>
    <w:rsid w:val="005C5FB7"/>
    <w:rsid w:val="005D2EAC"/>
    <w:rsid w:val="005D44B2"/>
    <w:rsid w:val="005E339D"/>
    <w:rsid w:val="005F32B5"/>
    <w:rsid w:val="005F39CF"/>
    <w:rsid w:val="005F4559"/>
    <w:rsid w:val="0060076C"/>
    <w:rsid w:val="006024FC"/>
    <w:rsid w:val="00602D1D"/>
    <w:rsid w:val="00604F17"/>
    <w:rsid w:val="00607901"/>
    <w:rsid w:val="00621CB3"/>
    <w:rsid w:val="00621F52"/>
    <w:rsid w:val="00626D28"/>
    <w:rsid w:val="006307B6"/>
    <w:rsid w:val="00635C3C"/>
    <w:rsid w:val="00636700"/>
    <w:rsid w:val="006368B2"/>
    <w:rsid w:val="006532E6"/>
    <w:rsid w:val="0066554A"/>
    <w:rsid w:val="00676665"/>
    <w:rsid w:val="00690950"/>
    <w:rsid w:val="006925BF"/>
    <w:rsid w:val="006C2EA9"/>
    <w:rsid w:val="006E0AF0"/>
    <w:rsid w:val="006E3B0E"/>
    <w:rsid w:val="006E45AF"/>
    <w:rsid w:val="006E667B"/>
    <w:rsid w:val="006F1D3D"/>
    <w:rsid w:val="006F57FD"/>
    <w:rsid w:val="00702716"/>
    <w:rsid w:val="00703170"/>
    <w:rsid w:val="00710362"/>
    <w:rsid w:val="0071302A"/>
    <w:rsid w:val="007167E2"/>
    <w:rsid w:val="0073398D"/>
    <w:rsid w:val="00734C59"/>
    <w:rsid w:val="00734EB5"/>
    <w:rsid w:val="00741B48"/>
    <w:rsid w:val="0074200B"/>
    <w:rsid w:val="00743AAB"/>
    <w:rsid w:val="0074400A"/>
    <w:rsid w:val="007456B0"/>
    <w:rsid w:val="007468CC"/>
    <w:rsid w:val="007808A2"/>
    <w:rsid w:val="00787345"/>
    <w:rsid w:val="00797BEF"/>
    <w:rsid w:val="007B2EB5"/>
    <w:rsid w:val="007D5C12"/>
    <w:rsid w:val="007E3704"/>
    <w:rsid w:val="007F12F7"/>
    <w:rsid w:val="007F350B"/>
    <w:rsid w:val="007F611E"/>
    <w:rsid w:val="00804E87"/>
    <w:rsid w:val="008079D8"/>
    <w:rsid w:val="00811C4F"/>
    <w:rsid w:val="0081491C"/>
    <w:rsid w:val="00821321"/>
    <w:rsid w:val="008213B1"/>
    <w:rsid w:val="00824EEC"/>
    <w:rsid w:val="0082611E"/>
    <w:rsid w:val="008323F4"/>
    <w:rsid w:val="00847A76"/>
    <w:rsid w:val="00865FDC"/>
    <w:rsid w:val="008730DD"/>
    <w:rsid w:val="008905C5"/>
    <w:rsid w:val="00894F61"/>
    <w:rsid w:val="0089660A"/>
    <w:rsid w:val="0089794B"/>
    <w:rsid w:val="008A0F51"/>
    <w:rsid w:val="008B1387"/>
    <w:rsid w:val="008C3CAC"/>
    <w:rsid w:val="008C6085"/>
    <w:rsid w:val="008E35CB"/>
    <w:rsid w:val="00917D21"/>
    <w:rsid w:val="00922553"/>
    <w:rsid w:val="00932FCF"/>
    <w:rsid w:val="00940244"/>
    <w:rsid w:val="00942B56"/>
    <w:rsid w:val="009630D9"/>
    <w:rsid w:val="009674AB"/>
    <w:rsid w:val="00970818"/>
    <w:rsid w:val="00997514"/>
    <w:rsid w:val="0099770F"/>
    <w:rsid w:val="009A1A54"/>
    <w:rsid w:val="009A26DE"/>
    <w:rsid w:val="009A2EA5"/>
    <w:rsid w:val="009A4A8E"/>
    <w:rsid w:val="009A535E"/>
    <w:rsid w:val="009A5EB9"/>
    <w:rsid w:val="009B61F5"/>
    <w:rsid w:val="009D614E"/>
    <w:rsid w:val="00A01DDE"/>
    <w:rsid w:val="00A16F7C"/>
    <w:rsid w:val="00A42E6D"/>
    <w:rsid w:val="00A44AE4"/>
    <w:rsid w:val="00A46929"/>
    <w:rsid w:val="00A469F6"/>
    <w:rsid w:val="00A53C52"/>
    <w:rsid w:val="00A55CB8"/>
    <w:rsid w:val="00A61B3B"/>
    <w:rsid w:val="00A63B9C"/>
    <w:rsid w:val="00A748F4"/>
    <w:rsid w:val="00A956E5"/>
    <w:rsid w:val="00A97837"/>
    <w:rsid w:val="00AA0FC9"/>
    <w:rsid w:val="00AA43DA"/>
    <w:rsid w:val="00AD26AE"/>
    <w:rsid w:val="00AF4379"/>
    <w:rsid w:val="00B06DFC"/>
    <w:rsid w:val="00B16A35"/>
    <w:rsid w:val="00B22156"/>
    <w:rsid w:val="00B32A73"/>
    <w:rsid w:val="00B428FB"/>
    <w:rsid w:val="00B42E71"/>
    <w:rsid w:val="00B53FD4"/>
    <w:rsid w:val="00B60FE0"/>
    <w:rsid w:val="00B62DE6"/>
    <w:rsid w:val="00B65CA3"/>
    <w:rsid w:val="00B669F1"/>
    <w:rsid w:val="00B708E3"/>
    <w:rsid w:val="00B7096B"/>
    <w:rsid w:val="00B85546"/>
    <w:rsid w:val="00B915AF"/>
    <w:rsid w:val="00B91F42"/>
    <w:rsid w:val="00B9534F"/>
    <w:rsid w:val="00BA5913"/>
    <w:rsid w:val="00BB039A"/>
    <w:rsid w:val="00BB26A2"/>
    <w:rsid w:val="00BB5393"/>
    <w:rsid w:val="00BF148E"/>
    <w:rsid w:val="00C02AE7"/>
    <w:rsid w:val="00C14BEA"/>
    <w:rsid w:val="00C16172"/>
    <w:rsid w:val="00C230E8"/>
    <w:rsid w:val="00C4435C"/>
    <w:rsid w:val="00C62453"/>
    <w:rsid w:val="00C83540"/>
    <w:rsid w:val="00C929A6"/>
    <w:rsid w:val="00C95ACC"/>
    <w:rsid w:val="00CA0D35"/>
    <w:rsid w:val="00CB4049"/>
    <w:rsid w:val="00CB7255"/>
    <w:rsid w:val="00CC3876"/>
    <w:rsid w:val="00CD0187"/>
    <w:rsid w:val="00CD6980"/>
    <w:rsid w:val="00CE1311"/>
    <w:rsid w:val="00D117FB"/>
    <w:rsid w:val="00D16673"/>
    <w:rsid w:val="00D173B5"/>
    <w:rsid w:val="00D456D4"/>
    <w:rsid w:val="00D606B2"/>
    <w:rsid w:val="00D64272"/>
    <w:rsid w:val="00D715E0"/>
    <w:rsid w:val="00D77E0E"/>
    <w:rsid w:val="00D82263"/>
    <w:rsid w:val="00D83572"/>
    <w:rsid w:val="00D8630D"/>
    <w:rsid w:val="00D91626"/>
    <w:rsid w:val="00D95029"/>
    <w:rsid w:val="00D9662E"/>
    <w:rsid w:val="00DA0592"/>
    <w:rsid w:val="00DA3B98"/>
    <w:rsid w:val="00DB406C"/>
    <w:rsid w:val="00DE3D2D"/>
    <w:rsid w:val="00DE45B7"/>
    <w:rsid w:val="00DF120B"/>
    <w:rsid w:val="00DF1AFD"/>
    <w:rsid w:val="00E0315E"/>
    <w:rsid w:val="00E13E16"/>
    <w:rsid w:val="00E1531F"/>
    <w:rsid w:val="00E212F0"/>
    <w:rsid w:val="00E409D8"/>
    <w:rsid w:val="00E417CA"/>
    <w:rsid w:val="00E50A53"/>
    <w:rsid w:val="00E50E5A"/>
    <w:rsid w:val="00E52508"/>
    <w:rsid w:val="00E55BE7"/>
    <w:rsid w:val="00E6012A"/>
    <w:rsid w:val="00E654B8"/>
    <w:rsid w:val="00E764F4"/>
    <w:rsid w:val="00EC02CF"/>
    <w:rsid w:val="00EC233B"/>
    <w:rsid w:val="00ED352D"/>
    <w:rsid w:val="00EE226C"/>
    <w:rsid w:val="00EE43B2"/>
    <w:rsid w:val="00EF2F8F"/>
    <w:rsid w:val="00F00E02"/>
    <w:rsid w:val="00F0725D"/>
    <w:rsid w:val="00F12461"/>
    <w:rsid w:val="00F13BB3"/>
    <w:rsid w:val="00F361DE"/>
    <w:rsid w:val="00F46683"/>
    <w:rsid w:val="00F547B1"/>
    <w:rsid w:val="00F7130F"/>
    <w:rsid w:val="00F72FEE"/>
    <w:rsid w:val="00F73DB2"/>
    <w:rsid w:val="00F91990"/>
    <w:rsid w:val="00FB1322"/>
    <w:rsid w:val="00FC4CB4"/>
    <w:rsid w:val="00FD0D87"/>
    <w:rsid w:val="00FD11E2"/>
    <w:rsid w:val="1C1F5F9F"/>
    <w:rsid w:val="5C123FC8"/>
    <w:rsid w:val="742C16F1"/>
    <w:rsid w:val="7F603A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10"/>
    <w:qFormat/>
    <w:uiPriority w:val="0"/>
    <w:pPr>
      <w:tabs>
        <w:tab w:val="center" w:pos="4153"/>
        <w:tab w:val="right" w:pos="8306"/>
      </w:tabs>
      <w:snapToGrid w:val="0"/>
      <w:jc w:val="left"/>
    </w:pPr>
    <w:rPr>
      <w:sz w:val="18"/>
      <w:szCs w:val="18"/>
    </w:rPr>
  </w:style>
  <w:style w:type="paragraph" w:styleId="4">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6">
    <w:name w:val="page number"/>
    <w:basedOn w:val="5"/>
    <w:uiPriority w:val="0"/>
  </w:style>
  <w:style w:type="character" w:styleId="7">
    <w:name w:val="Hyperlink"/>
    <w:basedOn w:val="5"/>
    <w:uiPriority w:val="0"/>
    <w:rPr>
      <w:color w:val="0000FF"/>
      <w:u w:val="single"/>
    </w:rPr>
  </w:style>
  <w:style w:type="paragraph" w:customStyle="1" w:styleId="9">
    <w:name w:val="Char"/>
    <w:basedOn w:val="1"/>
    <w:uiPriority w:val="0"/>
    <w:pPr>
      <w:widowControl/>
      <w:spacing w:after="160" w:line="240" w:lineRule="exact"/>
      <w:jc w:val="left"/>
    </w:pPr>
    <w:rPr>
      <w:rFonts w:ascii="Verdana" w:hAnsi="Verdana" w:eastAsia="仿宋_GB2312"/>
      <w:kern w:val="0"/>
      <w:sz w:val="24"/>
      <w:szCs w:val="20"/>
      <w:lang w:eastAsia="en-US"/>
    </w:rPr>
  </w:style>
  <w:style w:type="character" w:customStyle="1" w:styleId="10">
    <w:name w:val=" Char Char"/>
    <w:basedOn w:val="5"/>
    <w:link w:val="3"/>
    <w:uiPriority w:val="0"/>
    <w:rPr>
      <w:rFonts w:eastAsia="宋体"/>
      <w:kern w:val="2"/>
      <w:sz w:val="18"/>
      <w:szCs w:val="18"/>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WWW.YlmF.CoM</Company>
  <Pages>1</Pages>
  <Words>385</Words>
  <Characters>2200</Characters>
  <Lines>18</Lines>
  <Paragraphs>5</Paragraphs>
  <TotalTime>0</TotalTime>
  <ScaleCrop>false</ScaleCrop>
  <LinksUpToDate>false</LinksUpToDate>
  <CharactersWithSpaces>2580</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2015-09-16T03:44:00Z</dcterms:created>
  <dc:creator>雨林木风</dc:creator>
  <cp:lastModifiedBy>TF-PC</cp:lastModifiedBy>
  <cp:lastPrinted>2014-12-31T06:46:00Z</cp:lastPrinted>
  <dcterms:modified xsi:type="dcterms:W3CDTF">2018-08-27T09:48:33Z</dcterms:modified>
  <dc:title>天津市宝坻区人民法院</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