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10" w:lineRule="exact"/>
        <w:jc w:val="center"/>
        <w:rPr>
          <w:rFonts w:hint="eastAsia" w:eastAsia="宋体"/>
          <w:spacing w:val="8"/>
          <w:sz w:val="44"/>
        </w:rPr>
      </w:pPr>
      <w:bookmarkStart w:id="0" w:name="_GoBack"/>
      <w:bookmarkEnd w:id="0"/>
      <w:r>
        <w:rPr>
          <w:rFonts w:hint="eastAsia" w:eastAsia="宋体"/>
          <w:spacing w:val="8"/>
          <w:sz w:val="44"/>
        </w:rPr>
        <w:t xml:space="preserve"> 天津市东丽区人民法院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240"/>
          <w:sz w:val="52"/>
          <w:szCs w:val="52"/>
        </w:rPr>
        <w:t xml:space="preserve"> </w:t>
      </w:r>
      <w:r>
        <w:rPr>
          <w:rFonts w:hint="eastAsia" w:ascii="宋体" w:hAnsi="宋体" w:eastAsia="宋体"/>
          <w:spacing w:val="260"/>
          <w:sz w:val="52"/>
          <w:szCs w:val="52"/>
        </w:rPr>
        <w:t>刑事判决书</w:t>
      </w:r>
    </w:p>
    <w:p>
      <w:pPr>
        <w:spacing w:line="800" w:lineRule="exact"/>
        <w:jc w:val="center"/>
        <w:rPr>
          <w:rFonts w:ascii="仿宋_GB2312" w:hAnsi="宋体"/>
          <w:spacing w:val="50"/>
          <w:szCs w:val="32"/>
        </w:rPr>
      </w:pPr>
      <w:r>
        <w:rPr>
          <w:rFonts w:hint="eastAsia"/>
          <w:spacing w:val="-20"/>
        </w:rPr>
        <w:t xml:space="preserve">                                          </w:t>
      </w:r>
      <w:r>
        <w:rPr>
          <w:rFonts w:hint="eastAsia" w:ascii="仿宋_GB2312"/>
          <w:spacing w:val="-20"/>
          <w:szCs w:val="32"/>
        </w:rPr>
        <w:t xml:space="preserve"> （2013）丽刑初字第716号</w:t>
      </w:r>
    </w:p>
    <w:tbl>
      <w:tblPr>
        <w:tblStyle w:val="6"/>
        <w:tblW w:w="8792" w:type="dxa"/>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7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vAlign w:val="top"/>
          </w:tcPr>
          <w:p>
            <w:pPr>
              <w:spacing w:line="520" w:lineRule="exact"/>
              <w:jc w:val="distribute"/>
              <w:rPr>
                <w:rFonts w:hint="eastAsia" w:ascii="楷体_GB2312" w:eastAsia="楷体_GB2312"/>
                <w:spacing w:val="-20"/>
                <w:sz w:val="30"/>
              </w:rPr>
            </w:pPr>
            <w:r>
              <w:rPr>
                <w:rFonts w:hint="eastAsia" w:ascii="楷体_GB2312" w:eastAsia="楷体_GB2312"/>
                <w:spacing w:val="-20"/>
                <w:sz w:val="30"/>
              </w:rPr>
              <w:t>院长</w:t>
            </w:r>
          </w:p>
          <w:p>
            <w:pPr>
              <w:spacing w:line="520" w:lineRule="exact"/>
              <w:jc w:val="distribute"/>
              <w:rPr>
                <w:rFonts w:hint="eastAsia" w:ascii="楷体_GB2312" w:eastAsia="楷体_GB2312"/>
                <w:spacing w:val="-20"/>
                <w:sz w:val="30"/>
              </w:rPr>
            </w:pPr>
            <w:r>
              <w:rPr>
                <w:rFonts w:hint="eastAsia" w:ascii="楷体_GB2312" w:eastAsia="楷体_GB2312"/>
                <w:spacing w:val="-20"/>
                <w:sz w:val="30"/>
              </w:rPr>
              <w:t>批示</w:t>
            </w:r>
          </w:p>
        </w:tc>
        <w:tc>
          <w:tcPr>
            <w:tcW w:w="7693" w:type="dxa"/>
            <w:vAlign w:val="top"/>
          </w:tcPr>
          <w:p>
            <w:pPr>
              <w:spacing w:line="520" w:lineRule="exact"/>
              <w:ind w:firstLine="540" w:firstLineChars="204"/>
              <w:rPr>
                <w:rFonts w:hint="eastAsia" w:ascii="楷体_GB2312" w:eastAsia="楷体_GB2312"/>
                <w:spacing w:val="-20"/>
                <w:sz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vAlign w:val="top"/>
          </w:tcPr>
          <w:p>
            <w:pPr>
              <w:spacing w:line="520" w:lineRule="exact"/>
              <w:jc w:val="distribute"/>
              <w:rPr>
                <w:rFonts w:hint="eastAsia" w:ascii="楷体_GB2312" w:eastAsia="楷体_GB2312"/>
                <w:spacing w:val="-20"/>
                <w:sz w:val="30"/>
              </w:rPr>
            </w:pPr>
            <w:r>
              <w:rPr>
                <w:rFonts w:hint="eastAsia" w:ascii="楷体_GB2312" w:eastAsia="楷体_GB2312"/>
                <w:spacing w:val="-20"/>
                <w:sz w:val="30"/>
              </w:rPr>
              <w:t>庭长</w:t>
            </w:r>
          </w:p>
          <w:p>
            <w:pPr>
              <w:spacing w:line="520" w:lineRule="exact"/>
              <w:jc w:val="distribute"/>
              <w:rPr>
                <w:rFonts w:hint="eastAsia" w:ascii="楷体_GB2312" w:eastAsia="楷体_GB2312"/>
                <w:spacing w:val="-20"/>
                <w:sz w:val="30"/>
              </w:rPr>
            </w:pPr>
            <w:r>
              <w:rPr>
                <w:rFonts w:hint="eastAsia" w:ascii="楷体_GB2312" w:eastAsia="楷体_GB2312"/>
                <w:spacing w:val="-20"/>
                <w:sz w:val="30"/>
              </w:rPr>
              <w:t>批示</w:t>
            </w:r>
          </w:p>
        </w:tc>
        <w:tc>
          <w:tcPr>
            <w:tcW w:w="7693" w:type="dxa"/>
            <w:vAlign w:val="top"/>
          </w:tcPr>
          <w:p>
            <w:pPr>
              <w:spacing w:line="520" w:lineRule="exact"/>
              <w:ind w:firstLine="540" w:firstLineChars="204"/>
              <w:rPr>
                <w:rFonts w:hint="eastAsia" w:ascii="楷体_GB2312" w:eastAsia="楷体_GB2312"/>
                <w:spacing w:val="-20"/>
                <w:sz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vAlign w:val="top"/>
          </w:tcPr>
          <w:p>
            <w:pPr>
              <w:spacing w:line="520" w:lineRule="exact"/>
              <w:jc w:val="center"/>
              <w:rPr>
                <w:rFonts w:hint="eastAsia" w:ascii="楷体_GB2312" w:eastAsia="楷体_GB2312"/>
                <w:spacing w:val="-20"/>
                <w:sz w:val="30"/>
              </w:rPr>
            </w:pPr>
            <w:r>
              <w:rPr>
                <w:rFonts w:hint="eastAsia" w:ascii="楷体_GB2312" w:eastAsia="楷体_GB2312"/>
                <w:spacing w:val="-20"/>
                <w:sz w:val="30"/>
              </w:rPr>
              <w:t>合</w:t>
            </w:r>
          </w:p>
          <w:p>
            <w:pPr>
              <w:spacing w:line="520" w:lineRule="exact"/>
              <w:jc w:val="center"/>
              <w:rPr>
                <w:rFonts w:hint="eastAsia" w:ascii="楷体_GB2312" w:eastAsia="楷体_GB2312"/>
                <w:spacing w:val="-20"/>
                <w:sz w:val="30"/>
              </w:rPr>
            </w:pPr>
            <w:r>
              <w:rPr>
                <w:rFonts w:hint="eastAsia" w:ascii="楷体_GB2312" w:eastAsia="楷体_GB2312"/>
                <w:spacing w:val="-20"/>
                <w:sz w:val="30"/>
              </w:rPr>
              <w:t>议</w:t>
            </w:r>
          </w:p>
          <w:p>
            <w:pPr>
              <w:spacing w:line="520" w:lineRule="exact"/>
              <w:jc w:val="center"/>
              <w:rPr>
                <w:rFonts w:hint="eastAsia" w:ascii="楷体_GB2312" w:eastAsia="楷体_GB2312"/>
                <w:spacing w:val="-20"/>
                <w:sz w:val="30"/>
              </w:rPr>
            </w:pPr>
            <w:r>
              <w:rPr>
                <w:rFonts w:hint="eastAsia" w:ascii="楷体_GB2312" w:eastAsia="楷体_GB2312"/>
                <w:spacing w:val="-20"/>
                <w:sz w:val="30"/>
              </w:rPr>
              <w:t>庭</w:t>
            </w:r>
          </w:p>
        </w:tc>
        <w:tc>
          <w:tcPr>
            <w:tcW w:w="7693" w:type="dxa"/>
            <w:vAlign w:val="top"/>
          </w:tcPr>
          <w:p>
            <w:pPr>
              <w:spacing w:line="520" w:lineRule="exact"/>
              <w:ind w:firstLine="662" w:firstLineChars="204"/>
              <w:rPr>
                <w:rFonts w:hint="eastAsia" w:ascii="楷体_GB2312" w:eastAsia="楷体_GB2312"/>
                <w:spacing w:val="-20"/>
                <w:sz w:val="30"/>
              </w:rPr>
            </w:pPr>
            <w:r>
              <w:rPr>
                <w:rFonts w:hint="eastAsia" w:ascii="仿宋_GB2312"/>
              </w:rPr>
              <w:t>被告人郑亚楠犯信用卡诈骗罪，判处有期徒刑六个月，缓刑一年，并处罚金20000元。</w:t>
            </w:r>
          </w:p>
        </w:tc>
      </w:tr>
    </w:tbl>
    <w:p>
      <w:pPr>
        <w:spacing w:line="800" w:lineRule="exact"/>
        <w:ind w:right="648" w:firstLine="480" w:firstLineChars="148"/>
        <w:rPr>
          <w:rFonts w:hint="eastAsia" w:ascii="仿宋_GB2312"/>
          <w:szCs w:val="32"/>
        </w:rPr>
      </w:pPr>
      <w:r>
        <w:rPr>
          <w:rFonts w:hint="eastAsia" w:ascii="仿宋_GB2312"/>
          <w:szCs w:val="32"/>
        </w:rPr>
        <w:t>公诉机关天津市东丽区人民检察院</w:t>
      </w:r>
    </w:p>
    <w:p>
      <w:pPr>
        <w:ind w:firstLine="646"/>
        <w:rPr>
          <w:rFonts w:hint="eastAsia" w:ascii="仿宋_GB2312"/>
          <w:szCs w:val="32"/>
        </w:rPr>
      </w:pPr>
      <w:r>
        <w:rPr>
          <w:rFonts w:hint="eastAsia" w:ascii="仿宋_GB2312"/>
          <w:szCs w:val="32"/>
        </w:rPr>
        <w:t xml:space="preserve">被告人郑亚楠，（身份证号120110198304255646），男，1983年4月25日出生，汉族，高中文化，无职业，户籍地天津市东丽区丰年街常熟北里8-4-402，现住天津市东丽区军粮城街和顺家园3-33-4-601。因本案于2013年6月20日被取保候审。 </w:t>
      </w:r>
    </w:p>
    <w:p>
      <w:pPr>
        <w:ind w:firstLine="646"/>
        <w:rPr>
          <w:rFonts w:hint="eastAsia" w:ascii="仿宋_GB2312"/>
          <w:szCs w:val="32"/>
        </w:rPr>
      </w:pPr>
      <w:r>
        <w:rPr>
          <w:rFonts w:hint="eastAsia" w:ascii="仿宋_GB2312"/>
          <w:szCs w:val="32"/>
        </w:rPr>
        <w:t>天津市东丽区人民检察院以津丽检刑诉（2013）616号起诉书指控被告人郑亚楠犯信用卡诈骗罪，于2013年10月15日向本院提起公诉。本院受理后，依法适用简易程序，实行独任审判，公开开庭审理了本案。天津市东丽区人民检察院指派代理检察员王秀鹏出庭支持公诉，被告人郑亚楠到庭参加了诉讼。本案现已审理终结。</w:t>
      </w:r>
    </w:p>
    <w:p>
      <w:pPr>
        <w:ind w:firstLine="646"/>
        <w:rPr>
          <w:rFonts w:hint="eastAsia" w:ascii="仿宋_GB2312"/>
          <w:szCs w:val="32"/>
        </w:rPr>
      </w:pPr>
      <w:r>
        <w:rPr>
          <w:rFonts w:hint="eastAsia" w:ascii="仿宋_GB2312"/>
          <w:szCs w:val="32"/>
        </w:rPr>
        <w:t xml:space="preserve">天津市东丽区人民检察院指控，2008年10月15日，被告人郑亚楠申领中国光大银行时尚联名信用卡一张，后被告人郑亚楠多次使用该信用卡透支消费，2010年7月1日被告人郑亚楠使用该卡取出现金2000元后，合计透支人民币14977.30元，经光大银行多次催收，至今仍未归还。被告人郑亚楠之行为已构成信用卡诈骗罪。 </w:t>
      </w:r>
    </w:p>
    <w:p>
      <w:pPr>
        <w:ind w:firstLine="642" w:firstLineChars="198"/>
        <w:rPr>
          <w:rFonts w:hint="eastAsia" w:ascii="仿宋_GB2312"/>
          <w:szCs w:val="32"/>
        </w:rPr>
      </w:pPr>
      <w:r>
        <w:rPr>
          <w:rFonts w:hint="eastAsia" w:ascii="仿宋_GB2312"/>
          <w:szCs w:val="32"/>
        </w:rPr>
        <w:t>被告人郑亚楠对指控的犯罪事实供认不讳。</w:t>
      </w:r>
    </w:p>
    <w:p>
      <w:pPr>
        <w:ind w:firstLine="650" w:firstLineChars="200"/>
        <w:rPr>
          <w:rFonts w:hint="eastAsia" w:ascii="仿宋_GB2312"/>
          <w:szCs w:val="32"/>
        </w:rPr>
      </w:pPr>
      <w:r>
        <w:rPr>
          <w:rFonts w:hint="eastAsia" w:ascii="仿宋_GB2312"/>
          <w:szCs w:val="32"/>
        </w:rPr>
        <w:t xml:space="preserve">经审理查明，2008年10月15日，被告人郑亚楠申领了中国光大银行时尚联名信用卡一张（户名：郑亚楠，账号：3568390003314658，消费额度15000元），后被告人郑亚楠多次使用该信用卡透支消费，2010年7月1日被告人郑亚楠使用该卡取出现金2000元后，合计透支人民币14977.30元，经光大银行多次催收，至今仍未归还。2013年6月19日被告人郑亚楠到公安机关主动投案。 </w:t>
      </w:r>
    </w:p>
    <w:p>
      <w:pPr>
        <w:ind w:firstLine="642" w:firstLineChars="198"/>
        <w:rPr>
          <w:rFonts w:hint="eastAsia" w:ascii="仿宋_GB2312"/>
          <w:szCs w:val="32"/>
        </w:rPr>
      </w:pPr>
      <w:r>
        <w:rPr>
          <w:rFonts w:hint="eastAsia" w:ascii="仿宋_GB2312"/>
          <w:szCs w:val="32"/>
        </w:rPr>
        <w:t>上述事实的证据有，被告人郑亚楠当庭对使用信用卡恶意透支消费犯罪事实的如实供认；光大银行工作人员马超的证言证实了被告人利用信用卡进行透支消费的整个经过；另有催收清单、银行往来账目及案件来源、抓获经过等书证材料在案予以佐证。以上证据均经当庭举证、质证，具有证明效力，本院予以采信，作为定案的依据。</w:t>
      </w:r>
    </w:p>
    <w:p>
      <w:pPr>
        <w:ind w:firstLine="650" w:firstLineChars="200"/>
        <w:rPr>
          <w:rFonts w:hint="eastAsia" w:ascii="仿宋_GB2312"/>
          <w:szCs w:val="32"/>
        </w:rPr>
      </w:pPr>
      <w:r>
        <w:rPr>
          <w:rFonts w:hint="eastAsia" w:ascii="仿宋_GB2312"/>
          <w:szCs w:val="32"/>
        </w:rPr>
        <w:t>本院认为，被告人郑亚楠目无国法，以非法占有为目的，恶意透支使用信用卡，数额较大，经发卡银行催收后超过三个月仍不归还，核其行为已构成信用卡诈骗罪，应予处罚。公诉机关的指控意见正确，本院予以采纳。鉴于被告人能够主动投案，归案后如实交代犯罪事实，系自首，依法可从轻处罚。综上，本院依照《中华人民共和国刑法》第一百九十六条一款（四）项、第六十七条一款、第七十二条、第七十三条、第七十六条之规定，判决如下：</w:t>
      </w:r>
    </w:p>
    <w:p>
      <w:pPr>
        <w:ind w:firstLine="650" w:firstLineChars="200"/>
        <w:rPr>
          <w:rFonts w:hint="eastAsia" w:ascii="仿宋_GB2312"/>
        </w:rPr>
      </w:pPr>
      <w:r>
        <w:rPr>
          <w:rFonts w:hint="eastAsia" w:ascii="仿宋_GB2312"/>
        </w:rPr>
        <w:t>被告人郑亚楠犯信用卡诈骗罪，判处有期徒刑六个月，缓刑一年，并处罚金20000元。被告人郑亚楠在缓刑考验期限内，依法实行社区矫正。</w:t>
      </w:r>
    </w:p>
    <w:p>
      <w:pPr>
        <w:ind w:firstLine="646"/>
        <w:rPr>
          <w:rFonts w:hint="eastAsia"/>
        </w:rPr>
      </w:pPr>
      <w:r>
        <w:rPr>
          <w:rFonts w:hint="eastAsia"/>
        </w:rPr>
        <w:t>（缓刑考验期间从判决确定之日起计算）</w:t>
      </w:r>
    </w:p>
    <w:p>
      <w:pPr>
        <w:ind w:firstLine="642" w:firstLineChars="198"/>
        <w:rPr>
          <w:rFonts w:hint="eastAsia" w:ascii="仿宋_GB2312"/>
          <w:szCs w:val="32"/>
        </w:rPr>
      </w:pPr>
      <w:r>
        <w:rPr>
          <w:rFonts w:hint="eastAsia" w:ascii="仿宋_GB2312"/>
          <w:szCs w:val="32"/>
        </w:rPr>
        <w:t>（罚金于判决书生效后十日内交付本院）</w:t>
      </w:r>
    </w:p>
    <w:p>
      <w:pPr>
        <w:ind w:firstLine="650" w:firstLineChars="200"/>
        <w:rPr>
          <w:rFonts w:hint="eastAsia" w:ascii="仿宋_GB2312"/>
          <w:szCs w:val="32"/>
        </w:rPr>
      </w:pPr>
      <w:r>
        <w:rPr>
          <w:rFonts w:hint="eastAsia" w:ascii="仿宋_GB2312"/>
          <w:szCs w:val="32"/>
        </w:rPr>
        <w:t>如不服本判决，可于接到判决书的第二日起十日内，通过本院或直接向天津市第二中级人民法院提出上诉，书面上诉的，应交上诉状正本一份，副本二份。</w:t>
      </w:r>
    </w:p>
    <w:p>
      <w:pPr>
        <w:ind w:firstLine="646"/>
        <w:rPr>
          <w:rFonts w:hint="eastAsia" w:ascii="仿宋_GB2312"/>
          <w:szCs w:val="32"/>
        </w:rPr>
      </w:pPr>
    </w:p>
    <w:p>
      <w:pPr>
        <w:ind w:firstLine="646"/>
        <w:rPr>
          <w:rFonts w:hint="eastAsia" w:ascii="仿宋_GB2312"/>
          <w:szCs w:val="32"/>
        </w:rPr>
      </w:pPr>
    </w:p>
    <w:p>
      <w:pPr>
        <w:ind w:firstLine="5771" w:firstLineChars="1776"/>
        <w:rPr>
          <w:rFonts w:hint="eastAsia" w:ascii="仿宋_GB2312"/>
          <w:szCs w:val="32"/>
        </w:rPr>
      </w:pPr>
      <w:r>
        <w:rPr>
          <w:rFonts w:hint="eastAsia" w:ascii="仿宋_GB2312"/>
          <w:szCs w:val="32"/>
        </w:rPr>
        <w:t>审  判  员  鲁福浩</w:t>
      </w:r>
    </w:p>
    <w:p>
      <w:pPr>
        <w:ind w:left="4160" w:firstLine="645"/>
        <w:jc w:val="right"/>
        <w:rPr>
          <w:rFonts w:hint="eastAsia" w:ascii="仿宋_GB2312"/>
          <w:szCs w:val="32"/>
        </w:rPr>
      </w:pPr>
    </w:p>
    <w:p>
      <w:pPr>
        <w:ind w:left="4160" w:firstLine="645"/>
        <w:jc w:val="right"/>
        <w:rPr>
          <w:rFonts w:hint="eastAsia" w:ascii="仿宋_GB2312"/>
          <w:szCs w:val="32"/>
        </w:rPr>
      </w:pPr>
      <w:r>
        <w:rPr>
          <w:rFonts w:hint="eastAsia" w:ascii="仿宋_GB2312"/>
          <w:szCs w:val="32"/>
        </w:rPr>
        <w:t>二0一三年十月二十四日</w:t>
      </w:r>
    </w:p>
    <w:p>
      <w:pPr>
        <w:ind w:left="4160" w:firstLine="645"/>
        <w:jc w:val="right"/>
        <w:rPr>
          <w:rFonts w:hint="eastAsia" w:ascii="仿宋_GB2312"/>
          <w:szCs w:val="32"/>
        </w:rPr>
      </w:pPr>
    </w:p>
    <w:p>
      <w:pPr>
        <w:ind w:left="4160" w:firstLine="645"/>
        <w:jc w:val="right"/>
        <w:rPr>
          <w:rFonts w:hint="eastAsia" w:ascii="仿宋_GB2312"/>
          <w:szCs w:val="32"/>
        </w:rPr>
      </w:pPr>
    </w:p>
    <w:p>
      <w:pPr>
        <w:wordWrap w:val="0"/>
        <w:ind w:firstLine="645"/>
        <w:jc w:val="right"/>
        <w:rPr>
          <w:rFonts w:hint="eastAsia" w:ascii="仿宋_GB2312"/>
          <w:szCs w:val="32"/>
        </w:rPr>
      </w:pPr>
      <w:r>
        <w:rPr>
          <w:rFonts w:hint="eastAsia" w:ascii="仿宋_GB2312"/>
          <w:szCs w:val="32"/>
        </w:rPr>
        <w:t xml:space="preserve">            书  记  员  吴  伟</w:t>
      </w:r>
    </w:p>
    <w:p>
      <w:pPr>
        <w:ind w:firstLine="645"/>
        <w:jc w:val="right"/>
        <w:rPr>
          <w:rFonts w:hint="eastAsia" w:ascii="仿宋_GB2312"/>
          <w:szCs w:val="32"/>
        </w:rPr>
      </w:pPr>
    </w:p>
    <w:p>
      <w:pPr>
        <w:ind w:firstLine="645"/>
        <w:jc w:val="right"/>
        <w:rPr>
          <w:rFonts w:hint="eastAsia" w:ascii="仿宋_GB2312"/>
          <w:szCs w:val="32"/>
        </w:rPr>
      </w:pPr>
    </w:p>
    <w:p>
      <w:pPr>
        <w:ind w:firstLine="645"/>
        <w:jc w:val="right"/>
        <w:rPr>
          <w:rFonts w:hint="eastAsia" w:ascii="仿宋_GB2312"/>
          <w:szCs w:val="32"/>
        </w:rPr>
      </w:pPr>
    </w:p>
    <w:p>
      <w:pPr>
        <w:ind w:firstLine="645"/>
        <w:jc w:val="right"/>
        <w:rPr>
          <w:rFonts w:hint="eastAsia" w:ascii="仿宋_GB2312"/>
          <w:szCs w:val="32"/>
        </w:rPr>
      </w:pPr>
    </w:p>
    <w:p>
      <w:pPr>
        <w:ind w:firstLine="645"/>
        <w:jc w:val="right"/>
        <w:rPr>
          <w:rFonts w:hint="eastAsia" w:ascii="仿宋_GB2312"/>
          <w:szCs w:val="32"/>
        </w:rPr>
      </w:pPr>
    </w:p>
    <w:p>
      <w:pPr>
        <w:ind w:firstLine="645"/>
        <w:jc w:val="right"/>
        <w:rPr>
          <w:rFonts w:hint="eastAsia" w:ascii="仿宋_GB2312"/>
          <w:szCs w:val="32"/>
        </w:rPr>
      </w:pPr>
    </w:p>
    <w:p>
      <w:pPr>
        <w:ind w:right="628" w:firstLine="1634" w:firstLineChars="448"/>
        <w:rPr>
          <w:rFonts w:hint="eastAsia" w:ascii="黑体" w:eastAsia="黑体"/>
          <w:sz w:val="36"/>
          <w:szCs w:val="36"/>
        </w:rPr>
      </w:pPr>
      <w:r>
        <w:rPr>
          <w:rFonts w:hint="eastAsia" w:ascii="黑体" w:eastAsia="黑体"/>
          <w:sz w:val="36"/>
          <w:szCs w:val="36"/>
        </w:rPr>
        <w:t>本判决所依据的相关法律、法规</w:t>
      </w:r>
    </w:p>
    <w:p>
      <w:pPr>
        <w:ind w:right="628" w:firstLine="1286" w:firstLineChars="396"/>
        <w:rPr>
          <w:rFonts w:hint="eastAsia" w:ascii="仿宋_GB2312"/>
          <w:szCs w:val="32"/>
        </w:rPr>
      </w:pPr>
    </w:p>
    <w:p>
      <w:pPr>
        <w:ind w:right="628" w:firstLine="650" w:firstLineChars="200"/>
        <w:rPr>
          <w:rFonts w:hint="eastAsia" w:ascii="仿宋_GB2312"/>
          <w:szCs w:val="32"/>
        </w:rPr>
      </w:pPr>
      <w:r>
        <w:rPr>
          <w:rFonts w:hint="eastAsia" w:ascii="仿宋_GB2312"/>
          <w:szCs w:val="32"/>
        </w:rPr>
        <w:t xml:space="preserve"> 一、《中华人民共和国刑法》第一百九十六条：有下列情形之一，进行信用卡诈骗活动，数额较大的，处五年以下有期徒刑或者拘役，并处两万元以上二十万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ind w:right="628" w:firstLine="650" w:firstLineChars="200"/>
        <w:rPr>
          <w:rFonts w:hint="eastAsia" w:ascii="仿宋_GB2312"/>
          <w:szCs w:val="32"/>
        </w:rPr>
      </w:pPr>
      <w:r>
        <w:rPr>
          <w:rFonts w:hint="eastAsia" w:ascii="仿宋_GB2312"/>
          <w:szCs w:val="32"/>
        </w:rPr>
        <w:t>（一）使用伪造的信用卡的；</w:t>
      </w:r>
    </w:p>
    <w:p>
      <w:pPr>
        <w:ind w:right="628" w:firstLine="650" w:firstLineChars="200"/>
        <w:rPr>
          <w:rFonts w:hint="eastAsia" w:ascii="仿宋_GB2312"/>
          <w:szCs w:val="32"/>
        </w:rPr>
      </w:pPr>
      <w:r>
        <w:rPr>
          <w:rFonts w:hint="eastAsia" w:ascii="仿宋_GB2312"/>
          <w:szCs w:val="32"/>
        </w:rPr>
        <w:t>（二）使用作废的信用卡的；</w:t>
      </w:r>
    </w:p>
    <w:p>
      <w:pPr>
        <w:ind w:right="628" w:firstLine="650" w:firstLineChars="200"/>
        <w:rPr>
          <w:rFonts w:hint="eastAsia" w:ascii="仿宋_GB2312"/>
          <w:szCs w:val="32"/>
        </w:rPr>
      </w:pPr>
      <w:r>
        <w:rPr>
          <w:rFonts w:hint="eastAsia" w:ascii="仿宋_GB2312"/>
          <w:szCs w:val="32"/>
        </w:rPr>
        <w:t>（三）冒用他人信用卡的；</w:t>
      </w:r>
    </w:p>
    <w:p>
      <w:pPr>
        <w:ind w:right="628" w:firstLine="650" w:firstLineChars="200"/>
        <w:rPr>
          <w:rFonts w:hint="eastAsia" w:ascii="仿宋_GB2312"/>
          <w:szCs w:val="32"/>
        </w:rPr>
      </w:pPr>
      <w:r>
        <w:rPr>
          <w:rFonts w:hint="eastAsia" w:ascii="仿宋_GB2312"/>
          <w:szCs w:val="32"/>
        </w:rPr>
        <w:t>（四）恶意透支的。</w:t>
      </w:r>
    </w:p>
    <w:p>
      <w:pPr>
        <w:ind w:right="628" w:firstLine="650" w:firstLineChars="200"/>
        <w:rPr>
          <w:rFonts w:hint="eastAsia" w:ascii="仿宋_GB2312"/>
          <w:szCs w:val="32"/>
        </w:rPr>
      </w:pPr>
      <w:r>
        <w:rPr>
          <w:rFonts w:hint="eastAsia" w:ascii="仿宋_GB2312"/>
          <w:szCs w:val="32"/>
        </w:rPr>
        <w:t>前款所称恶意透支，是指持卡人以非法占有为目的，超过规定限额或者规定期限透支，并且经发卡银行催收后仍不归还的行为。</w:t>
      </w:r>
    </w:p>
    <w:p>
      <w:pPr>
        <w:ind w:right="628" w:firstLine="650" w:firstLineChars="200"/>
        <w:rPr>
          <w:rFonts w:hint="eastAsia" w:ascii="仿宋_GB2312"/>
          <w:szCs w:val="32"/>
        </w:rPr>
      </w:pPr>
      <w:r>
        <w:rPr>
          <w:rFonts w:hint="eastAsia" w:ascii="仿宋_GB2312"/>
          <w:szCs w:val="32"/>
        </w:rPr>
        <w:t>盗窃信用卡并使用的，依照本法第二百六十四条的规定定罪处罚。</w:t>
      </w:r>
    </w:p>
    <w:p>
      <w:pPr>
        <w:ind w:right="628" w:firstLine="650" w:firstLineChars="200"/>
        <w:rPr>
          <w:rFonts w:hint="eastAsia" w:ascii="仿宋_GB2312"/>
          <w:szCs w:val="32"/>
        </w:rPr>
      </w:pPr>
      <w:r>
        <w:rPr>
          <w:rFonts w:hint="eastAsia" w:ascii="仿宋_GB2312"/>
          <w:szCs w:val="32"/>
        </w:rPr>
        <w:t xml:space="preserve"> 二、《中华人民共和国刑法》第六十七条：犯罪以后自动投案，如实供述自己的罪行的，是自首。对于自首的犯罪分子，可以从轻或者减轻处罚。其中，犯罪较轻的，可以免除处罚。</w:t>
      </w:r>
    </w:p>
    <w:p>
      <w:pPr>
        <w:ind w:right="628" w:firstLine="630"/>
        <w:rPr>
          <w:rFonts w:hint="eastAsia" w:ascii="仿宋_GB2312"/>
          <w:szCs w:val="32"/>
        </w:rPr>
      </w:pPr>
      <w:r>
        <w:rPr>
          <w:rFonts w:hint="eastAsia" w:ascii="仿宋_GB2312"/>
          <w:szCs w:val="32"/>
        </w:rPr>
        <w:t>被采取强制措施的犯罪嫌疑人、被告人和正在服刑的罪犯，如实供述司法机关还未掌握的本人其他罪行的，以自首论。</w:t>
      </w:r>
    </w:p>
    <w:p>
      <w:pPr>
        <w:ind w:right="628" w:firstLine="630"/>
        <w:rPr>
          <w:rFonts w:hint="eastAsia" w:ascii="仿宋_GB2312"/>
          <w:szCs w:val="32"/>
        </w:rPr>
      </w:pPr>
      <w:r>
        <w:rPr>
          <w:rFonts w:hint="eastAsia" w:ascii="仿宋_GB2312"/>
          <w:szCs w:val="32"/>
        </w:rPr>
        <w:t>犯罪嫌疑人虽不具有前两款规定的自首情节，但是如实供述自己罪行的，可以从轻处罚；因其如实供述自己罪行，避免特别严重后果发生的，可以减轻处罚。</w:t>
      </w:r>
    </w:p>
    <w:p>
      <w:pPr>
        <w:ind w:right="628" w:firstLine="642" w:firstLineChars="198"/>
        <w:rPr>
          <w:rFonts w:hint="eastAsia" w:ascii="仿宋_GB2312"/>
          <w:szCs w:val="32"/>
        </w:rPr>
      </w:pPr>
      <w:r>
        <w:rPr>
          <w:rFonts w:hint="eastAsia" w:ascii="仿宋_GB2312"/>
          <w:szCs w:val="32"/>
        </w:rPr>
        <w:t>三、《中华人民共和国刑法》第七十二条：对于被判处拘役、三年以下有期徒刑的犯罪分子，根据犯罪分子的犯罪情节和悔罪表现，适用缓刑确实不致再危害社会的，可以宣告缓刑。</w:t>
      </w:r>
    </w:p>
    <w:p>
      <w:pPr>
        <w:ind w:right="628" w:firstLine="630"/>
        <w:rPr>
          <w:rFonts w:hint="eastAsia" w:ascii="仿宋_GB2312"/>
          <w:szCs w:val="32"/>
        </w:rPr>
      </w:pPr>
      <w:r>
        <w:rPr>
          <w:rFonts w:hint="eastAsia" w:ascii="仿宋_GB2312"/>
          <w:szCs w:val="32"/>
        </w:rPr>
        <w:t>被宣告缓刑的犯罪分子，如果被判处附加刑，附加刑仍须执行。</w:t>
      </w:r>
    </w:p>
    <w:p>
      <w:pPr>
        <w:ind w:right="628" w:firstLine="650" w:firstLineChars="200"/>
        <w:rPr>
          <w:rFonts w:hint="eastAsia" w:ascii="仿宋_GB2312"/>
          <w:szCs w:val="32"/>
        </w:rPr>
      </w:pPr>
      <w:r>
        <w:rPr>
          <w:rFonts w:hint="eastAsia" w:ascii="仿宋_GB2312"/>
          <w:szCs w:val="32"/>
        </w:rPr>
        <w:t>四、《中华人民共和国刑法》第七十三条：拘役的缓刑考验期限为原判刑罚以上一年以下，但是不能少于二个月。</w:t>
      </w:r>
    </w:p>
    <w:p>
      <w:pPr>
        <w:ind w:right="628" w:firstLine="630"/>
        <w:rPr>
          <w:rFonts w:hint="eastAsia" w:ascii="仿宋_GB2312"/>
          <w:szCs w:val="32"/>
        </w:rPr>
      </w:pPr>
      <w:r>
        <w:rPr>
          <w:rFonts w:hint="eastAsia" w:ascii="仿宋_GB2312"/>
          <w:szCs w:val="32"/>
        </w:rPr>
        <w:t>有期徒刑的缓刑考验期限为原判刑罚以上五年以下，但是不能少于一年。</w:t>
      </w:r>
    </w:p>
    <w:p>
      <w:pPr>
        <w:ind w:right="628" w:firstLine="650" w:firstLineChars="200"/>
        <w:rPr>
          <w:rFonts w:hint="eastAsia" w:ascii="仿宋_GB2312"/>
          <w:szCs w:val="32"/>
        </w:rPr>
      </w:pPr>
      <w:r>
        <w:rPr>
          <w:rFonts w:hint="eastAsia" w:ascii="仿宋_GB2312"/>
          <w:szCs w:val="32"/>
        </w:rPr>
        <w:t>缓刑考验期限，从判决确定之日起计算。</w:t>
      </w:r>
    </w:p>
    <w:p>
      <w:pPr>
        <w:ind w:right="628" w:firstLine="630"/>
        <w:rPr>
          <w:rFonts w:hint="eastAsia" w:ascii="仿宋_GB2312"/>
          <w:szCs w:val="32"/>
        </w:rPr>
      </w:pPr>
      <w:r>
        <w:rPr>
          <w:rFonts w:hint="eastAsia" w:ascii="仿宋_GB2312"/>
          <w:szCs w:val="32"/>
        </w:rPr>
        <w:t>五、《中华人民共和国刑法》第七十六条：对宣告缓刑的犯罪分子，在缓刑考验期限内，依法实行社区矫正，如果没有本法第七十七条规定的情形，缓刑考验期满，原判的刑罚就不再执行，并公开予以宣告。</w:t>
      </w:r>
    </w:p>
    <w:p>
      <w:pPr>
        <w:ind w:right="628" w:firstLine="630"/>
        <w:rPr>
          <w:rFonts w:hint="eastAsia" w:ascii="仿宋_GB2312"/>
          <w:szCs w:val="32"/>
        </w:rPr>
      </w:pPr>
    </w:p>
    <w:p>
      <w:pPr>
        <w:rPr>
          <w:rFonts w:hint="eastAsia"/>
        </w:rPr>
      </w:pPr>
    </w:p>
    <w:p>
      <w:pPr>
        <w:wordWrap w:val="0"/>
        <w:rPr>
          <w:rFonts w:hint="eastAsia" w:ascii="仿宋_GB2312"/>
          <w:color w:val="000000"/>
          <w:szCs w:val="20"/>
        </w:rPr>
      </w:pPr>
    </w:p>
    <w:p>
      <w:pPr>
        <w:rPr>
          <w:rFonts w:hint="eastAsia"/>
        </w:rPr>
      </w:pPr>
    </w:p>
    <w:p>
      <w:pPr>
        <w:ind w:right="628"/>
        <w:rPr>
          <w:rFonts w:hint="eastAsia" w:ascii="仿宋_GB2312"/>
          <w:szCs w:val="32"/>
        </w:rPr>
      </w:pPr>
    </w:p>
    <w:p>
      <w:pPr>
        <w:spacing w:line="500" w:lineRule="exact"/>
        <w:ind w:right="628"/>
        <w:rPr>
          <w:rFonts w:hint="eastAsia"/>
        </w:rPr>
      </w:pP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851" w:footer="992"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2320"/>
    <w:rsid w:val="0000740F"/>
    <w:rsid w:val="00014BFC"/>
    <w:rsid w:val="00020AE1"/>
    <w:rsid w:val="00026EBA"/>
    <w:rsid w:val="00061E84"/>
    <w:rsid w:val="00071A6F"/>
    <w:rsid w:val="00075DDE"/>
    <w:rsid w:val="00082A58"/>
    <w:rsid w:val="000C490C"/>
    <w:rsid w:val="000C5B7F"/>
    <w:rsid w:val="000E28CD"/>
    <w:rsid w:val="00114B12"/>
    <w:rsid w:val="00127E2C"/>
    <w:rsid w:val="00130EA2"/>
    <w:rsid w:val="001520A0"/>
    <w:rsid w:val="00166612"/>
    <w:rsid w:val="00166F37"/>
    <w:rsid w:val="00175650"/>
    <w:rsid w:val="001802FD"/>
    <w:rsid w:val="00182F2C"/>
    <w:rsid w:val="00184400"/>
    <w:rsid w:val="001864B4"/>
    <w:rsid w:val="00194191"/>
    <w:rsid w:val="001942F5"/>
    <w:rsid w:val="001B2371"/>
    <w:rsid w:val="001C0844"/>
    <w:rsid w:val="001E1402"/>
    <w:rsid w:val="001F52EA"/>
    <w:rsid w:val="001F69BA"/>
    <w:rsid w:val="002015E4"/>
    <w:rsid w:val="002018AA"/>
    <w:rsid w:val="002059ED"/>
    <w:rsid w:val="002202F8"/>
    <w:rsid w:val="00224F39"/>
    <w:rsid w:val="00226816"/>
    <w:rsid w:val="002357F5"/>
    <w:rsid w:val="00250073"/>
    <w:rsid w:val="00254D11"/>
    <w:rsid w:val="00257747"/>
    <w:rsid w:val="00257D81"/>
    <w:rsid w:val="0026056C"/>
    <w:rsid w:val="00263023"/>
    <w:rsid w:val="00272862"/>
    <w:rsid w:val="00283912"/>
    <w:rsid w:val="00283DA0"/>
    <w:rsid w:val="00285ACA"/>
    <w:rsid w:val="002876C7"/>
    <w:rsid w:val="0029757B"/>
    <w:rsid w:val="002A5687"/>
    <w:rsid w:val="002A7AE1"/>
    <w:rsid w:val="00300DB4"/>
    <w:rsid w:val="00304DE3"/>
    <w:rsid w:val="003361FC"/>
    <w:rsid w:val="003662D0"/>
    <w:rsid w:val="00367A83"/>
    <w:rsid w:val="003734F1"/>
    <w:rsid w:val="00376BED"/>
    <w:rsid w:val="00382FAF"/>
    <w:rsid w:val="003A7DFE"/>
    <w:rsid w:val="003D383B"/>
    <w:rsid w:val="003D43CA"/>
    <w:rsid w:val="003E4BC5"/>
    <w:rsid w:val="003E7E75"/>
    <w:rsid w:val="003F359D"/>
    <w:rsid w:val="003F46DC"/>
    <w:rsid w:val="00400091"/>
    <w:rsid w:val="004040A7"/>
    <w:rsid w:val="00405B66"/>
    <w:rsid w:val="00416C84"/>
    <w:rsid w:val="00436D63"/>
    <w:rsid w:val="00437569"/>
    <w:rsid w:val="00437EA5"/>
    <w:rsid w:val="00456B2A"/>
    <w:rsid w:val="00465ABA"/>
    <w:rsid w:val="0047386E"/>
    <w:rsid w:val="00476FE2"/>
    <w:rsid w:val="00483D13"/>
    <w:rsid w:val="00493352"/>
    <w:rsid w:val="004B3DE4"/>
    <w:rsid w:val="004C13F8"/>
    <w:rsid w:val="004C2D3D"/>
    <w:rsid w:val="004E52AB"/>
    <w:rsid w:val="004F21B7"/>
    <w:rsid w:val="004F2A4B"/>
    <w:rsid w:val="0050337A"/>
    <w:rsid w:val="0051160E"/>
    <w:rsid w:val="00520514"/>
    <w:rsid w:val="00525FEB"/>
    <w:rsid w:val="0053063E"/>
    <w:rsid w:val="00530F2E"/>
    <w:rsid w:val="00536E3F"/>
    <w:rsid w:val="00537E2E"/>
    <w:rsid w:val="00553C4C"/>
    <w:rsid w:val="00555066"/>
    <w:rsid w:val="0057489B"/>
    <w:rsid w:val="00576370"/>
    <w:rsid w:val="00584F0D"/>
    <w:rsid w:val="005967A0"/>
    <w:rsid w:val="005A5BA4"/>
    <w:rsid w:val="005B444D"/>
    <w:rsid w:val="005B5D35"/>
    <w:rsid w:val="005B6B32"/>
    <w:rsid w:val="005D61F7"/>
    <w:rsid w:val="005D71B0"/>
    <w:rsid w:val="005F29BA"/>
    <w:rsid w:val="005F4AD0"/>
    <w:rsid w:val="006113D9"/>
    <w:rsid w:val="00630F3D"/>
    <w:rsid w:val="00631548"/>
    <w:rsid w:val="00632FFC"/>
    <w:rsid w:val="00641F4B"/>
    <w:rsid w:val="00643146"/>
    <w:rsid w:val="00653399"/>
    <w:rsid w:val="00653853"/>
    <w:rsid w:val="006572BE"/>
    <w:rsid w:val="00663728"/>
    <w:rsid w:val="006766DA"/>
    <w:rsid w:val="00677EDB"/>
    <w:rsid w:val="006830F4"/>
    <w:rsid w:val="00683971"/>
    <w:rsid w:val="006A4DAA"/>
    <w:rsid w:val="006C4707"/>
    <w:rsid w:val="006C6F49"/>
    <w:rsid w:val="006D1100"/>
    <w:rsid w:val="006E1E58"/>
    <w:rsid w:val="006E2979"/>
    <w:rsid w:val="006E5CD7"/>
    <w:rsid w:val="006E7396"/>
    <w:rsid w:val="006F043A"/>
    <w:rsid w:val="00712320"/>
    <w:rsid w:val="0071305D"/>
    <w:rsid w:val="007147A9"/>
    <w:rsid w:val="007239B3"/>
    <w:rsid w:val="007251F4"/>
    <w:rsid w:val="00744ED1"/>
    <w:rsid w:val="00745A0D"/>
    <w:rsid w:val="00755FC2"/>
    <w:rsid w:val="007625FE"/>
    <w:rsid w:val="00772566"/>
    <w:rsid w:val="00792C7D"/>
    <w:rsid w:val="007A1CAF"/>
    <w:rsid w:val="007B0358"/>
    <w:rsid w:val="007B4C03"/>
    <w:rsid w:val="007C4328"/>
    <w:rsid w:val="007C5067"/>
    <w:rsid w:val="007D530A"/>
    <w:rsid w:val="007D6220"/>
    <w:rsid w:val="007F0369"/>
    <w:rsid w:val="007F2024"/>
    <w:rsid w:val="00807C7C"/>
    <w:rsid w:val="00824AF2"/>
    <w:rsid w:val="00843605"/>
    <w:rsid w:val="008466EF"/>
    <w:rsid w:val="00846A74"/>
    <w:rsid w:val="00853D3D"/>
    <w:rsid w:val="00882B32"/>
    <w:rsid w:val="00895C2E"/>
    <w:rsid w:val="00897DA8"/>
    <w:rsid w:val="008A0E53"/>
    <w:rsid w:val="008A32B2"/>
    <w:rsid w:val="008A5114"/>
    <w:rsid w:val="008B2634"/>
    <w:rsid w:val="008B46A5"/>
    <w:rsid w:val="008B7EC8"/>
    <w:rsid w:val="008D06F7"/>
    <w:rsid w:val="008E4714"/>
    <w:rsid w:val="008F0342"/>
    <w:rsid w:val="008F2C2C"/>
    <w:rsid w:val="008F7FAE"/>
    <w:rsid w:val="00903B8C"/>
    <w:rsid w:val="00907DF6"/>
    <w:rsid w:val="009170D4"/>
    <w:rsid w:val="00933C6F"/>
    <w:rsid w:val="009374A8"/>
    <w:rsid w:val="0093782C"/>
    <w:rsid w:val="0094386F"/>
    <w:rsid w:val="0094407B"/>
    <w:rsid w:val="00944F7C"/>
    <w:rsid w:val="009516A8"/>
    <w:rsid w:val="00951A8E"/>
    <w:rsid w:val="0096008E"/>
    <w:rsid w:val="00996E36"/>
    <w:rsid w:val="009A1E6E"/>
    <w:rsid w:val="009B1B5D"/>
    <w:rsid w:val="009B1BC0"/>
    <w:rsid w:val="009B4022"/>
    <w:rsid w:val="009B5249"/>
    <w:rsid w:val="009C6FC1"/>
    <w:rsid w:val="009D3384"/>
    <w:rsid w:val="009E1C89"/>
    <w:rsid w:val="009E517E"/>
    <w:rsid w:val="009F4AAF"/>
    <w:rsid w:val="009F641E"/>
    <w:rsid w:val="00A16EE0"/>
    <w:rsid w:val="00A22598"/>
    <w:rsid w:val="00A253A5"/>
    <w:rsid w:val="00A32521"/>
    <w:rsid w:val="00A339A5"/>
    <w:rsid w:val="00A42A78"/>
    <w:rsid w:val="00A44248"/>
    <w:rsid w:val="00A53168"/>
    <w:rsid w:val="00A544B6"/>
    <w:rsid w:val="00A61CDD"/>
    <w:rsid w:val="00A67612"/>
    <w:rsid w:val="00A775B0"/>
    <w:rsid w:val="00A830FC"/>
    <w:rsid w:val="00AA35BC"/>
    <w:rsid w:val="00AA688D"/>
    <w:rsid w:val="00AB0CFE"/>
    <w:rsid w:val="00AC2448"/>
    <w:rsid w:val="00AF4E67"/>
    <w:rsid w:val="00B05812"/>
    <w:rsid w:val="00B15A3C"/>
    <w:rsid w:val="00B30149"/>
    <w:rsid w:val="00B318A0"/>
    <w:rsid w:val="00B41286"/>
    <w:rsid w:val="00B45A81"/>
    <w:rsid w:val="00B45D27"/>
    <w:rsid w:val="00B46C6C"/>
    <w:rsid w:val="00B52973"/>
    <w:rsid w:val="00B6358C"/>
    <w:rsid w:val="00B65446"/>
    <w:rsid w:val="00B6710D"/>
    <w:rsid w:val="00B73504"/>
    <w:rsid w:val="00B8134E"/>
    <w:rsid w:val="00BA2142"/>
    <w:rsid w:val="00BA5183"/>
    <w:rsid w:val="00BB4775"/>
    <w:rsid w:val="00BD185A"/>
    <w:rsid w:val="00C048FA"/>
    <w:rsid w:val="00C05FDF"/>
    <w:rsid w:val="00C35F13"/>
    <w:rsid w:val="00C51217"/>
    <w:rsid w:val="00C5277F"/>
    <w:rsid w:val="00C57F3D"/>
    <w:rsid w:val="00C60668"/>
    <w:rsid w:val="00C64DD3"/>
    <w:rsid w:val="00C710D2"/>
    <w:rsid w:val="00C752BC"/>
    <w:rsid w:val="00C836B2"/>
    <w:rsid w:val="00C86801"/>
    <w:rsid w:val="00C92B90"/>
    <w:rsid w:val="00CA6CA6"/>
    <w:rsid w:val="00CC1CF4"/>
    <w:rsid w:val="00CC294E"/>
    <w:rsid w:val="00CF0269"/>
    <w:rsid w:val="00D1743F"/>
    <w:rsid w:val="00D20FC1"/>
    <w:rsid w:val="00D27F35"/>
    <w:rsid w:val="00D37A4E"/>
    <w:rsid w:val="00D5098D"/>
    <w:rsid w:val="00D5519B"/>
    <w:rsid w:val="00D7002F"/>
    <w:rsid w:val="00D97CBC"/>
    <w:rsid w:val="00DA0CCF"/>
    <w:rsid w:val="00DB25DF"/>
    <w:rsid w:val="00DC0C8B"/>
    <w:rsid w:val="00DC4CA3"/>
    <w:rsid w:val="00DD7B61"/>
    <w:rsid w:val="00DE0DBA"/>
    <w:rsid w:val="00DF1C05"/>
    <w:rsid w:val="00DF3DA9"/>
    <w:rsid w:val="00E059C9"/>
    <w:rsid w:val="00E06686"/>
    <w:rsid w:val="00E25E2F"/>
    <w:rsid w:val="00E34131"/>
    <w:rsid w:val="00E357B7"/>
    <w:rsid w:val="00E35DE1"/>
    <w:rsid w:val="00E36245"/>
    <w:rsid w:val="00E374C7"/>
    <w:rsid w:val="00E47C3F"/>
    <w:rsid w:val="00E55DA0"/>
    <w:rsid w:val="00E65BFC"/>
    <w:rsid w:val="00E66E4C"/>
    <w:rsid w:val="00E67279"/>
    <w:rsid w:val="00E70E95"/>
    <w:rsid w:val="00E81DBE"/>
    <w:rsid w:val="00E82184"/>
    <w:rsid w:val="00EA1970"/>
    <w:rsid w:val="00EA2DB4"/>
    <w:rsid w:val="00EB5EFC"/>
    <w:rsid w:val="00EC165D"/>
    <w:rsid w:val="00F0262E"/>
    <w:rsid w:val="00F04970"/>
    <w:rsid w:val="00F10F6E"/>
    <w:rsid w:val="00F46F3B"/>
    <w:rsid w:val="00F50D88"/>
    <w:rsid w:val="00F656BB"/>
    <w:rsid w:val="00F74B42"/>
    <w:rsid w:val="00F774BD"/>
    <w:rsid w:val="00F82250"/>
    <w:rsid w:val="00F91BC4"/>
    <w:rsid w:val="00F9622A"/>
    <w:rsid w:val="00FC7A89"/>
    <w:rsid w:val="00FD0FDE"/>
    <w:rsid w:val="00FD5F7B"/>
    <w:rsid w:val="00FE0C20"/>
    <w:rsid w:val="00FF0500"/>
    <w:rsid w:val="00FF1CE8"/>
    <w:rsid w:val="00FF3DE0"/>
    <w:rsid w:val="00FF782E"/>
    <w:rsid w:val="08B86766"/>
    <w:rsid w:val="3F130847"/>
    <w:rsid w:val="661020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My%20Documents\&#25991;&#20070;&#26679;&#24335;\&#31616;&#26131;&#31243;&#24207;&#21009;&#20107;&#21028;&#20915;&#20070;&#65288;&#3129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简易程序刑事判决书（稿）.dot</Template>
  <Company>dlfy</Company>
  <Pages>1</Pages>
  <Words>334</Words>
  <Characters>1904</Characters>
  <Lines>15</Lines>
  <Paragraphs>4</Paragraphs>
  <TotalTime>0</TotalTime>
  <ScaleCrop>false</ScaleCrop>
  <LinksUpToDate>false</LinksUpToDate>
  <CharactersWithSpaces>2234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2013-10-24T02:47:00Z</dcterms:created>
  <dc:creator>qq</dc:creator>
  <cp:lastModifiedBy>TF-PC</cp:lastModifiedBy>
  <dcterms:modified xsi:type="dcterms:W3CDTF">2018-08-27T09:47:54Z</dcterms:modified>
  <dc:title>天津市东丽区人民法院刑事判决书（稿）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