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ind w:right="-3" w:rightChars="-1"/>
        <w:jc w:val="center"/>
        <w:rPr>
          <w:rFonts w:hint="eastAsia" w:eastAsia="宋体"/>
          <w:spacing w:val="8"/>
          <w:sz w:val="44"/>
        </w:rPr>
      </w:pPr>
      <w:bookmarkStart w:id="0" w:name="_GoBack"/>
      <w:bookmarkEnd w:id="0"/>
      <w:r>
        <w:rPr>
          <w:rFonts w:hint="eastAsia" w:eastAsia="宋体"/>
          <w:spacing w:val="8"/>
          <w:sz w:val="44"/>
        </w:rPr>
        <w:t>天津市东丽区人民法院</w:t>
      </w:r>
    </w:p>
    <w:p>
      <w:pPr>
        <w:spacing w:line="800" w:lineRule="exact"/>
        <w:jc w:val="center"/>
        <w:rPr>
          <w:rFonts w:hint="eastAsia" w:eastAsia="宋体"/>
          <w:spacing w:val="50"/>
          <w:sz w:val="52"/>
        </w:rPr>
      </w:pPr>
      <w:r>
        <w:rPr>
          <w:rFonts w:hint="eastAsia" w:eastAsia="宋体"/>
          <w:spacing w:val="50"/>
          <w:sz w:val="52"/>
        </w:rPr>
        <w:t>刑 事 判 决 书</w:t>
      </w:r>
    </w:p>
    <w:p>
      <w:pPr>
        <w:spacing w:line="800" w:lineRule="exact"/>
        <w:ind w:firstLine="646"/>
        <w:jc w:val="right"/>
        <w:rPr>
          <w:rFonts w:hint="eastAsia" w:ascii="仿宋_GB2312"/>
        </w:rPr>
      </w:pPr>
      <w:r>
        <w:rPr>
          <w:rFonts w:hint="eastAsia" w:ascii="仿宋_GB2312"/>
        </w:rPr>
        <w:t xml:space="preserve">（2015）丽刑初字第975号                                 </w:t>
      </w:r>
    </w:p>
    <w:p>
      <w:pPr>
        <w:spacing w:line="800" w:lineRule="exact"/>
        <w:ind w:firstLine="642" w:firstLineChars="198"/>
        <w:rPr>
          <w:rFonts w:hint="eastAsia" w:ascii="仿宋_GB2312"/>
          <w:szCs w:val="32"/>
        </w:rPr>
      </w:pPr>
      <w:r>
        <w:rPr>
          <w:rFonts w:hint="eastAsia" w:ascii="仿宋_GB2312"/>
          <w:szCs w:val="32"/>
        </w:rPr>
        <w:t>公诉机关天津市东丽区人民检察院。</w:t>
      </w:r>
    </w:p>
    <w:p>
      <w:pPr>
        <w:spacing w:line="500" w:lineRule="exact"/>
        <w:ind w:firstLine="540"/>
        <w:rPr>
          <w:rFonts w:hint="eastAsia" w:ascii="仿宋_GB2312"/>
          <w:szCs w:val="32"/>
        </w:rPr>
      </w:pPr>
      <w:r>
        <w:rPr>
          <w:rFonts w:hint="eastAsia" w:ascii="仿宋_GB2312"/>
          <w:szCs w:val="32"/>
        </w:rPr>
        <w:t>被告人崔颖（身份证号码120110199003300946），女，1990年3月30日出生于天津市，汉族，初中文化，无职业，住天津市东丽区新立街泥窝村4区7号。2009年4月因妨害公务罪被天津市东丽区河西区人民法院判处有期徒刑八个月，2009年9月30日刑满释放。2015年5月14日因涉嫌犯信用卡诈骗罪被天津市公安局东丽分局刑事拘留，同年5月26日被取保候审，2015年11月5日经本院决定逮捕，现羁押于天津市东丽区看守所。</w:t>
      </w:r>
    </w:p>
    <w:p>
      <w:pPr>
        <w:spacing w:line="500" w:lineRule="exact"/>
        <w:ind w:firstLine="678" w:firstLineChars="209"/>
        <w:rPr>
          <w:rFonts w:hint="eastAsia" w:ascii="宋体" w:hAnsi="宋体"/>
          <w:sz w:val="30"/>
          <w:szCs w:val="30"/>
        </w:rPr>
      </w:pPr>
      <w:r>
        <w:rPr>
          <w:rFonts w:hint="eastAsia" w:ascii="仿宋_GB2312"/>
          <w:szCs w:val="32"/>
        </w:rPr>
        <w:t>天津市东丽区人民检察院以津丽检公诉刑诉（2015）817号起诉书指控被告人崔颖犯信用卡诈骗罪，于2015年11月3日向本院提起公诉。本院受理后，依法适用简易程序，实行独任审判，公开开庭审理了本案。天津市东丽区人民检察院指派代理检察员胡西茂出庭支持公诉，被告人崔颖到庭参加了诉讼。现已审理终结。</w:t>
      </w:r>
    </w:p>
    <w:p>
      <w:pPr>
        <w:tabs>
          <w:tab w:val="left" w:pos="3360"/>
        </w:tabs>
        <w:spacing w:line="500" w:lineRule="exact"/>
        <w:ind w:firstLine="642" w:firstLineChars="198"/>
        <w:rPr>
          <w:rFonts w:hint="eastAsia" w:ascii="仿宋_GB2312"/>
          <w:szCs w:val="32"/>
        </w:rPr>
      </w:pPr>
      <w:r>
        <w:rPr>
          <w:rFonts w:hint="eastAsia" w:ascii="仿宋_GB2312"/>
          <w:szCs w:val="32"/>
        </w:rPr>
        <w:t>公诉机关指控，2012年10月，被告人崔颖在广发银行股份有限公司天津分行申领一张信用卡，卡号为6225561420911634，信用额度为人民币6000元，被告人崔颖明知自己无还款能力，仍恶意透支信用卡，截止2014年1月20日透支本金共计人民币13014.94元，经银行多次催收，拒不归还欠款。</w:t>
      </w:r>
    </w:p>
    <w:p>
      <w:pPr>
        <w:tabs>
          <w:tab w:val="left" w:pos="3360"/>
        </w:tabs>
        <w:spacing w:line="500" w:lineRule="exact"/>
        <w:ind w:firstLine="642" w:firstLineChars="198"/>
        <w:rPr>
          <w:rFonts w:hint="eastAsia" w:ascii="仿宋_GB2312"/>
          <w:szCs w:val="32"/>
        </w:rPr>
      </w:pPr>
      <w:r>
        <w:rPr>
          <w:rFonts w:hint="eastAsia" w:ascii="仿宋_GB2312"/>
          <w:szCs w:val="32"/>
        </w:rPr>
        <w:t>另查，2011年2月25日，被告人崔颖在招商银行股份有限公司天津分行申领一张信用卡，卡号为6225768380445765，信用卡额度为人民币18000元，截止2015年5月17日恶意透支本金共计人民币34997.58元，经银行多次催收，拒不归还欠款。</w:t>
      </w:r>
    </w:p>
    <w:p>
      <w:pPr>
        <w:spacing w:line="500" w:lineRule="exact"/>
        <w:ind w:firstLine="650" w:firstLineChars="200"/>
        <w:rPr>
          <w:rFonts w:hint="eastAsia" w:ascii="仿宋_GB2312"/>
          <w:szCs w:val="32"/>
        </w:rPr>
      </w:pPr>
      <w:r>
        <w:rPr>
          <w:rFonts w:hint="eastAsia" w:ascii="仿宋_GB2312"/>
          <w:szCs w:val="32"/>
        </w:rPr>
        <w:t>2015年5月14日被告人崔颖被公安机关抓获归案。</w:t>
      </w:r>
    </w:p>
    <w:p>
      <w:pPr>
        <w:spacing w:line="520" w:lineRule="exact"/>
        <w:ind w:firstLine="642" w:firstLineChars="198"/>
        <w:rPr>
          <w:rFonts w:hint="eastAsia" w:ascii="仿宋_GB2312"/>
          <w:szCs w:val="32"/>
        </w:rPr>
      </w:pPr>
      <w:r>
        <w:rPr>
          <w:rFonts w:hint="eastAsia"/>
        </w:rPr>
        <w:t>上述事实，被告人崔颖在开庭审理过程中亦无异议，并有证人张益涛、王东辉的证言，银行信用卡申请表及交易明细，银行催收记录，案件来源及抓获经过，被告人崔颖的前科情况，被告人崔颖的供述，被告人崔颖身份证明等证据证实，足以认定。</w:t>
      </w:r>
    </w:p>
    <w:p>
      <w:pPr>
        <w:tabs>
          <w:tab w:val="left" w:pos="5809"/>
        </w:tabs>
        <w:spacing w:line="520" w:lineRule="exact"/>
        <w:ind w:firstLine="646"/>
        <w:rPr>
          <w:rFonts w:hint="eastAsia" w:ascii="仿宋_GB2312"/>
        </w:rPr>
      </w:pPr>
      <w:r>
        <w:rPr>
          <w:rFonts w:hint="eastAsia" w:ascii="仿宋_GB2312"/>
          <w:szCs w:val="32"/>
        </w:rPr>
        <w:t>本院认为，</w:t>
      </w:r>
      <w:r>
        <w:rPr>
          <w:rFonts w:hint="eastAsia" w:ascii="仿宋_GB2312" w:hAnsi="宋体"/>
          <w:szCs w:val="32"/>
        </w:rPr>
        <w:t>被告人</w:t>
      </w:r>
      <w:r>
        <w:rPr>
          <w:rFonts w:hint="eastAsia" w:ascii="仿宋_GB2312"/>
          <w:szCs w:val="32"/>
        </w:rPr>
        <w:t>崔颖</w:t>
      </w:r>
      <w:r>
        <w:rPr>
          <w:rFonts w:hint="eastAsia" w:ascii="仿宋_GB2312" w:hAnsi="宋体"/>
          <w:szCs w:val="32"/>
        </w:rPr>
        <w:t>无视国法，恶意透支发卡行人民币</w:t>
      </w:r>
      <w:r>
        <w:rPr>
          <w:rFonts w:hint="eastAsia" w:ascii="仿宋_GB2312"/>
          <w:szCs w:val="32"/>
        </w:rPr>
        <w:t>48012.52</w:t>
      </w:r>
      <w:r>
        <w:rPr>
          <w:rFonts w:hint="eastAsia" w:ascii="仿宋_GB2312" w:hAnsi="宋体"/>
          <w:szCs w:val="32"/>
        </w:rPr>
        <w:t>元，数额较大，</w:t>
      </w:r>
      <w:r>
        <w:rPr>
          <w:rFonts w:hint="eastAsia"/>
        </w:rPr>
        <w:t>其行为已构成信用卡诈骗罪，依法应予惩处。公诉机关指控犯罪事实清楚，证据确实充分，罪名成立，应予采纳。</w:t>
      </w:r>
      <w:r>
        <w:rPr>
          <w:rFonts w:hint="eastAsia" w:ascii="仿宋_GB2312"/>
        </w:rPr>
        <w:t>被告人崔颖因故意犯罪被处有期徒刑以上刑罚，在刑满释放后五年内又重新犯应判处有期徒刑以上刑罚之罪，系累犯，应从重处罚。</w:t>
      </w:r>
      <w:r>
        <w:rPr>
          <w:rFonts w:hint="eastAsia"/>
        </w:rPr>
        <w:t>鉴于被告人崔颖归案后能如实供述自己的罪行，可从轻处罚。依据《中华人民共和国刑法》第一百九十六条第一款第（四）项、第六十五条第六十七条第三款、第六十四条之规定，判决如下：</w:t>
      </w:r>
    </w:p>
    <w:p>
      <w:pPr>
        <w:spacing w:line="500" w:lineRule="exact"/>
        <w:ind w:firstLine="642" w:firstLineChars="198"/>
        <w:rPr>
          <w:rFonts w:hint="eastAsia"/>
        </w:rPr>
      </w:pPr>
      <w:r>
        <w:rPr>
          <w:rFonts w:hint="eastAsia" w:ascii="仿宋_GB2312"/>
        </w:rPr>
        <w:t>一、被告人</w:t>
      </w:r>
      <w:r>
        <w:rPr>
          <w:rFonts w:hint="eastAsia"/>
        </w:rPr>
        <w:t>崔颖</w:t>
      </w:r>
      <w:r>
        <w:rPr>
          <w:rFonts w:hint="eastAsia" w:ascii="仿宋_GB2312"/>
        </w:rPr>
        <w:t>犯信用卡诈骗罪，判处有期徒刑二年，并处罚金人民币20000元。</w:t>
      </w:r>
      <w:r>
        <w:rPr>
          <w:rFonts w:hint="eastAsia"/>
          <w:szCs w:val="32"/>
        </w:rPr>
        <w:t xml:space="preserve"> </w:t>
      </w:r>
    </w:p>
    <w:p>
      <w:pPr>
        <w:spacing w:line="500" w:lineRule="exact"/>
        <w:ind w:firstLine="650" w:firstLineChars="200"/>
        <w:rPr>
          <w:rFonts w:hint="eastAsia" w:ascii="仿宋_GB2312"/>
        </w:rPr>
      </w:pPr>
      <w:r>
        <w:rPr>
          <w:rFonts w:hint="eastAsia"/>
        </w:rPr>
        <w:t>（刑期自判决执行之日起计算。判决执行以前先行羁押的羁押一日折抵刑期一日。即自</w:t>
      </w:r>
      <w:r>
        <w:rPr>
          <w:rFonts w:hint="eastAsia" w:ascii="仿宋_GB2312"/>
          <w:szCs w:val="32"/>
        </w:rPr>
        <w:t>2015年11月5日</w:t>
      </w:r>
      <w:r>
        <w:rPr>
          <w:rFonts w:hint="eastAsia" w:ascii="仿宋_GB2312"/>
        </w:rPr>
        <w:t>起至2017年10月22日止。）</w:t>
      </w:r>
    </w:p>
    <w:p>
      <w:pPr>
        <w:overflowPunct w:val="0"/>
        <w:spacing w:line="520" w:lineRule="exact"/>
        <w:ind w:firstLine="642" w:firstLineChars="198"/>
        <w:rPr>
          <w:rFonts w:hint="eastAsia" w:ascii="仿宋_GB2312"/>
        </w:rPr>
      </w:pPr>
      <w:r>
        <w:rPr>
          <w:rFonts w:hint="eastAsia" w:ascii="仿宋_GB2312"/>
        </w:rPr>
        <w:t>以上罚金于判决书生效后十日内交付本院。</w:t>
      </w:r>
    </w:p>
    <w:p>
      <w:pPr>
        <w:overflowPunct w:val="0"/>
        <w:spacing w:line="520" w:lineRule="exact"/>
        <w:ind w:firstLine="642" w:firstLineChars="198"/>
        <w:rPr>
          <w:rFonts w:hint="eastAsia" w:ascii="仿宋_GB2312"/>
        </w:rPr>
      </w:pPr>
      <w:r>
        <w:rPr>
          <w:rFonts w:hint="eastAsia" w:ascii="仿宋_GB2312"/>
        </w:rPr>
        <w:t>二、责令被告人崔颖退赔</w:t>
      </w:r>
      <w:r>
        <w:rPr>
          <w:rFonts w:hint="eastAsia" w:ascii="仿宋_GB2312"/>
          <w:szCs w:val="32"/>
        </w:rPr>
        <w:t>广发银行股份有限公司天津分行人民币13014.94元，退赔招商银行股份有限公司天津分行人民币34997.58元。</w:t>
      </w:r>
    </w:p>
    <w:p>
      <w:pPr>
        <w:spacing w:line="520" w:lineRule="exact"/>
        <w:ind w:firstLine="642" w:firstLineChars="198"/>
        <w:rPr>
          <w:rFonts w:hint="eastAsia" w:ascii="仿宋_GB2312"/>
          <w:szCs w:val="32"/>
        </w:rPr>
      </w:pPr>
      <w:r>
        <w:rPr>
          <w:rFonts w:hint="eastAsia" w:ascii="仿宋_GB2312"/>
          <w:szCs w:val="32"/>
        </w:rPr>
        <w:t>如不服本判决，可于接到判决书的第二日起十日内，通过本院或直接向天津市第二中级人民法院提出上诉，书面上诉的，应交上诉状正本一份，副本二份。</w:t>
      </w:r>
    </w:p>
    <w:p>
      <w:pPr>
        <w:spacing w:line="520" w:lineRule="exact"/>
        <w:rPr>
          <w:rFonts w:hint="eastAsia" w:ascii="仿宋_GB2312"/>
          <w:szCs w:val="32"/>
        </w:rPr>
      </w:pPr>
      <w:r>
        <w:rPr>
          <w:rFonts w:hint="eastAsia" w:ascii="仿宋_GB2312"/>
          <w:szCs w:val="32"/>
        </w:rPr>
        <w:t xml:space="preserve">                     </w:t>
      </w:r>
    </w:p>
    <w:p>
      <w:pPr>
        <w:spacing w:line="520" w:lineRule="exact"/>
        <w:ind w:left="425" w:right="652"/>
        <w:jc w:val="center"/>
        <w:rPr>
          <w:rFonts w:hint="eastAsia" w:ascii="仿宋_GB2312"/>
          <w:szCs w:val="32"/>
        </w:rPr>
      </w:pPr>
    </w:p>
    <w:p>
      <w:pPr>
        <w:spacing w:line="520" w:lineRule="exact"/>
        <w:ind w:left="425" w:right="652"/>
        <w:jc w:val="center"/>
        <w:rPr>
          <w:rFonts w:hint="eastAsia" w:ascii="仿宋_GB2312"/>
          <w:b/>
          <w:szCs w:val="32"/>
        </w:rPr>
      </w:pPr>
      <w:r>
        <w:rPr>
          <w:rFonts w:hint="eastAsia" w:ascii="仿宋_GB2312"/>
          <w:szCs w:val="32"/>
        </w:rPr>
        <w:t xml:space="preserve">                            </w:t>
      </w:r>
    </w:p>
    <w:p>
      <w:pPr>
        <w:spacing w:line="520" w:lineRule="exact"/>
        <w:ind w:left="139" w:leftChars="43" w:right="648" w:firstLine="4891" w:firstLineChars="1505"/>
        <w:rPr>
          <w:rFonts w:hint="eastAsia" w:ascii="仿宋_GB2312"/>
          <w:szCs w:val="32"/>
        </w:rPr>
      </w:pPr>
      <w:r>
        <w:rPr>
          <w:rFonts w:hint="eastAsia" w:ascii="仿宋_GB2312"/>
          <w:szCs w:val="32"/>
        </w:rPr>
        <w:t>审  判 员   刘士军</w:t>
      </w:r>
    </w:p>
    <w:p>
      <w:pPr>
        <w:spacing w:line="520" w:lineRule="exact"/>
        <w:ind w:left="139" w:leftChars="43" w:right="648" w:firstLine="4253" w:firstLineChars="1309"/>
        <w:rPr>
          <w:rFonts w:hint="eastAsia" w:ascii="仿宋_GB2312"/>
          <w:szCs w:val="32"/>
        </w:rPr>
      </w:pPr>
    </w:p>
    <w:p>
      <w:pPr>
        <w:spacing w:line="520" w:lineRule="exact"/>
        <w:ind w:firstLine="4420" w:firstLineChars="1360"/>
        <w:rPr>
          <w:rFonts w:hint="eastAsia" w:ascii="仿宋_GB2312"/>
          <w:szCs w:val="32"/>
        </w:rPr>
      </w:pPr>
      <w:r>
        <w:rPr>
          <w:rFonts w:hint="eastAsia" w:ascii="仿宋_GB2312"/>
          <w:szCs w:val="32"/>
        </w:rPr>
        <w:t>二</w:t>
      </w:r>
      <w:r>
        <w:rPr>
          <w:rFonts w:hint="eastAsia" w:ascii="宋体" w:hAnsi="宋体" w:eastAsia="宋体" w:cs="宋体"/>
          <w:szCs w:val="32"/>
        </w:rPr>
        <w:t>〇</w:t>
      </w:r>
      <w:r>
        <w:rPr>
          <w:rFonts w:hint="eastAsia" w:ascii="仿宋_GB2312" w:hAnsi="仿宋_GB2312" w:cs="仿宋_GB2312"/>
          <w:szCs w:val="32"/>
        </w:rPr>
        <w:t>一五年十一月十三</w:t>
      </w:r>
      <w:r>
        <w:rPr>
          <w:rFonts w:hint="eastAsia" w:ascii="仿宋_GB2312"/>
          <w:szCs w:val="32"/>
        </w:rPr>
        <w:t>日</w:t>
      </w:r>
    </w:p>
    <w:p>
      <w:pPr>
        <w:spacing w:line="520" w:lineRule="exact"/>
        <w:ind w:firstLine="4900" w:firstLineChars="1508"/>
        <w:rPr>
          <w:rFonts w:hint="eastAsia" w:ascii="仿宋_GB2312"/>
          <w:szCs w:val="32"/>
        </w:rPr>
      </w:pPr>
    </w:p>
    <w:p>
      <w:pPr>
        <w:spacing w:line="520" w:lineRule="exact"/>
        <w:ind w:firstLine="5095" w:firstLineChars="1568"/>
        <w:rPr>
          <w:rFonts w:hint="eastAsia" w:ascii="仿宋_GB2312"/>
          <w:szCs w:val="32"/>
        </w:rPr>
      </w:pPr>
      <w:r>
        <w:rPr>
          <w:rFonts w:hint="eastAsia" w:ascii="仿宋_GB2312"/>
          <w:szCs w:val="32"/>
        </w:rPr>
        <w:t>书  记  员  李  陆</w:t>
      </w:r>
    </w:p>
    <w:p>
      <w:pPr>
        <w:spacing w:line="520" w:lineRule="exact"/>
        <w:ind w:firstLine="5114" w:firstLineChars="1574"/>
        <w:rPr>
          <w:rFonts w:hint="eastAsia" w:ascii="仿宋_GB2312"/>
          <w:szCs w:val="32"/>
        </w:rPr>
      </w:pPr>
      <w:r>
        <w:rPr>
          <w:rFonts w:hint="eastAsia" w:ascii="仿宋_GB2312"/>
          <w:szCs w:val="32"/>
        </w:rPr>
        <w:t>速  录  员  黄维玲</w:t>
      </w:r>
    </w:p>
    <w:p>
      <w:pPr>
        <w:spacing w:line="520" w:lineRule="exact"/>
        <w:ind w:right="652" w:firstLine="1966" w:firstLineChars="539"/>
        <w:rPr>
          <w:rFonts w:hint="eastAsia" w:ascii="_x000B__x000C_" w:hAnsi="_x000B__x000C_" w:eastAsia="黑体"/>
          <w:b/>
          <w:bCs/>
          <w:sz w:val="36"/>
          <w:szCs w:val="18"/>
        </w:rPr>
      </w:pPr>
    </w:p>
    <w:p>
      <w:pPr>
        <w:spacing w:line="520" w:lineRule="exact"/>
        <w:ind w:right="652" w:firstLine="1966" w:firstLineChars="539"/>
        <w:rPr>
          <w:rFonts w:hint="eastAsia" w:ascii="_x000B__x000C_" w:hAnsi="_x000B__x000C_" w:eastAsia="黑体"/>
          <w:b/>
          <w:bCs/>
          <w:sz w:val="36"/>
          <w:szCs w:val="18"/>
        </w:rPr>
      </w:pPr>
    </w:p>
    <w:p>
      <w:pPr>
        <w:spacing w:line="520" w:lineRule="exact"/>
        <w:ind w:right="652" w:firstLine="1966" w:firstLineChars="539"/>
        <w:rPr>
          <w:rFonts w:hint="eastAsia" w:ascii="_x000B__x000C_" w:hAnsi="_x000B__x000C_" w:eastAsia="黑体"/>
          <w:b/>
          <w:bCs/>
          <w:sz w:val="36"/>
          <w:szCs w:val="18"/>
        </w:rPr>
      </w:pPr>
    </w:p>
    <w:p>
      <w:pPr>
        <w:spacing w:line="520" w:lineRule="exact"/>
        <w:ind w:right="652" w:firstLine="1430" w:firstLineChars="392"/>
        <w:rPr>
          <w:rFonts w:hint="eastAsia" w:ascii="_x000B__x000C_" w:hAnsi="_x000B__x000C_" w:eastAsia="黑体"/>
          <w:b/>
          <w:bCs/>
          <w:sz w:val="36"/>
          <w:szCs w:val="18"/>
        </w:rPr>
      </w:pPr>
    </w:p>
    <w:p>
      <w:pPr>
        <w:spacing w:line="520" w:lineRule="exact"/>
        <w:ind w:right="652" w:firstLine="1430" w:firstLineChars="392"/>
        <w:rPr>
          <w:rFonts w:hint="eastAsia" w:ascii="_x000B__x000C_" w:hAnsi="_x000B__x000C_" w:eastAsia="黑体"/>
          <w:b/>
          <w:bCs/>
          <w:sz w:val="36"/>
          <w:szCs w:val="18"/>
        </w:rPr>
      </w:pPr>
    </w:p>
    <w:p>
      <w:pPr>
        <w:spacing w:line="520" w:lineRule="exact"/>
        <w:ind w:right="652" w:firstLine="1430" w:firstLineChars="392"/>
        <w:rPr>
          <w:rFonts w:hint="eastAsia" w:ascii="_x000B__x000C_" w:hAnsi="_x000B__x000C_" w:eastAsia="黑体"/>
          <w:b/>
          <w:bCs/>
          <w:sz w:val="36"/>
          <w:szCs w:val="18"/>
        </w:rPr>
      </w:pPr>
    </w:p>
    <w:p>
      <w:pPr>
        <w:spacing w:line="520" w:lineRule="exact"/>
        <w:ind w:right="652" w:firstLine="1430" w:firstLineChars="392"/>
        <w:rPr>
          <w:rFonts w:hint="eastAsia" w:ascii="_x000B__x000C_" w:hAnsi="_x000B__x000C_" w:eastAsia="黑体"/>
          <w:b/>
          <w:bCs/>
          <w:sz w:val="36"/>
          <w:szCs w:val="18"/>
        </w:rPr>
      </w:pPr>
    </w:p>
    <w:p>
      <w:pPr>
        <w:spacing w:line="520" w:lineRule="exact"/>
        <w:ind w:right="652" w:firstLine="1430" w:firstLineChars="392"/>
        <w:rPr>
          <w:rFonts w:hint="eastAsia" w:ascii="_x000B__x000C_" w:hAnsi="_x000B__x000C_" w:eastAsia="黑体"/>
          <w:b/>
          <w:bCs/>
          <w:sz w:val="36"/>
          <w:szCs w:val="18"/>
        </w:rPr>
      </w:pPr>
    </w:p>
    <w:p>
      <w:pPr>
        <w:spacing w:line="520" w:lineRule="exact"/>
        <w:ind w:right="652" w:firstLine="1430" w:firstLineChars="392"/>
        <w:rPr>
          <w:rFonts w:hint="eastAsia" w:ascii="_x000B__x000C_" w:hAnsi="_x000B__x000C_" w:eastAsia="黑体"/>
          <w:b/>
          <w:bCs/>
          <w:sz w:val="36"/>
          <w:szCs w:val="18"/>
        </w:rPr>
      </w:pPr>
    </w:p>
    <w:p>
      <w:pPr>
        <w:spacing w:line="520" w:lineRule="exact"/>
        <w:ind w:right="652" w:firstLine="1430" w:firstLineChars="392"/>
        <w:rPr>
          <w:rFonts w:hint="eastAsia" w:ascii="_x000B__x000C_" w:hAnsi="_x000B__x000C_" w:eastAsia="黑体"/>
          <w:b/>
          <w:bCs/>
          <w:sz w:val="36"/>
          <w:szCs w:val="18"/>
        </w:rPr>
      </w:pPr>
    </w:p>
    <w:p>
      <w:pPr>
        <w:spacing w:line="520" w:lineRule="exact"/>
        <w:ind w:right="652" w:firstLine="1788" w:firstLineChars="490"/>
        <w:rPr>
          <w:rFonts w:hint="eastAsia" w:ascii="仿宋_GB2312"/>
          <w:b/>
          <w:szCs w:val="32"/>
        </w:rPr>
      </w:pPr>
      <w:r>
        <w:rPr>
          <w:rFonts w:ascii="_x000B__x000C_" w:hAnsi="_x000B__x000C_" w:eastAsia="黑体"/>
          <w:b/>
          <w:bCs/>
          <w:sz w:val="36"/>
          <w:szCs w:val="18"/>
        </w:rPr>
        <w:t>本判决所依据相关法律、法规</w:t>
      </w:r>
    </w:p>
    <w:p>
      <w:pPr>
        <w:tabs>
          <w:tab w:val="left" w:pos="5809"/>
        </w:tabs>
        <w:spacing w:line="520" w:lineRule="exact"/>
        <w:ind w:firstLine="646"/>
        <w:rPr>
          <w:rFonts w:hint="eastAsia" w:ascii="仿宋_GB2312"/>
        </w:rPr>
      </w:pPr>
      <w:r>
        <w:rPr>
          <w:rFonts w:hint="eastAsia" w:ascii="仿宋_GB2312"/>
        </w:rPr>
        <w:t>一、《中华人民共和国刑法》第一百九十六条：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tabs>
          <w:tab w:val="left" w:pos="5809"/>
        </w:tabs>
        <w:spacing w:line="520" w:lineRule="exact"/>
        <w:ind w:firstLine="646"/>
        <w:rPr>
          <w:rFonts w:hint="eastAsia" w:ascii="仿宋_GB2312"/>
        </w:rPr>
      </w:pPr>
      <w:r>
        <w:rPr>
          <w:rFonts w:hint="eastAsia" w:ascii="仿宋_GB2312"/>
        </w:rPr>
        <w:t>(一)使用伪造的信用卡，或者使用以虚假的身份证明骗领的信用卡的;</w:t>
      </w:r>
    </w:p>
    <w:p>
      <w:pPr>
        <w:tabs>
          <w:tab w:val="left" w:pos="5809"/>
        </w:tabs>
        <w:spacing w:line="520" w:lineRule="exact"/>
        <w:ind w:firstLine="646"/>
        <w:rPr>
          <w:rFonts w:hint="eastAsia" w:ascii="仿宋_GB2312"/>
        </w:rPr>
      </w:pPr>
      <w:r>
        <w:rPr>
          <w:rFonts w:hint="eastAsia" w:ascii="仿宋_GB2312"/>
        </w:rPr>
        <w:t>(二)使用作废的信用卡的;</w:t>
      </w:r>
    </w:p>
    <w:p>
      <w:pPr>
        <w:tabs>
          <w:tab w:val="left" w:pos="5809"/>
        </w:tabs>
        <w:spacing w:line="520" w:lineRule="exact"/>
        <w:ind w:firstLine="646"/>
        <w:rPr>
          <w:rFonts w:hint="eastAsia" w:ascii="仿宋_GB2312"/>
        </w:rPr>
      </w:pPr>
      <w:r>
        <w:rPr>
          <w:rFonts w:hint="eastAsia" w:ascii="仿宋_GB2312"/>
        </w:rPr>
        <w:t>(三)冒用他人信用卡的;</w:t>
      </w:r>
    </w:p>
    <w:p>
      <w:pPr>
        <w:tabs>
          <w:tab w:val="left" w:pos="5809"/>
        </w:tabs>
        <w:spacing w:line="520" w:lineRule="exact"/>
        <w:ind w:firstLine="646"/>
        <w:rPr>
          <w:rFonts w:hint="eastAsia" w:ascii="仿宋_GB2312"/>
        </w:rPr>
      </w:pPr>
      <w:r>
        <w:rPr>
          <w:rFonts w:hint="eastAsia" w:ascii="仿宋_GB2312"/>
        </w:rPr>
        <w:t>(四)恶意透支的。</w:t>
      </w:r>
    </w:p>
    <w:p>
      <w:pPr>
        <w:tabs>
          <w:tab w:val="left" w:pos="5809"/>
        </w:tabs>
        <w:spacing w:line="520" w:lineRule="exact"/>
        <w:ind w:firstLine="646"/>
        <w:rPr>
          <w:rFonts w:hint="eastAsia" w:ascii="仿宋_GB2312"/>
        </w:rPr>
      </w:pPr>
      <w:r>
        <w:rPr>
          <w:rFonts w:hint="eastAsia" w:ascii="仿宋_GB2312"/>
        </w:rPr>
        <w:t>前款所称恶意透支，是指持卡人以非法占有为目的，超过规定限额或者规定期限透支，并且经发卡银行催收后仍不归还的行为。</w:t>
      </w:r>
    </w:p>
    <w:p>
      <w:pPr>
        <w:tabs>
          <w:tab w:val="left" w:pos="5809"/>
        </w:tabs>
        <w:spacing w:line="520" w:lineRule="exact"/>
        <w:ind w:firstLine="646"/>
        <w:rPr>
          <w:rFonts w:hint="eastAsia" w:ascii="仿宋_GB2312"/>
        </w:rPr>
      </w:pPr>
      <w:r>
        <w:rPr>
          <w:rFonts w:hint="eastAsia" w:ascii="仿宋_GB2312"/>
        </w:rPr>
        <w:t>盗窃信用卡并使用的，依照本法第二百六十四条的规定定罪处罚。</w:t>
      </w:r>
    </w:p>
    <w:p>
      <w:pPr>
        <w:pStyle w:val="9"/>
        <w:spacing w:line="500" w:lineRule="exact"/>
        <w:ind w:firstLine="642" w:firstLineChars="198"/>
      </w:pPr>
      <w:r>
        <w:t>二、《中华人民共和国刑法》第六十五条：被判处有期徒刑以上刑罚的犯罪分子，刑罚执行完毕或者赦免以后，在五年以内再犯应当判处有期徒刑以上刑罚之罪的，是累犯，应当从重处罚，但是过失犯罪除外。</w:t>
      </w:r>
    </w:p>
    <w:p>
      <w:pPr>
        <w:pStyle w:val="9"/>
        <w:spacing w:line="500" w:lineRule="exact"/>
      </w:pPr>
      <w:r>
        <w:t>　　前款规定的期限，对于被假释的犯罪分子，从假释期满之日起计算。</w:t>
      </w:r>
    </w:p>
    <w:p>
      <w:pPr>
        <w:tabs>
          <w:tab w:val="left" w:pos="5809"/>
        </w:tabs>
        <w:spacing w:line="520" w:lineRule="exact"/>
        <w:ind w:firstLine="646"/>
        <w:rPr>
          <w:rFonts w:hint="eastAsia"/>
        </w:rPr>
      </w:pPr>
      <w:r>
        <w:rPr>
          <w:rFonts w:hint="eastAsia"/>
        </w:rPr>
        <w:t>三</w:t>
      </w:r>
      <w:r>
        <w:t>、《中华人民共和国刑法》第六十七条：犯罪以后自动投案，如实供述自己的罪行的，是自首。对于自首的犯罪分子，可以从轻或者减轻处罚。其中，犯罪较轻的，可以免除处罚。</w:t>
      </w:r>
      <w:r>
        <w:rPr>
          <w:rFonts w:hint="eastAsia"/>
        </w:rPr>
        <w:t xml:space="preserve">  </w:t>
      </w:r>
    </w:p>
    <w:p>
      <w:pPr>
        <w:tabs>
          <w:tab w:val="left" w:pos="5809"/>
        </w:tabs>
        <w:spacing w:line="520" w:lineRule="exact"/>
        <w:ind w:firstLine="646"/>
        <w:rPr>
          <w:rFonts w:ascii="仿宋_GB2312"/>
        </w:rPr>
      </w:pPr>
      <w:r>
        <w:t>被采取强制措施的犯罪嫌疑人、被告人和正在服刑的罪犯，如实供述司法机关还未掌握的本人其他罪行的，以自首论。</w:t>
      </w:r>
    </w:p>
    <w:p>
      <w:pPr>
        <w:spacing w:line="500" w:lineRule="exact"/>
        <w:ind w:right="-4" w:firstLine="642" w:firstLineChars="198"/>
      </w:pPr>
      <w:r>
        <w:t>四、《中华人民共和国刑法》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pStyle w:val="9"/>
        <w:spacing w:line="500" w:lineRule="exact"/>
      </w:pPr>
    </w:p>
    <w:p>
      <w:pPr>
        <w:pStyle w:val="9"/>
        <w:spacing w:line="520" w:lineRule="exact"/>
        <w:ind w:firstLine="650" w:firstLineChars="200"/>
      </w:pPr>
    </w:p>
    <w:sectPr>
      <w:footerReference r:id="rId3" w:type="default"/>
      <w:footerReference r:id="rId4" w:type="even"/>
      <w:pgSz w:w="11907" w:h="16840"/>
      <w:pgMar w:top="1701" w:right="1418" w:bottom="1701" w:left="1701" w:header="0" w:footer="1361" w:gutter="0"/>
      <w:cols w:space="425" w:num="1"/>
      <w:docGrid w:type="linesAndChars" w:linePitch="516" w:charSpace="112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_x000B__x000C_">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5</w:t>
    </w:r>
    <w:r>
      <w:rPr>
        <w:rStyle w:val="6"/>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HorizontalSpacing w:val="325"/>
  <w:drawingGridVerticalSpacing w:val="258"/>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C329D"/>
    <w:rsid w:val="000005C7"/>
    <w:rsid w:val="000039A6"/>
    <w:rsid w:val="00003C84"/>
    <w:rsid w:val="00011460"/>
    <w:rsid w:val="00011708"/>
    <w:rsid w:val="0001589B"/>
    <w:rsid w:val="00015F94"/>
    <w:rsid w:val="00016EF9"/>
    <w:rsid w:val="0002032C"/>
    <w:rsid w:val="000212E3"/>
    <w:rsid w:val="000344FD"/>
    <w:rsid w:val="00036637"/>
    <w:rsid w:val="00037B08"/>
    <w:rsid w:val="00037CD7"/>
    <w:rsid w:val="00041087"/>
    <w:rsid w:val="00042A8F"/>
    <w:rsid w:val="00044501"/>
    <w:rsid w:val="00044AA7"/>
    <w:rsid w:val="000514E4"/>
    <w:rsid w:val="00053C64"/>
    <w:rsid w:val="00055D60"/>
    <w:rsid w:val="00064D4A"/>
    <w:rsid w:val="00065811"/>
    <w:rsid w:val="000719C7"/>
    <w:rsid w:val="000722FE"/>
    <w:rsid w:val="00074C35"/>
    <w:rsid w:val="000763D3"/>
    <w:rsid w:val="00082241"/>
    <w:rsid w:val="00083B39"/>
    <w:rsid w:val="00091E2E"/>
    <w:rsid w:val="00092DB4"/>
    <w:rsid w:val="00094D92"/>
    <w:rsid w:val="0009521C"/>
    <w:rsid w:val="000A1FDB"/>
    <w:rsid w:val="000A6173"/>
    <w:rsid w:val="000B50BE"/>
    <w:rsid w:val="000B72AA"/>
    <w:rsid w:val="000C385D"/>
    <w:rsid w:val="000C3F21"/>
    <w:rsid w:val="000C7949"/>
    <w:rsid w:val="000D165F"/>
    <w:rsid w:val="000D3B7D"/>
    <w:rsid w:val="000D4A91"/>
    <w:rsid w:val="000D74E5"/>
    <w:rsid w:val="000E14EB"/>
    <w:rsid w:val="000E1BB2"/>
    <w:rsid w:val="000E21CA"/>
    <w:rsid w:val="000E555B"/>
    <w:rsid w:val="000F0468"/>
    <w:rsid w:val="000F1D9E"/>
    <w:rsid w:val="000F7461"/>
    <w:rsid w:val="001008F6"/>
    <w:rsid w:val="0010555C"/>
    <w:rsid w:val="00107529"/>
    <w:rsid w:val="00107DF2"/>
    <w:rsid w:val="00107EB5"/>
    <w:rsid w:val="001125D2"/>
    <w:rsid w:val="00115582"/>
    <w:rsid w:val="00117CFE"/>
    <w:rsid w:val="00117D5B"/>
    <w:rsid w:val="00121750"/>
    <w:rsid w:val="00122341"/>
    <w:rsid w:val="00124425"/>
    <w:rsid w:val="00126F1F"/>
    <w:rsid w:val="00130281"/>
    <w:rsid w:val="00130ABE"/>
    <w:rsid w:val="00132123"/>
    <w:rsid w:val="00133A5B"/>
    <w:rsid w:val="00140B64"/>
    <w:rsid w:val="00141693"/>
    <w:rsid w:val="001421FD"/>
    <w:rsid w:val="0014246C"/>
    <w:rsid w:val="001425E0"/>
    <w:rsid w:val="00144710"/>
    <w:rsid w:val="00145195"/>
    <w:rsid w:val="00147623"/>
    <w:rsid w:val="001523A8"/>
    <w:rsid w:val="00154CF5"/>
    <w:rsid w:val="001620BF"/>
    <w:rsid w:val="00175C18"/>
    <w:rsid w:val="0018019E"/>
    <w:rsid w:val="00180601"/>
    <w:rsid w:val="00182329"/>
    <w:rsid w:val="001824B6"/>
    <w:rsid w:val="001833FA"/>
    <w:rsid w:val="00184A85"/>
    <w:rsid w:val="00185B2D"/>
    <w:rsid w:val="00186B04"/>
    <w:rsid w:val="00191E33"/>
    <w:rsid w:val="001940A5"/>
    <w:rsid w:val="00196B81"/>
    <w:rsid w:val="001A0BE9"/>
    <w:rsid w:val="001A0BEA"/>
    <w:rsid w:val="001B29B5"/>
    <w:rsid w:val="001B427A"/>
    <w:rsid w:val="001C4240"/>
    <w:rsid w:val="001C53AD"/>
    <w:rsid w:val="001C5930"/>
    <w:rsid w:val="001D2AEB"/>
    <w:rsid w:val="001D401C"/>
    <w:rsid w:val="001D4165"/>
    <w:rsid w:val="001D46A4"/>
    <w:rsid w:val="001D4818"/>
    <w:rsid w:val="001D55C0"/>
    <w:rsid w:val="001E08D4"/>
    <w:rsid w:val="001E6206"/>
    <w:rsid w:val="001F25B5"/>
    <w:rsid w:val="001F32E9"/>
    <w:rsid w:val="001F3655"/>
    <w:rsid w:val="001F7ADE"/>
    <w:rsid w:val="00202E7D"/>
    <w:rsid w:val="0020358C"/>
    <w:rsid w:val="00204C40"/>
    <w:rsid w:val="00205A4C"/>
    <w:rsid w:val="00210274"/>
    <w:rsid w:val="00211641"/>
    <w:rsid w:val="00212EA8"/>
    <w:rsid w:val="002238CB"/>
    <w:rsid w:val="00225E35"/>
    <w:rsid w:val="00227109"/>
    <w:rsid w:val="00227152"/>
    <w:rsid w:val="00227417"/>
    <w:rsid w:val="00231E7D"/>
    <w:rsid w:val="00231E8F"/>
    <w:rsid w:val="00233429"/>
    <w:rsid w:val="00234CFF"/>
    <w:rsid w:val="00235DC9"/>
    <w:rsid w:val="002377A8"/>
    <w:rsid w:val="002412C7"/>
    <w:rsid w:val="00241E52"/>
    <w:rsid w:val="002423F3"/>
    <w:rsid w:val="002432CA"/>
    <w:rsid w:val="00245282"/>
    <w:rsid w:val="00253241"/>
    <w:rsid w:val="00254408"/>
    <w:rsid w:val="00254B14"/>
    <w:rsid w:val="00255863"/>
    <w:rsid w:val="002569F4"/>
    <w:rsid w:val="002604C5"/>
    <w:rsid w:val="0026188B"/>
    <w:rsid w:val="002652AA"/>
    <w:rsid w:val="002703B4"/>
    <w:rsid w:val="00272699"/>
    <w:rsid w:val="00272AB2"/>
    <w:rsid w:val="002739A0"/>
    <w:rsid w:val="0027504A"/>
    <w:rsid w:val="002775C3"/>
    <w:rsid w:val="0028300B"/>
    <w:rsid w:val="00283680"/>
    <w:rsid w:val="0028487A"/>
    <w:rsid w:val="0029266C"/>
    <w:rsid w:val="0029315A"/>
    <w:rsid w:val="00294EE4"/>
    <w:rsid w:val="00296BE9"/>
    <w:rsid w:val="00296E30"/>
    <w:rsid w:val="002A4F9A"/>
    <w:rsid w:val="002A63ED"/>
    <w:rsid w:val="002A70EC"/>
    <w:rsid w:val="002A7F00"/>
    <w:rsid w:val="002B2553"/>
    <w:rsid w:val="002B3E39"/>
    <w:rsid w:val="002B4527"/>
    <w:rsid w:val="002B6675"/>
    <w:rsid w:val="002B720A"/>
    <w:rsid w:val="002C28BE"/>
    <w:rsid w:val="002C2EF9"/>
    <w:rsid w:val="002C329D"/>
    <w:rsid w:val="002C3E54"/>
    <w:rsid w:val="002C7901"/>
    <w:rsid w:val="002D0056"/>
    <w:rsid w:val="002D022B"/>
    <w:rsid w:val="002D09E4"/>
    <w:rsid w:val="002D5F81"/>
    <w:rsid w:val="002E29EE"/>
    <w:rsid w:val="002E3B8E"/>
    <w:rsid w:val="002E482E"/>
    <w:rsid w:val="002E5585"/>
    <w:rsid w:val="002E59BB"/>
    <w:rsid w:val="002E5CA1"/>
    <w:rsid w:val="002F11AF"/>
    <w:rsid w:val="002F28CB"/>
    <w:rsid w:val="002F44A6"/>
    <w:rsid w:val="003002B9"/>
    <w:rsid w:val="003010C2"/>
    <w:rsid w:val="00302047"/>
    <w:rsid w:val="00302AC4"/>
    <w:rsid w:val="0030624D"/>
    <w:rsid w:val="003079B9"/>
    <w:rsid w:val="00307E10"/>
    <w:rsid w:val="0031067B"/>
    <w:rsid w:val="00313291"/>
    <w:rsid w:val="00313642"/>
    <w:rsid w:val="003158C0"/>
    <w:rsid w:val="00321724"/>
    <w:rsid w:val="003220BA"/>
    <w:rsid w:val="00323E59"/>
    <w:rsid w:val="00324FF5"/>
    <w:rsid w:val="00325698"/>
    <w:rsid w:val="00326A75"/>
    <w:rsid w:val="00330B3C"/>
    <w:rsid w:val="00331492"/>
    <w:rsid w:val="003338E3"/>
    <w:rsid w:val="00335DEC"/>
    <w:rsid w:val="0035003A"/>
    <w:rsid w:val="00351627"/>
    <w:rsid w:val="00352A56"/>
    <w:rsid w:val="00355977"/>
    <w:rsid w:val="00355E2A"/>
    <w:rsid w:val="003576EE"/>
    <w:rsid w:val="003600E8"/>
    <w:rsid w:val="0036270F"/>
    <w:rsid w:val="00363DCF"/>
    <w:rsid w:val="00370921"/>
    <w:rsid w:val="0037286C"/>
    <w:rsid w:val="00375100"/>
    <w:rsid w:val="00376540"/>
    <w:rsid w:val="00376849"/>
    <w:rsid w:val="00377804"/>
    <w:rsid w:val="00380069"/>
    <w:rsid w:val="00381C23"/>
    <w:rsid w:val="00382137"/>
    <w:rsid w:val="00382160"/>
    <w:rsid w:val="0038506F"/>
    <w:rsid w:val="0038587B"/>
    <w:rsid w:val="00386B3A"/>
    <w:rsid w:val="003904E9"/>
    <w:rsid w:val="003935EE"/>
    <w:rsid w:val="00393917"/>
    <w:rsid w:val="003A175C"/>
    <w:rsid w:val="003A1F82"/>
    <w:rsid w:val="003A484C"/>
    <w:rsid w:val="003A57D6"/>
    <w:rsid w:val="003A71CB"/>
    <w:rsid w:val="003B2381"/>
    <w:rsid w:val="003B2601"/>
    <w:rsid w:val="003B41EE"/>
    <w:rsid w:val="003B47D1"/>
    <w:rsid w:val="003C34BC"/>
    <w:rsid w:val="003C581D"/>
    <w:rsid w:val="003C6633"/>
    <w:rsid w:val="003D32AD"/>
    <w:rsid w:val="003E0351"/>
    <w:rsid w:val="003E262E"/>
    <w:rsid w:val="003E2BA5"/>
    <w:rsid w:val="003E3232"/>
    <w:rsid w:val="003E4337"/>
    <w:rsid w:val="003E43D7"/>
    <w:rsid w:val="003E7EE5"/>
    <w:rsid w:val="003F17FF"/>
    <w:rsid w:val="003F6B54"/>
    <w:rsid w:val="003F6CC0"/>
    <w:rsid w:val="003F7382"/>
    <w:rsid w:val="00411B26"/>
    <w:rsid w:val="00411DF7"/>
    <w:rsid w:val="004161A5"/>
    <w:rsid w:val="00416FE6"/>
    <w:rsid w:val="00417D6C"/>
    <w:rsid w:val="00420FEE"/>
    <w:rsid w:val="0042414E"/>
    <w:rsid w:val="00426DD2"/>
    <w:rsid w:val="0042737B"/>
    <w:rsid w:val="004276CD"/>
    <w:rsid w:val="00430CBF"/>
    <w:rsid w:val="004310F5"/>
    <w:rsid w:val="004324AA"/>
    <w:rsid w:val="00433E17"/>
    <w:rsid w:val="00451519"/>
    <w:rsid w:val="004534D6"/>
    <w:rsid w:val="00454F05"/>
    <w:rsid w:val="00455DF0"/>
    <w:rsid w:val="0046169E"/>
    <w:rsid w:val="00461D67"/>
    <w:rsid w:val="00462227"/>
    <w:rsid w:val="00463E7B"/>
    <w:rsid w:val="00465010"/>
    <w:rsid w:val="00471392"/>
    <w:rsid w:val="00474039"/>
    <w:rsid w:val="00474227"/>
    <w:rsid w:val="00474456"/>
    <w:rsid w:val="0047516B"/>
    <w:rsid w:val="004816EA"/>
    <w:rsid w:val="00484F5F"/>
    <w:rsid w:val="004853D5"/>
    <w:rsid w:val="004901A4"/>
    <w:rsid w:val="004901B3"/>
    <w:rsid w:val="00490CE9"/>
    <w:rsid w:val="00492556"/>
    <w:rsid w:val="00497B35"/>
    <w:rsid w:val="00497B4C"/>
    <w:rsid w:val="004A058F"/>
    <w:rsid w:val="004A17BB"/>
    <w:rsid w:val="004A182D"/>
    <w:rsid w:val="004A22E8"/>
    <w:rsid w:val="004A3C6D"/>
    <w:rsid w:val="004B3134"/>
    <w:rsid w:val="004B33AA"/>
    <w:rsid w:val="004B56B2"/>
    <w:rsid w:val="004B7CDF"/>
    <w:rsid w:val="004C1E17"/>
    <w:rsid w:val="004C3791"/>
    <w:rsid w:val="004C4E6A"/>
    <w:rsid w:val="004D632D"/>
    <w:rsid w:val="004E47F7"/>
    <w:rsid w:val="004E71EA"/>
    <w:rsid w:val="004F2163"/>
    <w:rsid w:val="004F3359"/>
    <w:rsid w:val="004F3AB1"/>
    <w:rsid w:val="004F45E9"/>
    <w:rsid w:val="004F4934"/>
    <w:rsid w:val="00500313"/>
    <w:rsid w:val="00500AAC"/>
    <w:rsid w:val="00500FAD"/>
    <w:rsid w:val="005018F2"/>
    <w:rsid w:val="00502179"/>
    <w:rsid w:val="00502381"/>
    <w:rsid w:val="00502463"/>
    <w:rsid w:val="00502D0C"/>
    <w:rsid w:val="0050318C"/>
    <w:rsid w:val="00505720"/>
    <w:rsid w:val="00507757"/>
    <w:rsid w:val="0051416B"/>
    <w:rsid w:val="00514DB7"/>
    <w:rsid w:val="00515014"/>
    <w:rsid w:val="00516198"/>
    <w:rsid w:val="00517681"/>
    <w:rsid w:val="00520D13"/>
    <w:rsid w:val="00525B2A"/>
    <w:rsid w:val="005268A7"/>
    <w:rsid w:val="00530970"/>
    <w:rsid w:val="00540AC5"/>
    <w:rsid w:val="005412A7"/>
    <w:rsid w:val="00541793"/>
    <w:rsid w:val="00541D59"/>
    <w:rsid w:val="00542252"/>
    <w:rsid w:val="00542B1C"/>
    <w:rsid w:val="005474E3"/>
    <w:rsid w:val="0055106A"/>
    <w:rsid w:val="00554583"/>
    <w:rsid w:val="00555861"/>
    <w:rsid w:val="005558E3"/>
    <w:rsid w:val="005562BF"/>
    <w:rsid w:val="00561788"/>
    <w:rsid w:val="00561D9C"/>
    <w:rsid w:val="00563502"/>
    <w:rsid w:val="00571725"/>
    <w:rsid w:val="00571CE6"/>
    <w:rsid w:val="0057450A"/>
    <w:rsid w:val="00575453"/>
    <w:rsid w:val="00575A22"/>
    <w:rsid w:val="00575D93"/>
    <w:rsid w:val="00576188"/>
    <w:rsid w:val="005769EC"/>
    <w:rsid w:val="00587E0B"/>
    <w:rsid w:val="00593417"/>
    <w:rsid w:val="005943FC"/>
    <w:rsid w:val="00596890"/>
    <w:rsid w:val="005A2B3B"/>
    <w:rsid w:val="005A4714"/>
    <w:rsid w:val="005A53E2"/>
    <w:rsid w:val="005A6A3E"/>
    <w:rsid w:val="005A7916"/>
    <w:rsid w:val="005B1216"/>
    <w:rsid w:val="005B41D0"/>
    <w:rsid w:val="005B7D50"/>
    <w:rsid w:val="005C16C1"/>
    <w:rsid w:val="005C1896"/>
    <w:rsid w:val="005C3DD0"/>
    <w:rsid w:val="005C65C9"/>
    <w:rsid w:val="005D1FE6"/>
    <w:rsid w:val="005D2118"/>
    <w:rsid w:val="005D44A6"/>
    <w:rsid w:val="005D6250"/>
    <w:rsid w:val="005E0483"/>
    <w:rsid w:val="005E20BE"/>
    <w:rsid w:val="005E2E2C"/>
    <w:rsid w:val="005E6EBC"/>
    <w:rsid w:val="005F2DDA"/>
    <w:rsid w:val="005F36C7"/>
    <w:rsid w:val="005F39AA"/>
    <w:rsid w:val="005F3BC1"/>
    <w:rsid w:val="005F3DBC"/>
    <w:rsid w:val="005F4161"/>
    <w:rsid w:val="006043DA"/>
    <w:rsid w:val="00606ED9"/>
    <w:rsid w:val="00613748"/>
    <w:rsid w:val="00613A02"/>
    <w:rsid w:val="00614B18"/>
    <w:rsid w:val="006211F9"/>
    <w:rsid w:val="006247FC"/>
    <w:rsid w:val="00632255"/>
    <w:rsid w:val="00634362"/>
    <w:rsid w:val="00635BF7"/>
    <w:rsid w:val="00640204"/>
    <w:rsid w:val="00640EFC"/>
    <w:rsid w:val="006413BD"/>
    <w:rsid w:val="00642C64"/>
    <w:rsid w:val="00642C8E"/>
    <w:rsid w:val="00643B5A"/>
    <w:rsid w:val="00646FCA"/>
    <w:rsid w:val="00655DB4"/>
    <w:rsid w:val="00655FE3"/>
    <w:rsid w:val="006561A7"/>
    <w:rsid w:val="0065623B"/>
    <w:rsid w:val="00656B3D"/>
    <w:rsid w:val="00656CDF"/>
    <w:rsid w:val="00657F32"/>
    <w:rsid w:val="00662395"/>
    <w:rsid w:val="0066310A"/>
    <w:rsid w:val="00663F08"/>
    <w:rsid w:val="00664141"/>
    <w:rsid w:val="006642DF"/>
    <w:rsid w:val="0067093F"/>
    <w:rsid w:val="0067374B"/>
    <w:rsid w:val="00674DAE"/>
    <w:rsid w:val="006761E5"/>
    <w:rsid w:val="00683293"/>
    <w:rsid w:val="006839A1"/>
    <w:rsid w:val="006849B5"/>
    <w:rsid w:val="006962FD"/>
    <w:rsid w:val="006A10FE"/>
    <w:rsid w:val="006A1873"/>
    <w:rsid w:val="006A1BCF"/>
    <w:rsid w:val="006A27FD"/>
    <w:rsid w:val="006A3EC1"/>
    <w:rsid w:val="006A4F8A"/>
    <w:rsid w:val="006A5CDE"/>
    <w:rsid w:val="006A7AF7"/>
    <w:rsid w:val="006B1755"/>
    <w:rsid w:val="006B4347"/>
    <w:rsid w:val="006B4AB9"/>
    <w:rsid w:val="006B4FDE"/>
    <w:rsid w:val="006C3EEC"/>
    <w:rsid w:val="006C4D42"/>
    <w:rsid w:val="006D3B0E"/>
    <w:rsid w:val="006D68AA"/>
    <w:rsid w:val="006E061E"/>
    <w:rsid w:val="006E0F84"/>
    <w:rsid w:val="006E0FC5"/>
    <w:rsid w:val="006E1AC3"/>
    <w:rsid w:val="006E455E"/>
    <w:rsid w:val="006E4633"/>
    <w:rsid w:val="006E4C4C"/>
    <w:rsid w:val="006E5635"/>
    <w:rsid w:val="006E6229"/>
    <w:rsid w:val="006E6816"/>
    <w:rsid w:val="006E77B0"/>
    <w:rsid w:val="006F2EDE"/>
    <w:rsid w:val="006F44D9"/>
    <w:rsid w:val="006F4C7F"/>
    <w:rsid w:val="006F5772"/>
    <w:rsid w:val="00700E96"/>
    <w:rsid w:val="00701D98"/>
    <w:rsid w:val="007045C3"/>
    <w:rsid w:val="007134A9"/>
    <w:rsid w:val="007137E5"/>
    <w:rsid w:val="007139CB"/>
    <w:rsid w:val="0071421B"/>
    <w:rsid w:val="00716197"/>
    <w:rsid w:val="007179D7"/>
    <w:rsid w:val="00720BBC"/>
    <w:rsid w:val="00723380"/>
    <w:rsid w:val="00731E92"/>
    <w:rsid w:val="00735911"/>
    <w:rsid w:val="00735F44"/>
    <w:rsid w:val="00736074"/>
    <w:rsid w:val="00736E5E"/>
    <w:rsid w:val="00737B47"/>
    <w:rsid w:val="00740273"/>
    <w:rsid w:val="007429EC"/>
    <w:rsid w:val="00742DF6"/>
    <w:rsid w:val="00746F5A"/>
    <w:rsid w:val="00750319"/>
    <w:rsid w:val="0075070B"/>
    <w:rsid w:val="00750727"/>
    <w:rsid w:val="00753E05"/>
    <w:rsid w:val="0076315B"/>
    <w:rsid w:val="00763329"/>
    <w:rsid w:val="007635DC"/>
    <w:rsid w:val="00764A5A"/>
    <w:rsid w:val="00766555"/>
    <w:rsid w:val="007871B2"/>
    <w:rsid w:val="00787A70"/>
    <w:rsid w:val="00787B2F"/>
    <w:rsid w:val="00790C3B"/>
    <w:rsid w:val="00790D58"/>
    <w:rsid w:val="00793BED"/>
    <w:rsid w:val="007942A8"/>
    <w:rsid w:val="00795AD8"/>
    <w:rsid w:val="007A01C2"/>
    <w:rsid w:val="007A0BE6"/>
    <w:rsid w:val="007A13F3"/>
    <w:rsid w:val="007A2FC6"/>
    <w:rsid w:val="007A36AF"/>
    <w:rsid w:val="007A7C42"/>
    <w:rsid w:val="007B43D7"/>
    <w:rsid w:val="007B651B"/>
    <w:rsid w:val="007B698B"/>
    <w:rsid w:val="007B6F16"/>
    <w:rsid w:val="007C0C54"/>
    <w:rsid w:val="007C36A9"/>
    <w:rsid w:val="007C3983"/>
    <w:rsid w:val="007D28CF"/>
    <w:rsid w:val="007D4765"/>
    <w:rsid w:val="007D5040"/>
    <w:rsid w:val="007D7E8C"/>
    <w:rsid w:val="007E2AD8"/>
    <w:rsid w:val="007E4024"/>
    <w:rsid w:val="007E59EA"/>
    <w:rsid w:val="007F1CAC"/>
    <w:rsid w:val="007F47CF"/>
    <w:rsid w:val="007F5595"/>
    <w:rsid w:val="00801636"/>
    <w:rsid w:val="00801A04"/>
    <w:rsid w:val="00801FDC"/>
    <w:rsid w:val="00803DBA"/>
    <w:rsid w:val="008074EA"/>
    <w:rsid w:val="00810F5E"/>
    <w:rsid w:val="008133C4"/>
    <w:rsid w:val="00815575"/>
    <w:rsid w:val="00815E42"/>
    <w:rsid w:val="00824153"/>
    <w:rsid w:val="008302A0"/>
    <w:rsid w:val="00831435"/>
    <w:rsid w:val="00832296"/>
    <w:rsid w:val="008330DC"/>
    <w:rsid w:val="0083432D"/>
    <w:rsid w:val="00836458"/>
    <w:rsid w:val="00837BA1"/>
    <w:rsid w:val="00844C5C"/>
    <w:rsid w:val="008454E4"/>
    <w:rsid w:val="008521FE"/>
    <w:rsid w:val="008526AF"/>
    <w:rsid w:val="00852A41"/>
    <w:rsid w:val="00860171"/>
    <w:rsid w:val="008612EA"/>
    <w:rsid w:val="0086298F"/>
    <w:rsid w:val="00863896"/>
    <w:rsid w:val="00864EC0"/>
    <w:rsid w:val="0086786C"/>
    <w:rsid w:val="008747F8"/>
    <w:rsid w:val="0087530A"/>
    <w:rsid w:val="008761D8"/>
    <w:rsid w:val="00882392"/>
    <w:rsid w:val="00884530"/>
    <w:rsid w:val="00887ED5"/>
    <w:rsid w:val="00891AF0"/>
    <w:rsid w:val="00892915"/>
    <w:rsid w:val="00895DEA"/>
    <w:rsid w:val="00897B9C"/>
    <w:rsid w:val="008A0D6C"/>
    <w:rsid w:val="008A201D"/>
    <w:rsid w:val="008A42B0"/>
    <w:rsid w:val="008A7874"/>
    <w:rsid w:val="008B05DF"/>
    <w:rsid w:val="008C0785"/>
    <w:rsid w:val="008C71E6"/>
    <w:rsid w:val="008D0658"/>
    <w:rsid w:val="008D35A8"/>
    <w:rsid w:val="008D5C4E"/>
    <w:rsid w:val="008D6888"/>
    <w:rsid w:val="008D752F"/>
    <w:rsid w:val="008D7850"/>
    <w:rsid w:val="008E2B23"/>
    <w:rsid w:val="008E38DE"/>
    <w:rsid w:val="008E4669"/>
    <w:rsid w:val="008E6DE8"/>
    <w:rsid w:val="008E7E7C"/>
    <w:rsid w:val="008F119C"/>
    <w:rsid w:val="008F11A0"/>
    <w:rsid w:val="008F179C"/>
    <w:rsid w:val="008F1D30"/>
    <w:rsid w:val="008F2BAD"/>
    <w:rsid w:val="008F6CC6"/>
    <w:rsid w:val="00905993"/>
    <w:rsid w:val="00910329"/>
    <w:rsid w:val="00911028"/>
    <w:rsid w:val="00911B35"/>
    <w:rsid w:val="00916019"/>
    <w:rsid w:val="009172B1"/>
    <w:rsid w:val="00917E23"/>
    <w:rsid w:val="009202AF"/>
    <w:rsid w:val="00921588"/>
    <w:rsid w:val="00921B7A"/>
    <w:rsid w:val="009234DC"/>
    <w:rsid w:val="00925D9A"/>
    <w:rsid w:val="00932028"/>
    <w:rsid w:val="00933F0A"/>
    <w:rsid w:val="009348A5"/>
    <w:rsid w:val="009362B6"/>
    <w:rsid w:val="009363B3"/>
    <w:rsid w:val="009420B6"/>
    <w:rsid w:val="0094308C"/>
    <w:rsid w:val="009438A3"/>
    <w:rsid w:val="009441E4"/>
    <w:rsid w:val="009449D8"/>
    <w:rsid w:val="00944BFD"/>
    <w:rsid w:val="00952F43"/>
    <w:rsid w:val="00953CC1"/>
    <w:rsid w:val="00957848"/>
    <w:rsid w:val="00960249"/>
    <w:rsid w:val="009607EE"/>
    <w:rsid w:val="00960FD3"/>
    <w:rsid w:val="00961948"/>
    <w:rsid w:val="009648D0"/>
    <w:rsid w:val="00966609"/>
    <w:rsid w:val="0097212D"/>
    <w:rsid w:val="00972283"/>
    <w:rsid w:val="009741F3"/>
    <w:rsid w:val="00975B18"/>
    <w:rsid w:val="009764BA"/>
    <w:rsid w:val="00980CCD"/>
    <w:rsid w:val="00987C1F"/>
    <w:rsid w:val="00994BCF"/>
    <w:rsid w:val="00996828"/>
    <w:rsid w:val="009A234A"/>
    <w:rsid w:val="009A6301"/>
    <w:rsid w:val="009B477E"/>
    <w:rsid w:val="009B590F"/>
    <w:rsid w:val="009C1C26"/>
    <w:rsid w:val="009C354E"/>
    <w:rsid w:val="009C4571"/>
    <w:rsid w:val="009C5751"/>
    <w:rsid w:val="009C76CC"/>
    <w:rsid w:val="009D0B1E"/>
    <w:rsid w:val="009D1356"/>
    <w:rsid w:val="009D345C"/>
    <w:rsid w:val="009D3C6A"/>
    <w:rsid w:val="009D51D3"/>
    <w:rsid w:val="009D6888"/>
    <w:rsid w:val="009D7F4C"/>
    <w:rsid w:val="009E4C79"/>
    <w:rsid w:val="009F0189"/>
    <w:rsid w:val="009F1D45"/>
    <w:rsid w:val="009F23B7"/>
    <w:rsid w:val="009F2F82"/>
    <w:rsid w:val="009F3BCE"/>
    <w:rsid w:val="009F3F76"/>
    <w:rsid w:val="009F7421"/>
    <w:rsid w:val="00A01F99"/>
    <w:rsid w:val="00A031E5"/>
    <w:rsid w:val="00A0341E"/>
    <w:rsid w:val="00A05EE6"/>
    <w:rsid w:val="00A061A5"/>
    <w:rsid w:val="00A119CA"/>
    <w:rsid w:val="00A12AA3"/>
    <w:rsid w:val="00A14C29"/>
    <w:rsid w:val="00A150FB"/>
    <w:rsid w:val="00A16131"/>
    <w:rsid w:val="00A203DD"/>
    <w:rsid w:val="00A219B2"/>
    <w:rsid w:val="00A222E7"/>
    <w:rsid w:val="00A24EDC"/>
    <w:rsid w:val="00A25DC7"/>
    <w:rsid w:val="00A269BC"/>
    <w:rsid w:val="00A26A18"/>
    <w:rsid w:val="00A2745A"/>
    <w:rsid w:val="00A30768"/>
    <w:rsid w:val="00A31939"/>
    <w:rsid w:val="00A32C8D"/>
    <w:rsid w:val="00A3534E"/>
    <w:rsid w:val="00A37C11"/>
    <w:rsid w:val="00A44994"/>
    <w:rsid w:val="00A44DBF"/>
    <w:rsid w:val="00A45B83"/>
    <w:rsid w:val="00A52811"/>
    <w:rsid w:val="00A55129"/>
    <w:rsid w:val="00A55DDA"/>
    <w:rsid w:val="00A565DA"/>
    <w:rsid w:val="00A5681C"/>
    <w:rsid w:val="00A60416"/>
    <w:rsid w:val="00A6103A"/>
    <w:rsid w:val="00A61EA2"/>
    <w:rsid w:val="00A64C62"/>
    <w:rsid w:val="00A721BF"/>
    <w:rsid w:val="00A75433"/>
    <w:rsid w:val="00A8086D"/>
    <w:rsid w:val="00A812A1"/>
    <w:rsid w:val="00A839CC"/>
    <w:rsid w:val="00A86836"/>
    <w:rsid w:val="00A87B36"/>
    <w:rsid w:val="00A908A1"/>
    <w:rsid w:val="00A91796"/>
    <w:rsid w:val="00A92784"/>
    <w:rsid w:val="00A960FC"/>
    <w:rsid w:val="00AA022D"/>
    <w:rsid w:val="00AA12F6"/>
    <w:rsid w:val="00AB4A46"/>
    <w:rsid w:val="00AC08A4"/>
    <w:rsid w:val="00AC260D"/>
    <w:rsid w:val="00AC363C"/>
    <w:rsid w:val="00AD0390"/>
    <w:rsid w:val="00AD04B8"/>
    <w:rsid w:val="00AD1CF8"/>
    <w:rsid w:val="00AE1916"/>
    <w:rsid w:val="00AE1CDC"/>
    <w:rsid w:val="00AE2D27"/>
    <w:rsid w:val="00AE5739"/>
    <w:rsid w:val="00AF0CE5"/>
    <w:rsid w:val="00AF0E9B"/>
    <w:rsid w:val="00AF4453"/>
    <w:rsid w:val="00B00811"/>
    <w:rsid w:val="00B04237"/>
    <w:rsid w:val="00B04C39"/>
    <w:rsid w:val="00B057F6"/>
    <w:rsid w:val="00B05B70"/>
    <w:rsid w:val="00B117CC"/>
    <w:rsid w:val="00B125D1"/>
    <w:rsid w:val="00B137F4"/>
    <w:rsid w:val="00B15EEC"/>
    <w:rsid w:val="00B2102C"/>
    <w:rsid w:val="00B22770"/>
    <w:rsid w:val="00B232D8"/>
    <w:rsid w:val="00B24823"/>
    <w:rsid w:val="00B2637F"/>
    <w:rsid w:val="00B27324"/>
    <w:rsid w:val="00B27D90"/>
    <w:rsid w:val="00B306BC"/>
    <w:rsid w:val="00B354CA"/>
    <w:rsid w:val="00B40F80"/>
    <w:rsid w:val="00B433C6"/>
    <w:rsid w:val="00B43EDB"/>
    <w:rsid w:val="00B446AA"/>
    <w:rsid w:val="00B450E2"/>
    <w:rsid w:val="00B479AB"/>
    <w:rsid w:val="00B47BB1"/>
    <w:rsid w:val="00B5087D"/>
    <w:rsid w:val="00B534E0"/>
    <w:rsid w:val="00B53750"/>
    <w:rsid w:val="00B5386C"/>
    <w:rsid w:val="00B573BE"/>
    <w:rsid w:val="00B64591"/>
    <w:rsid w:val="00B6753E"/>
    <w:rsid w:val="00B74259"/>
    <w:rsid w:val="00B830CA"/>
    <w:rsid w:val="00B83859"/>
    <w:rsid w:val="00B96015"/>
    <w:rsid w:val="00B962FD"/>
    <w:rsid w:val="00B96EE8"/>
    <w:rsid w:val="00BA05E3"/>
    <w:rsid w:val="00BA1B08"/>
    <w:rsid w:val="00BA1CD8"/>
    <w:rsid w:val="00BA2A97"/>
    <w:rsid w:val="00BA6EBA"/>
    <w:rsid w:val="00BA7780"/>
    <w:rsid w:val="00BB1278"/>
    <w:rsid w:val="00BB1F9C"/>
    <w:rsid w:val="00BB2539"/>
    <w:rsid w:val="00BB279F"/>
    <w:rsid w:val="00BB3B24"/>
    <w:rsid w:val="00BB61AE"/>
    <w:rsid w:val="00BB7263"/>
    <w:rsid w:val="00BC2F4B"/>
    <w:rsid w:val="00BD0B02"/>
    <w:rsid w:val="00BD1843"/>
    <w:rsid w:val="00BD1C5E"/>
    <w:rsid w:val="00BD468A"/>
    <w:rsid w:val="00BD54BC"/>
    <w:rsid w:val="00BD735B"/>
    <w:rsid w:val="00BE1EF9"/>
    <w:rsid w:val="00BE7409"/>
    <w:rsid w:val="00BF0915"/>
    <w:rsid w:val="00BF32A3"/>
    <w:rsid w:val="00BF39DE"/>
    <w:rsid w:val="00BF67CA"/>
    <w:rsid w:val="00BF6FE3"/>
    <w:rsid w:val="00BF706B"/>
    <w:rsid w:val="00C01731"/>
    <w:rsid w:val="00C01FF2"/>
    <w:rsid w:val="00C06021"/>
    <w:rsid w:val="00C0631F"/>
    <w:rsid w:val="00C116EC"/>
    <w:rsid w:val="00C11824"/>
    <w:rsid w:val="00C20D21"/>
    <w:rsid w:val="00C23A86"/>
    <w:rsid w:val="00C24282"/>
    <w:rsid w:val="00C2554D"/>
    <w:rsid w:val="00C274AB"/>
    <w:rsid w:val="00C31A33"/>
    <w:rsid w:val="00C31E8E"/>
    <w:rsid w:val="00C34D86"/>
    <w:rsid w:val="00C34F90"/>
    <w:rsid w:val="00C36D10"/>
    <w:rsid w:val="00C41B17"/>
    <w:rsid w:val="00C44094"/>
    <w:rsid w:val="00C45BE2"/>
    <w:rsid w:val="00C47443"/>
    <w:rsid w:val="00C47A52"/>
    <w:rsid w:val="00C5776A"/>
    <w:rsid w:val="00C6398A"/>
    <w:rsid w:val="00C64CE7"/>
    <w:rsid w:val="00C65BC3"/>
    <w:rsid w:val="00C67B60"/>
    <w:rsid w:val="00C74603"/>
    <w:rsid w:val="00C752A4"/>
    <w:rsid w:val="00C805D8"/>
    <w:rsid w:val="00C81247"/>
    <w:rsid w:val="00C81361"/>
    <w:rsid w:val="00C85547"/>
    <w:rsid w:val="00C8615B"/>
    <w:rsid w:val="00C87B6E"/>
    <w:rsid w:val="00C905A2"/>
    <w:rsid w:val="00C9235B"/>
    <w:rsid w:val="00C926E8"/>
    <w:rsid w:val="00C944E6"/>
    <w:rsid w:val="00C94F96"/>
    <w:rsid w:val="00C95141"/>
    <w:rsid w:val="00CA0098"/>
    <w:rsid w:val="00CA2CEA"/>
    <w:rsid w:val="00CA74A2"/>
    <w:rsid w:val="00CA7F02"/>
    <w:rsid w:val="00CB3E4F"/>
    <w:rsid w:val="00CB6CAA"/>
    <w:rsid w:val="00CC32A7"/>
    <w:rsid w:val="00CC6E00"/>
    <w:rsid w:val="00CD74D6"/>
    <w:rsid w:val="00CE13EF"/>
    <w:rsid w:val="00CE14A8"/>
    <w:rsid w:val="00CE2467"/>
    <w:rsid w:val="00CE3118"/>
    <w:rsid w:val="00CE573B"/>
    <w:rsid w:val="00CE6467"/>
    <w:rsid w:val="00CF16B7"/>
    <w:rsid w:val="00CF24F6"/>
    <w:rsid w:val="00CF64BF"/>
    <w:rsid w:val="00CF6F17"/>
    <w:rsid w:val="00D004EE"/>
    <w:rsid w:val="00D01483"/>
    <w:rsid w:val="00D03A93"/>
    <w:rsid w:val="00D04DD8"/>
    <w:rsid w:val="00D064C1"/>
    <w:rsid w:val="00D10A04"/>
    <w:rsid w:val="00D12FE3"/>
    <w:rsid w:val="00D134B0"/>
    <w:rsid w:val="00D1390F"/>
    <w:rsid w:val="00D167F7"/>
    <w:rsid w:val="00D176CB"/>
    <w:rsid w:val="00D22707"/>
    <w:rsid w:val="00D25036"/>
    <w:rsid w:val="00D2621F"/>
    <w:rsid w:val="00D263CE"/>
    <w:rsid w:val="00D33537"/>
    <w:rsid w:val="00D3425D"/>
    <w:rsid w:val="00D34690"/>
    <w:rsid w:val="00D3718C"/>
    <w:rsid w:val="00D37371"/>
    <w:rsid w:val="00D41BC0"/>
    <w:rsid w:val="00D52145"/>
    <w:rsid w:val="00D530D3"/>
    <w:rsid w:val="00D5316C"/>
    <w:rsid w:val="00D54C4C"/>
    <w:rsid w:val="00D61B0F"/>
    <w:rsid w:val="00D62181"/>
    <w:rsid w:val="00D72371"/>
    <w:rsid w:val="00D730E4"/>
    <w:rsid w:val="00D73B4A"/>
    <w:rsid w:val="00D7419A"/>
    <w:rsid w:val="00D74355"/>
    <w:rsid w:val="00D747B5"/>
    <w:rsid w:val="00D81208"/>
    <w:rsid w:val="00D83F3B"/>
    <w:rsid w:val="00D842BE"/>
    <w:rsid w:val="00D845FE"/>
    <w:rsid w:val="00D85557"/>
    <w:rsid w:val="00D86793"/>
    <w:rsid w:val="00D90241"/>
    <w:rsid w:val="00D929F1"/>
    <w:rsid w:val="00D96B73"/>
    <w:rsid w:val="00D97BFC"/>
    <w:rsid w:val="00DB45EA"/>
    <w:rsid w:val="00DB545A"/>
    <w:rsid w:val="00DB6E87"/>
    <w:rsid w:val="00DB7449"/>
    <w:rsid w:val="00DC3124"/>
    <w:rsid w:val="00DC4C7C"/>
    <w:rsid w:val="00DC5354"/>
    <w:rsid w:val="00DC58B9"/>
    <w:rsid w:val="00DC5B45"/>
    <w:rsid w:val="00DC7D19"/>
    <w:rsid w:val="00DD2A29"/>
    <w:rsid w:val="00DD49B9"/>
    <w:rsid w:val="00DD52A0"/>
    <w:rsid w:val="00DD79D4"/>
    <w:rsid w:val="00DE21DE"/>
    <w:rsid w:val="00DE25F1"/>
    <w:rsid w:val="00DE730A"/>
    <w:rsid w:val="00DF618A"/>
    <w:rsid w:val="00E11859"/>
    <w:rsid w:val="00E11CE2"/>
    <w:rsid w:val="00E1246B"/>
    <w:rsid w:val="00E127C8"/>
    <w:rsid w:val="00E12B05"/>
    <w:rsid w:val="00E1438C"/>
    <w:rsid w:val="00E22D80"/>
    <w:rsid w:val="00E23A1F"/>
    <w:rsid w:val="00E264AE"/>
    <w:rsid w:val="00E2651D"/>
    <w:rsid w:val="00E34CFC"/>
    <w:rsid w:val="00E358DB"/>
    <w:rsid w:val="00E47978"/>
    <w:rsid w:val="00E47A46"/>
    <w:rsid w:val="00E52518"/>
    <w:rsid w:val="00E5465E"/>
    <w:rsid w:val="00E55E1B"/>
    <w:rsid w:val="00E569E2"/>
    <w:rsid w:val="00E60929"/>
    <w:rsid w:val="00E60B16"/>
    <w:rsid w:val="00E62DA2"/>
    <w:rsid w:val="00E62F47"/>
    <w:rsid w:val="00E65FC7"/>
    <w:rsid w:val="00E667B9"/>
    <w:rsid w:val="00E675BD"/>
    <w:rsid w:val="00E7081D"/>
    <w:rsid w:val="00E715A5"/>
    <w:rsid w:val="00E72289"/>
    <w:rsid w:val="00E74317"/>
    <w:rsid w:val="00E80B66"/>
    <w:rsid w:val="00E82D36"/>
    <w:rsid w:val="00E873D9"/>
    <w:rsid w:val="00E91751"/>
    <w:rsid w:val="00E93F8F"/>
    <w:rsid w:val="00E962EB"/>
    <w:rsid w:val="00EA0AC3"/>
    <w:rsid w:val="00EA12FA"/>
    <w:rsid w:val="00EA1483"/>
    <w:rsid w:val="00EA1F3A"/>
    <w:rsid w:val="00EA5B03"/>
    <w:rsid w:val="00EA65E0"/>
    <w:rsid w:val="00EA67A4"/>
    <w:rsid w:val="00EA7E84"/>
    <w:rsid w:val="00EB01EC"/>
    <w:rsid w:val="00EB0DEB"/>
    <w:rsid w:val="00EB17A4"/>
    <w:rsid w:val="00EB353B"/>
    <w:rsid w:val="00EB59F6"/>
    <w:rsid w:val="00EB61D1"/>
    <w:rsid w:val="00EC637D"/>
    <w:rsid w:val="00EC7EC7"/>
    <w:rsid w:val="00ED18C1"/>
    <w:rsid w:val="00ED42C4"/>
    <w:rsid w:val="00ED6537"/>
    <w:rsid w:val="00ED65BC"/>
    <w:rsid w:val="00EE559A"/>
    <w:rsid w:val="00EE5DDF"/>
    <w:rsid w:val="00EE6A73"/>
    <w:rsid w:val="00EF1809"/>
    <w:rsid w:val="00EF1F5C"/>
    <w:rsid w:val="00EF3477"/>
    <w:rsid w:val="00EF6B50"/>
    <w:rsid w:val="00EF7D94"/>
    <w:rsid w:val="00F0185F"/>
    <w:rsid w:val="00F03139"/>
    <w:rsid w:val="00F047D2"/>
    <w:rsid w:val="00F05C95"/>
    <w:rsid w:val="00F11EA9"/>
    <w:rsid w:val="00F234B9"/>
    <w:rsid w:val="00F25DD6"/>
    <w:rsid w:val="00F26702"/>
    <w:rsid w:val="00F26812"/>
    <w:rsid w:val="00F31CC1"/>
    <w:rsid w:val="00F31FCA"/>
    <w:rsid w:val="00F42091"/>
    <w:rsid w:val="00F42E43"/>
    <w:rsid w:val="00F438BD"/>
    <w:rsid w:val="00F51F6E"/>
    <w:rsid w:val="00F52392"/>
    <w:rsid w:val="00F52CCD"/>
    <w:rsid w:val="00F570CA"/>
    <w:rsid w:val="00F5758B"/>
    <w:rsid w:val="00F60C3D"/>
    <w:rsid w:val="00F61FC5"/>
    <w:rsid w:val="00F7042E"/>
    <w:rsid w:val="00F7318D"/>
    <w:rsid w:val="00F73BFC"/>
    <w:rsid w:val="00F75748"/>
    <w:rsid w:val="00F80FB1"/>
    <w:rsid w:val="00F81CA3"/>
    <w:rsid w:val="00F8210C"/>
    <w:rsid w:val="00F8534B"/>
    <w:rsid w:val="00F8606F"/>
    <w:rsid w:val="00F87203"/>
    <w:rsid w:val="00F877FA"/>
    <w:rsid w:val="00F92AF6"/>
    <w:rsid w:val="00F93C53"/>
    <w:rsid w:val="00F9533C"/>
    <w:rsid w:val="00F9598B"/>
    <w:rsid w:val="00F95A02"/>
    <w:rsid w:val="00FA0147"/>
    <w:rsid w:val="00FA0B46"/>
    <w:rsid w:val="00FA20AA"/>
    <w:rsid w:val="00FA2512"/>
    <w:rsid w:val="00FA6BB2"/>
    <w:rsid w:val="00FB03BF"/>
    <w:rsid w:val="00FB29F3"/>
    <w:rsid w:val="00FB2BF3"/>
    <w:rsid w:val="00FC1175"/>
    <w:rsid w:val="00FC17C5"/>
    <w:rsid w:val="00FC4FF5"/>
    <w:rsid w:val="00FC60AB"/>
    <w:rsid w:val="00FD14BE"/>
    <w:rsid w:val="00FD2745"/>
    <w:rsid w:val="00FD5ECF"/>
    <w:rsid w:val="00FE1071"/>
    <w:rsid w:val="00FE1A5B"/>
    <w:rsid w:val="00FE23C6"/>
    <w:rsid w:val="00FE507F"/>
    <w:rsid w:val="00FE5C49"/>
    <w:rsid w:val="00FF0FB5"/>
    <w:rsid w:val="00FF328B"/>
    <w:rsid w:val="00FF491F"/>
    <w:rsid w:val="00FF5CB8"/>
    <w:rsid w:val="00FF7C8D"/>
    <w:rsid w:val="235305DD"/>
    <w:rsid w:val="4DA263A6"/>
    <w:rsid w:val="64376AA0"/>
    <w:rsid w:val="72F034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Indent"/>
    <w:basedOn w:val="1"/>
    <w:uiPriority w:val="0"/>
    <w:pPr>
      <w:ind w:firstLine="628" w:firstLineChars="200"/>
    </w:pPr>
    <w:rPr>
      <w:rFonts w:hint="eastAsia" w:ascii="仿宋_GB2312"/>
    </w:rPr>
  </w:style>
  <w:style w:type="paragraph" w:styleId="3">
    <w:name w:val="Date"/>
    <w:basedOn w:val="1"/>
    <w:next w:val="1"/>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character" w:styleId="6">
    <w:name w:val="page number"/>
    <w:basedOn w:val="5"/>
    <w:qFormat/>
    <w:uiPriority w:val="0"/>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content"/>
    <w:basedOn w:val="1"/>
    <w:uiPriority w:val="0"/>
    <w:pPr>
      <w:widowControl/>
      <w:spacing w:line="300" w:lineRule="auto"/>
    </w:pPr>
    <w:rPr>
      <w:rFonts w:hint="eastAsia" w:ascii="仿宋_GB2312" w:hAnsi="宋体"/>
      <w:kern w:val="0"/>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31616;&#26131;&#31243;&#24207;&#21009;&#20107;&#21028;&#20915;&#20070;&#65288;&#31295;&#65289;.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简易程序刑事判决书（稿）.dot</Template>
  <Company>dlfy</Company>
  <Pages>1</Pages>
  <Words>327</Words>
  <Characters>1869</Characters>
  <Lines>15</Lines>
  <Paragraphs>4</Paragraphs>
  <TotalTime>0</TotalTime>
  <ScaleCrop>false</ScaleCrop>
  <LinksUpToDate>false</LinksUpToDate>
  <CharactersWithSpaces>2192</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2015-11-09T07:07:00Z</dcterms:created>
  <dc:creator>windows</dc:creator>
  <cp:lastModifiedBy>TF-PC</cp:lastModifiedBy>
  <cp:lastPrinted>2008-06-20T02:20:00Z</cp:lastPrinted>
  <dcterms:modified xsi:type="dcterms:W3CDTF">2018-08-27T09:47:55Z</dcterms:modified>
  <dc:title>天津市东丽区人民法院刑事判决书（稿）</dc:title>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