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32"/>
        </w:rPr>
      </w:pPr>
      <w:bookmarkStart w:id="0" w:name="_GoBack"/>
      <w:bookmarkEnd w:id="0"/>
    </w:p>
    <w:p>
      <w:pPr>
        <w:pStyle w:val="9"/>
        <w:rPr>
          <w:sz w:val="32"/>
        </w:rPr>
      </w:pPr>
    </w:p>
    <w:p>
      <w:pPr>
        <w:pStyle w:val="9"/>
        <w:rPr>
          <w:rFonts w:hint="eastAsia"/>
        </w:rPr>
      </w:pPr>
      <w:r>
        <w:rPr>
          <w:rFonts w:hint="eastAsia"/>
        </w:rPr>
        <w:t>天津市津南区人民法院</w:t>
      </w:r>
    </w:p>
    <w:p>
      <w:pPr>
        <w:pStyle w:val="10"/>
        <w:rPr>
          <w:rFonts w:hint="eastAsia"/>
        </w:rPr>
      </w:pPr>
      <w:r>
        <w:rPr>
          <w:rFonts w:hint="eastAsia"/>
        </w:rPr>
        <w:t>刑事判决书</w:t>
      </w:r>
    </w:p>
    <w:p>
      <w:pPr>
        <w:pStyle w:val="11"/>
        <w:ind w:right="632"/>
      </w:pPr>
    </w:p>
    <w:p>
      <w:pPr>
        <w:pStyle w:val="11"/>
        <w:ind w:right="632"/>
        <w:rPr>
          <w:rFonts w:hint="eastAsia"/>
        </w:rPr>
      </w:pPr>
      <w:r>
        <w:rPr>
          <w:rFonts w:hint="eastAsia"/>
        </w:rPr>
        <w:t>（2018）津0112刑初131号</w:t>
      </w:r>
    </w:p>
    <w:p/>
    <w:p>
      <w:pPr>
        <w:pStyle w:val="12"/>
        <w:spacing w:line="560" w:lineRule="exact"/>
        <w:ind w:firstLine="632"/>
        <w:rPr>
          <w:rFonts w:hint="eastAsia"/>
        </w:rPr>
      </w:pPr>
      <w:r>
        <w:rPr>
          <w:rFonts w:hint="eastAsia"/>
        </w:rPr>
        <w:t>公诉机关天津市津南区人民检察院。</w:t>
      </w:r>
    </w:p>
    <w:p>
      <w:pPr>
        <w:pStyle w:val="13"/>
        <w:spacing w:line="560" w:lineRule="exact"/>
        <w:ind w:firstLine="632"/>
        <w:rPr>
          <w:rFonts w:hint="eastAsia"/>
        </w:rPr>
      </w:pPr>
      <w:r>
        <w:rPr>
          <w:rFonts w:hint="eastAsia"/>
        </w:rPr>
        <w:t>被告人董亮，男，1993年3月15日出生于天津市津南区，汉族，大学文化，无业，户籍地天津市津南区咸水沽镇问津里38号。现住天津市津南区咸水沽镇沽上江南18号楼1门401室。因涉嫌犯信用卡诈骗罪、诈骗罪于2017年11月29日被刑事拘留，2018年1月5日被逮捕，同年2月7日被取保候审。现候审。</w:t>
      </w:r>
    </w:p>
    <w:p>
      <w:pPr>
        <w:pStyle w:val="13"/>
        <w:spacing w:line="560" w:lineRule="exact"/>
        <w:ind w:firstLine="632"/>
        <w:rPr>
          <w:rFonts w:hint="eastAsia"/>
        </w:rPr>
      </w:pPr>
      <w:r>
        <w:rPr>
          <w:rFonts w:hint="eastAsia"/>
        </w:rPr>
        <w:t>天津市津南区人民检察院以津津南检公诉刑诉〔2018〕75号起诉书指控被告人董亮犯信用卡诈骗罪、诈骗罪。本院适用刑事案件速裁程序，公开开庭审理了本案。</w:t>
      </w:r>
    </w:p>
    <w:p>
      <w:pPr>
        <w:pStyle w:val="13"/>
        <w:spacing w:line="560" w:lineRule="exact"/>
        <w:ind w:firstLine="632"/>
        <w:rPr>
          <w:rFonts w:hint="eastAsia"/>
        </w:rPr>
      </w:pPr>
      <w:r>
        <w:rPr>
          <w:rFonts w:hint="eastAsia"/>
        </w:rPr>
        <w:t>经审理查明：</w:t>
      </w:r>
    </w:p>
    <w:p>
      <w:pPr>
        <w:pStyle w:val="13"/>
        <w:spacing w:line="560" w:lineRule="exact"/>
        <w:ind w:firstLine="632"/>
        <w:rPr>
          <w:rFonts w:hint="eastAsia"/>
        </w:rPr>
      </w:pPr>
      <w:r>
        <w:rPr>
          <w:rFonts w:hint="eastAsia"/>
        </w:rPr>
        <w:t>1、2017年9月9日，被告人董亮以帮助被害人姜树鑫用手机办理中国农业银行信用币为由，使用姜树鑫手机进行操作，将中国农业银行审批给姜树鑫的人民币5000元信用额度通过第三方支付平台转到被告人董亮自己的中国建设银行卡内，亦将银行发送到姜树鑫手机上成功办理该业务的提示信息删除，后将该人民币5000元据为己有并用于赌博挥霍。</w:t>
      </w:r>
    </w:p>
    <w:p>
      <w:pPr>
        <w:pStyle w:val="13"/>
        <w:spacing w:line="560" w:lineRule="exact"/>
        <w:ind w:firstLine="632"/>
        <w:rPr>
          <w:rFonts w:hint="eastAsia"/>
        </w:rPr>
      </w:pPr>
      <w:r>
        <w:rPr>
          <w:rFonts w:hint="eastAsia"/>
        </w:rPr>
        <w:t>2、2017年9月10日，被告人董亮以帮助被害人孙连秋申请贷款为由，使用孙连秋的居民身份证号码、中国工商银行银行卡账号及密码进行操作，申请“快易花”人民币10000元和“i贷”人民币2000元，被告人董亮先将孙连秋的工商银行卡内的人民币12000元转到孙连秋支付宝账户内，后又通过孙连秋的支付宝账户，将该人民币12000元转到被告人董亮自己的支付宝内，后将该人民币12000元据为己有并用于赌博挥霍。</w:t>
      </w:r>
    </w:p>
    <w:p>
      <w:pPr>
        <w:pStyle w:val="13"/>
        <w:spacing w:line="560" w:lineRule="exact"/>
        <w:ind w:firstLine="632"/>
        <w:rPr>
          <w:rFonts w:hint="eastAsia"/>
        </w:rPr>
      </w:pPr>
      <w:r>
        <w:rPr>
          <w:rFonts w:hint="eastAsia"/>
        </w:rPr>
        <w:t>3、2017年9月17日，被告人董亮将被害人孙连秋中信银行卡账号和密码等信息要走。在中信银行信用卡办理“新快现”业务得到人民币6100元，后通过孙连秋的支付宝将该人民币6100元转至自己的支付宝内，遂将该人民币6100元据为己有并用于赌博挥霍。</w:t>
      </w:r>
    </w:p>
    <w:p>
      <w:pPr>
        <w:pStyle w:val="13"/>
        <w:spacing w:line="560" w:lineRule="exact"/>
        <w:ind w:firstLine="632"/>
        <w:rPr>
          <w:rFonts w:hint="eastAsia"/>
        </w:rPr>
      </w:pPr>
      <w:r>
        <w:rPr>
          <w:rFonts w:hint="eastAsia"/>
        </w:rPr>
        <w:t>4、2017年10月4日，被告人董亮将被害人孙连秋工商银行卡内人民币1000元，通过孙连秋支付宝转至被告人董亮自己支付宝账户内，据为己有并用于赌博挥霍。</w:t>
      </w:r>
    </w:p>
    <w:p>
      <w:pPr>
        <w:pStyle w:val="13"/>
        <w:spacing w:line="560" w:lineRule="exact"/>
        <w:ind w:firstLine="632"/>
        <w:rPr>
          <w:rFonts w:hint="eastAsia"/>
        </w:rPr>
      </w:pPr>
      <w:r>
        <w:rPr>
          <w:rFonts w:hint="eastAsia"/>
        </w:rPr>
        <w:t>5、2017年10月下旬，被告人董亮通过QQ聊天与被害人王佩贤相识，因王佩贤急需用钱办理网络贷款，董亮投其所好自称可以帮助王佩贤办理贷款、套现。期间,被告人董亮先后以“出车祸、帮助提现、投资赚取高息、给付路费、在派出所打架了事”等名义为由让王佩贤给其支付宝和微信多次转账,先后骗取王佩贤共计人民币70900元。</w:t>
      </w:r>
    </w:p>
    <w:p>
      <w:pPr>
        <w:pStyle w:val="13"/>
        <w:spacing w:line="560" w:lineRule="exact"/>
        <w:ind w:firstLine="632"/>
        <w:rPr>
          <w:rFonts w:hint="eastAsia"/>
        </w:rPr>
      </w:pPr>
      <w:r>
        <w:rPr>
          <w:rFonts w:hint="eastAsia"/>
        </w:rPr>
        <w:t>综上，被告人董亮冒用被害人姜树鑫、孙连秋的银行信用卡，恶意透支银行本金共计人民币24100元；虚构事实，骗取被害人王佩贤共计人民币70900元。</w:t>
      </w:r>
    </w:p>
    <w:p>
      <w:pPr>
        <w:pStyle w:val="13"/>
        <w:spacing w:line="560" w:lineRule="exact"/>
        <w:ind w:firstLine="632"/>
        <w:rPr>
          <w:rFonts w:hint="eastAsia"/>
        </w:rPr>
      </w:pPr>
      <w:r>
        <w:rPr>
          <w:rFonts w:hint="eastAsia"/>
        </w:rPr>
        <w:t>被告人董亮于2017年11月29日被公安查获归案,后其家属赔偿三名被害人经济损失，达成和解协议并取得谅解。</w:t>
      </w:r>
    </w:p>
    <w:p>
      <w:pPr>
        <w:pStyle w:val="13"/>
        <w:spacing w:line="560" w:lineRule="exact"/>
        <w:ind w:firstLine="632"/>
        <w:rPr>
          <w:rFonts w:hint="eastAsia"/>
        </w:rPr>
      </w:pPr>
      <w:r>
        <w:rPr>
          <w:rFonts w:hint="eastAsia"/>
        </w:rPr>
        <w:t>上述事实，被告人董亮在开庭审理过程中亦无异议，并有公诉机关提供的案件来源、抓获经过，常住人口信息表，被害人姜树鑫、孙连秋、王佩贤的陈述，证人刘胤超、吴玉宝、郑华磊、高超、董凤来的证言，辨认笔录，情况说明，支付宝截图，交易明细清单，历史明细清单，手机截图，和解协议书，谅解书，收条等证据证实，足以认定。</w:t>
      </w:r>
    </w:p>
    <w:p>
      <w:pPr>
        <w:pStyle w:val="13"/>
        <w:spacing w:line="560" w:lineRule="exact"/>
        <w:ind w:firstLine="632"/>
        <w:rPr>
          <w:rFonts w:hint="eastAsia"/>
        </w:rPr>
      </w:pPr>
      <w:r>
        <w:rPr>
          <w:rFonts w:hint="eastAsia"/>
        </w:rPr>
        <w:t>本院认为，公诉机关指控被告人董亮犯信用卡诈骗罪、诈骗罪的事实清楚，证据确实、充分，指控罪名成立，依法应数罪并罚。被告人董亮归案后如实供述了自己的罪行，并自愿认罪认罚，故依法对其从轻处罚。又因其家属赔偿三名被害人经济损失，达成和解协议并取得谅解，酌情从轻处罚。公诉机关量刑建议适当，本院予以采纳。依照《中华人民共和国刑法》第一百九十六条，第二百六十六条，第六十九条，第六十七条第三款，第五十二条，第五十三条，第七十二条第一款、第三款，第七十三条第二款、第三款，第七十六条的规定，判决如下：</w:t>
      </w:r>
    </w:p>
    <w:p>
      <w:pPr>
        <w:pStyle w:val="13"/>
        <w:spacing w:line="560" w:lineRule="exact"/>
        <w:ind w:firstLine="632"/>
        <w:rPr>
          <w:rFonts w:hint="eastAsia"/>
        </w:rPr>
      </w:pPr>
      <w:r>
        <w:rPr>
          <w:rFonts w:hint="eastAsia"/>
        </w:rPr>
        <w:t>被告人董亮犯信用卡诈骗罪，判处有期徒刑六个月，并处罚金人民币二万元；犯诈骗罪，判处有期徒刑三年，并处罚金人民币二万元。决定执行有期徒刑三年，缓刑四年，并处罚金人民币四万元。在缓刑考验期内，依法实行社区矫正。</w:t>
      </w:r>
    </w:p>
    <w:p>
      <w:pPr>
        <w:pStyle w:val="13"/>
        <w:spacing w:line="560" w:lineRule="exact"/>
        <w:ind w:firstLine="632"/>
        <w:rPr>
          <w:rFonts w:hint="eastAsia"/>
        </w:rPr>
      </w:pPr>
      <w:r>
        <w:rPr>
          <w:rFonts w:hint="eastAsia"/>
        </w:rPr>
        <w:t>（缓刑考验期限从判决确定之日起计算。罚金于判决生效后三日内缴纳。）</w:t>
      </w:r>
    </w:p>
    <w:p>
      <w:pPr>
        <w:pStyle w:val="14"/>
        <w:spacing w:line="560" w:lineRule="exact"/>
        <w:ind w:firstLine="632"/>
        <w:rPr>
          <w:rFonts w:hint="eastAsia"/>
        </w:rPr>
      </w:pPr>
      <w:r>
        <w:rPr>
          <w:rFonts w:hint="eastAsia"/>
        </w:rPr>
        <w:t>如不服本判决，可在接到判决书的第二日起十日内，通过本院或直接向天津市第二中级人民法院提出上诉。书面上诉的，应当提交上诉状正本一份，副本二份。</w:t>
      </w:r>
    </w:p>
    <w:p/>
    <w:p/>
    <w:p>
      <w:pPr>
        <w:pStyle w:val="15"/>
        <w:ind w:right="632"/>
        <w:rPr>
          <w:rFonts w:hint="eastAsia"/>
        </w:rPr>
      </w:pPr>
      <w:r>
        <w:rPr>
          <w:rFonts w:hint="eastAsia"/>
        </w:rPr>
        <w:t>审　　判　　员　　　李　波</w:t>
      </w:r>
    </w:p>
    <w:p>
      <w:pPr>
        <w:pStyle w:val="16"/>
        <w:ind w:right="632"/>
      </w:pPr>
    </w:p>
    <w:p>
      <w:pPr>
        <w:pStyle w:val="16"/>
        <w:ind w:right="632"/>
      </w:pPr>
    </w:p>
    <w:p>
      <w:pPr>
        <w:pStyle w:val="16"/>
        <w:ind w:right="632"/>
      </w:pPr>
    </w:p>
    <w:p>
      <w:pPr>
        <w:pStyle w:val="16"/>
        <w:ind w:right="632"/>
      </w:pPr>
    </w:p>
    <w:p>
      <w:pPr>
        <w:pStyle w:val="16"/>
        <w:ind w:right="632"/>
        <w:rPr>
          <w:rFonts w:hint="eastAsia"/>
        </w:rPr>
      </w:pPr>
      <w:r>
        <w:rPr>
          <w:rFonts w:hint="eastAsia"/>
        </w:rPr>
        <w:t>二</w:t>
      </w:r>
      <w:r>
        <w:rPr>
          <w:rFonts w:hint="eastAsia" w:ascii="宋体" w:hAnsi="宋体" w:eastAsia="宋体" w:cs="宋体"/>
        </w:rPr>
        <w:t>〇</w:t>
      </w:r>
      <w:r>
        <w:rPr>
          <w:rFonts w:hint="eastAsia"/>
        </w:rPr>
        <w:t>一八年二月二十八日</w:t>
      </w:r>
    </w:p>
    <w:p/>
    <w:p>
      <w:pPr>
        <w:pStyle w:val="17"/>
        <w:ind w:right="632"/>
        <w:rPr>
          <w:rFonts w:hint="eastAsia"/>
        </w:rPr>
      </w:pPr>
      <w:r>
        <w:rPr>
          <w:rFonts w:hint="eastAsia"/>
        </w:rPr>
        <w:t>书　　记　　员　　　王金梦</w:t>
      </w:r>
    </w:p>
    <w:p>
      <w:pPr>
        <w:pStyle w:val="18"/>
        <w:ind w:firstLine="632"/>
        <w:rPr>
          <w:rFonts w:hint="eastAsia"/>
        </w:rPr>
      </w:pPr>
    </w:p>
    <w:p>
      <w:pPr>
        <w:pStyle w:val="18"/>
        <w:ind w:firstLine="632"/>
        <w:rPr>
          <w:rFonts w:hint="eastAsia"/>
        </w:rPr>
      </w:pPr>
    </w:p>
    <w:p>
      <w:pPr>
        <w:pStyle w:val="18"/>
        <w:ind w:firstLine="632"/>
        <w:rPr>
          <w:rFonts w:hint="eastAsia"/>
        </w:rPr>
      </w:pPr>
    </w:p>
    <w:p>
      <w:pPr>
        <w:pStyle w:val="18"/>
        <w:ind w:firstLine="632"/>
        <w:rPr>
          <w:rFonts w:hint="eastAsia"/>
        </w:rPr>
      </w:pPr>
    </w:p>
    <w:p>
      <w:pPr>
        <w:pStyle w:val="18"/>
        <w:ind w:firstLine="632"/>
        <w:rPr>
          <w:rFonts w:hint="eastAsia"/>
        </w:rPr>
      </w:pPr>
    </w:p>
    <w:p>
      <w:pPr>
        <w:pStyle w:val="18"/>
        <w:ind w:firstLine="632"/>
        <w:rPr>
          <w:rFonts w:hint="eastAsia"/>
        </w:rPr>
      </w:pPr>
      <w:r>
        <w:rPr>
          <w:rFonts w:hint="eastAsia"/>
        </w:rPr>
        <w:t>附法条如下：</w:t>
      </w:r>
    </w:p>
    <w:p>
      <w:pPr>
        <w:pStyle w:val="19"/>
        <w:ind w:firstLine="632"/>
        <w:rPr>
          <w:rFonts w:hint="eastAsia"/>
        </w:rPr>
      </w:pPr>
      <w:r>
        <w:rPr>
          <w:rFonts w:hint="eastAsia"/>
        </w:rPr>
        <w:t>《中华人民共和国刑法》</w:t>
      </w:r>
    </w:p>
    <w:p>
      <w:pPr>
        <w:pStyle w:val="20"/>
        <w:ind w:firstLine="632"/>
        <w:rPr>
          <w:rFonts w:hint="eastAsia"/>
        </w:rPr>
      </w:pPr>
      <w:r>
        <w:rPr>
          <w:rFonts w:hint="eastAsia"/>
        </w:rPr>
        <w:t>第五十二条：判处罚金，应当根据犯罪情节决定罚金数额。</w:t>
      </w:r>
    </w:p>
    <w:p>
      <w:pPr>
        <w:pStyle w:val="20"/>
        <w:ind w:firstLine="632"/>
        <w:rPr>
          <w:rFonts w:hint="eastAsia"/>
        </w:rPr>
      </w:pPr>
      <w:r>
        <w:rPr>
          <w:rFonts w:hint="eastAsia"/>
        </w:rPr>
        <w:t>第五十三条：罚金在判决指定的期限内一次或者分期缴纳。期满不缴纳的，强制缴纳。对于不能全部缴纳罚金的，人民法院在任何时候发现被执行人有可以执行的财产，应当随时追缴。</w:t>
      </w:r>
    </w:p>
    <w:p>
      <w:pPr>
        <w:pStyle w:val="20"/>
        <w:ind w:firstLine="632"/>
        <w:rPr>
          <w:rFonts w:hint="eastAsia"/>
        </w:rPr>
      </w:pPr>
      <w:r>
        <w:rPr>
          <w:rFonts w:hint="eastAsia"/>
        </w:rPr>
        <w:t>由于遭遇不能抗拒的灾祸等原因缴纳确实有困难的，经人民法院裁定，可以延期缴纳、酌情减少或者免除。</w:t>
      </w:r>
    </w:p>
    <w:p>
      <w:pPr>
        <w:pStyle w:val="20"/>
        <w:ind w:firstLine="632"/>
        <w:rPr>
          <w:rFonts w:hint="eastAsia"/>
        </w:rPr>
      </w:pPr>
      <w:r>
        <w:rPr>
          <w:rFonts w:hint="eastAsia"/>
        </w:rPr>
        <w:t>第六十七条：犯罪以后自动投案，如实供述自己的罪行的，是自首。对于自首的犯罪分子，可以从轻或者减轻处罚。其中，犯罪较轻的，可以免除处罚。</w:t>
      </w:r>
    </w:p>
    <w:p>
      <w:pPr>
        <w:pStyle w:val="20"/>
        <w:ind w:firstLine="632"/>
        <w:rPr>
          <w:rFonts w:hint="eastAsia"/>
        </w:rPr>
      </w:pPr>
      <w:r>
        <w:rPr>
          <w:rFonts w:hint="eastAsia"/>
        </w:rPr>
        <w:t>被采取强制措施的犯罪嫌疑人、被告人和正在服刑的罪犯，如实供述司法机关还未掌握的本人其他罪行的，以自首论。</w:t>
      </w:r>
    </w:p>
    <w:p>
      <w:pPr>
        <w:pStyle w:val="20"/>
        <w:ind w:firstLine="632"/>
        <w:rPr>
          <w:rFonts w:hint="eastAsia"/>
        </w:rPr>
      </w:pPr>
      <w:r>
        <w:rPr>
          <w:rFonts w:hint="eastAsia"/>
        </w:rPr>
        <w:t>犯罪嫌疑人虽不具有前两款规定的自首情节，但是如实供述自己罪行的，可以从轻处罚；因其如实供述自己罪行，避免特别严重后果发生的，可以减轻处罚。</w:t>
      </w:r>
    </w:p>
    <w:p>
      <w:pPr>
        <w:pStyle w:val="20"/>
        <w:ind w:firstLine="632"/>
        <w:rPr>
          <w:rFonts w:hint="eastAsia"/>
        </w:rPr>
      </w:pPr>
      <w:r>
        <w:rPr>
          <w:rFonts w:hint="eastAsia"/>
        </w:rPr>
        <w:t>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rPr>
          <w:rFonts w:hint="eastAsia" w:ascii="仿宋_GB2312"/>
        </w:rPr>
      </w:pPr>
      <w:r>
        <w:rPr>
          <w:rFonts w:hint="eastAsia" w:ascii="仿宋_GB2312"/>
        </w:rPr>
        <w:t xml:space="preserve">    数罪中有判处有期徒刑和拘役的，执行有期徒刑。数罪中有判处有期徒刑和管制，或者拘役和管制的，有期徒刑、拘役执行完毕后，管制仍须执行。</w:t>
      </w:r>
    </w:p>
    <w:p>
      <w:pPr>
        <w:pStyle w:val="20"/>
        <w:ind w:firstLine="632"/>
        <w:rPr>
          <w:rFonts w:hint="eastAsia"/>
        </w:rPr>
      </w:pPr>
      <w:r>
        <w:rPr>
          <w:rFonts w:hint="eastAsia"/>
        </w:rPr>
        <w:t>数罪中有判处附加刑的，附加刑仍须执行，其中附加刑种类相同的，合并执行，种类不同的，分别执行。</w:t>
      </w:r>
    </w:p>
    <w:p>
      <w:pPr>
        <w:pStyle w:val="20"/>
        <w:ind w:firstLine="632"/>
        <w:rPr>
          <w:rFonts w:hint="eastAsia"/>
        </w:rPr>
      </w:pPr>
      <w:r>
        <w:rPr>
          <w:rFonts w:hint="eastAsia"/>
        </w:rPr>
        <w:t>第七十二条：对于被判处拘役、三年以下有期徒刑的犯罪分子，同时符合下列条件的，可以宣告缓刑，对其中不满十八周岁的人、怀孕的妇女和已满七十五周岁的人，应当宣告缓刑：</w:t>
      </w:r>
    </w:p>
    <w:p>
      <w:pPr>
        <w:pStyle w:val="20"/>
        <w:ind w:firstLine="632"/>
        <w:rPr>
          <w:rFonts w:hint="eastAsia"/>
        </w:rPr>
      </w:pPr>
      <w:r>
        <w:rPr>
          <w:rFonts w:hint="eastAsia"/>
        </w:rPr>
        <w:t>（一）犯罪情节较轻；</w:t>
      </w:r>
    </w:p>
    <w:p>
      <w:pPr>
        <w:pStyle w:val="20"/>
        <w:ind w:firstLine="632"/>
        <w:rPr>
          <w:rFonts w:hint="eastAsia"/>
        </w:rPr>
      </w:pPr>
      <w:r>
        <w:rPr>
          <w:rFonts w:hint="eastAsia"/>
        </w:rPr>
        <w:t>（二）有悔罪表现；</w:t>
      </w:r>
    </w:p>
    <w:p>
      <w:pPr>
        <w:pStyle w:val="20"/>
        <w:ind w:firstLine="632"/>
        <w:rPr>
          <w:rFonts w:hint="eastAsia"/>
        </w:rPr>
      </w:pPr>
      <w:r>
        <w:rPr>
          <w:rFonts w:hint="eastAsia"/>
        </w:rPr>
        <w:t>（三）没有再犯罪的危险；</w:t>
      </w:r>
    </w:p>
    <w:p>
      <w:pPr>
        <w:pStyle w:val="20"/>
        <w:ind w:firstLine="632"/>
        <w:rPr>
          <w:rFonts w:hint="eastAsia"/>
        </w:rPr>
      </w:pPr>
      <w:r>
        <w:rPr>
          <w:rFonts w:hint="eastAsia"/>
        </w:rPr>
        <w:t>（四）宣告缓刑对所居住社区没有重大不良影响。</w:t>
      </w:r>
    </w:p>
    <w:p>
      <w:pPr>
        <w:pStyle w:val="20"/>
        <w:ind w:firstLine="632"/>
        <w:rPr>
          <w:rFonts w:hint="eastAsia"/>
        </w:rPr>
      </w:pPr>
      <w:r>
        <w:rPr>
          <w:rFonts w:hint="eastAsia"/>
        </w:rPr>
        <w:t>宣告缓刑，可以根据犯罪情况，同时禁止犯罪分子在缓刑考验期限内从事特定活动，进入特定区域、场所，接触特定的人。</w:t>
      </w:r>
    </w:p>
    <w:p>
      <w:pPr>
        <w:pStyle w:val="20"/>
        <w:ind w:firstLine="632"/>
        <w:rPr>
          <w:rFonts w:hint="eastAsia"/>
        </w:rPr>
      </w:pPr>
      <w:r>
        <w:rPr>
          <w:rFonts w:hint="eastAsia"/>
        </w:rPr>
        <w:t>被宣告缓刑的犯罪分子，如果被判处附加刑，附加刑仍须执行。</w:t>
      </w:r>
    </w:p>
    <w:p>
      <w:pPr>
        <w:pStyle w:val="20"/>
        <w:ind w:firstLine="632"/>
        <w:rPr>
          <w:rFonts w:hint="eastAsia"/>
        </w:rPr>
      </w:pPr>
      <w:r>
        <w:rPr>
          <w:rFonts w:hint="eastAsia"/>
        </w:rPr>
        <w:t>第七十三条：拘役的缓刑考验期限为原判刑期以上一年以下，但是不能少于二个月。</w:t>
      </w:r>
    </w:p>
    <w:p>
      <w:pPr>
        <w:pStyle w:val="20"/>
        <w:ind w:firstLine="632"/>
        <w:rPr>
          <w:rFonts w:hint="eastAsia"/>
        </w:rPr>
      </w:pPr>
      <w:r>
        <w:rPr>
          <w:rFonts w:hint="eastAsia"/>
        </w:rPr>
        <w:t>有期徒刑的缓刑考验期限为原判刑期以上五年以下，但是不能少于一年。</w:t>
      </w:r>
    </w:p>
    <w:p>
      <w:pPr>
        <w:pStyle w:val="20"/>
        <w:ind w:firstLine="632"/>
        <w:rPr>
          <w:rFonts w:hint="eastAsia"/>
        </w:rPr>
      </w:pPr>
      <w:r>
        <w:rPr>
          <w:rFonts w:hint="eastAsia"/>
        </w:rPr>
        <w:t>缓刑考验期限，从判决确定之日起计算。</w:t>
      </w:r>
    </w:p>
    <w:p>
      <w:pPr>
        <w:pStyle w:val="20"/>
        <w:ind w:firstLine="632"/>
        <w:rPr>
          <w:rFonts w:hint="eastAsia"/>
        </w:rPr>
      </w:pPr>
      <w:r>
        <w:rPr>
          <w:rFonts w:hint="eastAsia"/>
        </w:rPr>
        <w:t>第七十六条：对宣告缓刑的犯罪分子，在缓刑考验期限内，依法实行社区矫正，如果没有本法第七十七条规定的情形，缓刑考验期满，原判的刑罚就不再执行，并公开予以宣告。</w:t>
      </w:r>
    </w:p>
    <w:p>
      <w:pPr>
        <w:rPr>
          <w:rFonts w:hint="eastAsia" w:ascii="仿宋_GB2312"/>
        </w:rPr>
      </w:pPr>
      <w:r>
        <w:rPr>
          <w:rFonts w:hint="eastAsia" w:ascii="仿宋_GB2312"/>
        </w:rPr>
        <w:t xml:space="preserve">    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rPr>
      </w:pPr>
      <w:r>
        <w:rPr>
          <w:rFonts w:hint="eastAsia" w:ascii="仿宋_GB2312"/>
        </w:rPr>
        <w:t xml:space="preserve">    （一）使用伪造的信用卡，或者使用以虚假的身份证明骗领的信用卡的；</w:t>
      </w:r>
    </w:p>
    <w:p>
      <w:pPr>
        <w:rPr>
          <w:rFonts w:hint="eastAsia" w:ascii="仿宋_GB2312"/>
        </w:rPr>
      </w:pPr>
      <w:r>
        <w:rPr>
          <w:rFonts w:hint="eastAsia" w:ascii="仿宋_GB2312"/>
        </w:rPr>
        <w:t xml:space="preserve">    （二）使用作废的信用卡的；</w:t>
      </w:r>
    </w:p>
    <w:p>
      <w:pPr>
        <w:rPr>
          <w:rFonts w:hint="eastAsia" w:ascii="仿宋_GB2312"/>
        </w:rPr>
      </w:pPr>
      <w:r>
        <w:rPr>
          <w:rFonts w:hint="eastAsia" w:ascii="仿宋_GB2312"/>
        </w:rPr>
        <w:t xml:space="preserve">    （三）冒用他人信用卡的；</w:t>
      </w:r>
    </w:p>
    <w:p>
      <w:pPr>
        <w:rPr>
          <w:rFonts w:hint="eastAsia" w:ascii="仿宋_GB2312"/>
        </w:rPr>
      </w:pPr>
      <w:r>
        <w:rPr>
          <w:rFonts w:hint="eastAsia" w:ascii="仿宋_GB2312"/>
        </w:rPr>
        <w:t xml:space="preserve">    （四）恶意透支的。</w:t>
      </w:r>
    </w:p>
    <w:p>
      <w:pPr>
        <w:rPr>
          <w:rFonts w:hint="eastAsia" w:ascii="仿宋_GB2312"/>
        </w:rPr>
      </w:pPr>
      <w:r>
        <w:rPr>
          <w:rFonts w:hint="eastAsia" w:ascii="仿宋_GB2312"/>
        </w:rPr>
        <w:t xml:space="preserve">    前款所称恶意透支，是指持卡人以非法占有为目的，超过规定限额或者规定期限透支，并且经发卡银行催收后仍不归还的行为。</w:t>
      </w:r>
    </w:p>
    <w:p>
      <w:pPr>
        <w:rPr>
          <w:rFonts w:hint="eastAsia" w:ascii="仿宋_GB2312"/>
        </w:rPr>
      </w:pPr>
      <w:r>
        <w:rPr>
          <w:rFonts w:hint="eastAsia" w:ascii="仿宋_GB2312"/>
        </w:rPr>
        <w:t xml:space="preserve">    盗窃信用卡并使用的，依照本法第二百六十四条的规定定罪处罚。</w:t>
      </w:r>
    </w:p>
    <w:p>
      <w:pPr>
        <w:rPr>
          <w:rFonts w:hint="eastAsia" w:ascii="仿宋_GB2312"/>
        </w:rPr>
      </w:pPr>
      <w:r>
        <w:rPr>
          <w:rFonts w:hint="eastAsia" w:ascii="仿宋_GB2312"/>
        </w:rPr>
        <w:t xml:space="preserve">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rPr>
          <w:rFonts w:hint="eastAsia" w:ascii="仿宋_GB2312"/>
        </w:rPr>
      </w:pPr>
    </w:p>
    <w:sectPr>
      <w:headerReference r:id="rId5" w:type="first"/>
      <w:footerReference r:id="rId8" w:type="first"/>
      <w:headerReference r:id="rId3" w:type="default"/>
      <w:footerReference r:id="rId6" w:type="default"/>
      <w:headerReference r:id="rId4" w:type="even"/>
      <w:footerReference r:id="rId7" w:type="even"/>
      <w:pgSz w:w="11907" w:h="16839"/>
      <w:pgMar w:top="2040" w:right="1530" w:bottom="2040" w:left="1530" w:header="794" w:footer="1644" w:gutter="0"/>
      <w:pgNumType w:fmt="numberInDash" w:start="1"/>
      <w:cols w:space="425" w:num="1"/>
      <w:titlePg/>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- 3 -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- 4 -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35D"/>
    <w:rsid w:val="000136D1"/>
    <w:rsid w:val="0002366E"/>
    <w:rsid w:val="00023BDB"/>
    <w:rsid w:val="00027416"/>
    <w:rsid w:val="00031DED"/>
    <w:rsid w:val="00033541"/>
    <w:rsid w:val="00033DA6"/>
    <w:rsid w:val="00035A6D"/>
    <w:rsid w:val="00044A59"/>
    <w:rsid w:val="00047135"/>
    <w:rsid w:val="00047B17"/>
    <w:rsid w:val="00047D64"/>
    <w:rsid w:val="00051168"/>
    <w:rsid w:val="000531A5"/>
    <w:rsid w:val="000602D6"/>
    <w:rsid w:val="00063B48"/>
    <w:rsid w:val="0007213F"/>
    <w:rsid w:val="00072FAE"/>
    <w:rsid w:val="000818E2"/>
    <w:rsid w:val="00085EE2"/>
    <w:rsid w:val="00092753"/>
    <w:rsid w:val="000A022B"/>
    <w:rsid w:val="000A1BD1"/>
    <w:rsid w:val="000B073E"/>
    <w:rsid w:val="000B34A4"/>
    <w:rsid w:val="000B3DC5"/>
    <w:rsid w:val="000B4D2A"/>
    <w:rsid w:val="000C2850"/>
    <w:rsid w:val="000C6C1A"/>
    <w:rsid w:val="000D155A"/>
    <w:rsid w:val="000D15EB"/>
    <w:rsid w:val="000D1A4B"/>
    <w:rsid w:val="000D2CD4"/>
    <w:rsid w:val="000D4F94"/>
    <w:rsid w:val="000D645A"/>
    <w:rsid w:val="000E777C"/>
    <w:rsid w:val="000F3C11"/>
    <w:rsid w:val="00100A2D"/>
    <w:rsid w:val="00110CD2"/>
    <w:rsid w:val="00112B38"/>
    <w:rsid w:val="00120E9D"/>
    <w:rsid w:val="00126626"/>
    <w:rsid w:val="00126B0D"/>
    <w:rsid w:val="0012785E"/>
    <w:rsid w:val="00127FA6"/>
    <w:rsid w:val="001318CE"/>
    <w:rsid w:val="00132ED6"/>
    <w:rsid w:val="00136308"/>
    <w:rsid w:val="001427D4"/>
    <w:rsid w:val="00142C7D"/>
    <w:rsid w:val="0014723F"/>
    <w:rsid w:val="00150919"/>
    <w:rsid w:val="00152FC9"/>
    <w:rsid w:val="00155590"/>
    <w:rsid w:val="00157846"/>
    <w:rsid w:val="00160324"/>
    <w:rsid w:val="00161093"/>
    <w:rsid w:val="001645F1"/>
    <w:rsid w:val="00165D7C"/>
    <w:rsid w:val="00165F9C"/>
    <w:rsid w:val="00176CCB"/>
    <w:rsid w:val="00186EBC"/>
    <w:rsid w:val="001A059C"/>
    <w:rsid w:val="001A705A"/>
    <w:rsid w:val="001C4886"/>
    <w:rsid w:val="001D52BD"/>
    <w:rsid w:val="001D62DF"/>
    <w:rsid w:val="001E14AD"/>
    <w:rsid w:val="001E66B8"/>
    <w:rsid w:val="001F2D89"/>
    <w:rsid w:val="001F4F28"/>
    <w:rsid w:val="001F6501"/>
    <w:rsid w:val="001F6D83"/>
    <w:rsid w:val="001F74F4"/>
    <w:rsid w:val="00206625"/>
    <w:rsid w:val="0020710A"/>
    <w:rsid w:val="0020748F"/>
    <w:rsid w:val="002224AE"/>
    <w:rsid w:val="002254DC"/>
    <w:rsid w:val="002330D1"/>
    <w:rsid w:val="00233321"/>
    <w:rsid w:val="002416F1"/>
    <w:rsid w:val="00251128"/>
    <w:rsid w:val="002524BE"/>
    <w:rsid w:val="00260411"/>
    <w:rsid w:val="002672FC"/>
    <w:rsid w:val="002700E6"/>
    <w:rsid w:val="002736C1"/>
    <w:rsid w:val="00273E8A"/>
    <w:rsid w:val="00274050"/>
    <w:rsid w:val="0027522A"/>
    <w:rsid w:val="00280EDE"/>
    <w:rsid w:val="0028206D"/>
    <w:rsid w:val="0028240D"/>
    <w:rsid w:val="00285899"/>
    <w:rsid w:val="0029555C"/>
    <w:rsid w:val="002962BF"/>
    <w:rsid w:val="002A29F0"/>
    <w:rsid w:val="002A330B"/>
    <w:rsid w:val="002A5536"/>
    <w:rsid w:val="002B22A9"/>
    <w:rsid w:val="002B3118"/>
    <w:rsid w:val="002B50DF"/>
    <w:rsid w:val="002B69C5"/>
    <w:rsid w:val="002C2740"/>
    <w:rsid w:val="002C36D2"/>
    <w:rsid w:val="002C7919"/>
    <w:rsid w:val="002D1447"/>
    <w:rsid w:val="002D1CF6"/>
    <w:rsid w:val="002D35EC"/>
    <w:rsid w:val="002E09F8"/>
    <w:rsid w:val="002E67AA"/>
    <w:rsid w:val="002E7A95"/>
    <w:rsid w:val="002E7CD2"/>
    <w:rsid w:val="002F3382"/>
    <w:rsid w:val="002F46E5"/>
    <w:rsid w:val="002F6167"/>
    <w:rsid w:val="002F63F6"/>
    <w:rsid w:val="00314B00"/>
    <w:rsid w:val="003158FC"/>
    <w:rsid w:val="003218B4"/>
    <w:rsid w:val="00327327"/>
    <w:rsid w:val="00330502"/>
    <w:rsid w:val="00331639"/>
    <w:rsid w:val="0033444A"/>
    <w:rsid w:val="003442B3"/>
    <w:rsid w:val="00345831"/>
    <w:rsid w:val="00346673"/>
    <w:rsid w:val="00366FE7"/>
    <w:rsid w:val="00370341"/>
    <w:rsid w:val="00372752"/>
    <w:rsid w:val="00383FCB"/>
    <w:rsid w:val="0038782E"/>
    <w:rsid w:val="00397D61"/>
    <w:rsid w:val="003A0567"/>
    <w:rsid w:val="003A21AF"/>
    <w:rsid w:val="003B2F4E"/>
    <w:rsid w:val="003D711C"/>
    <w:rsid w:val="003E478D"/>
    <w:rsid w:val="003E50F0"/>
    <w:rsid w:val="003F25E4"/>
    <w:rsid w:val="00401B32"/>
    <w:rsid w:val="00413564"/>
    <w:rsid w:val="00422B29"/>
    <w:rsid w:val="0042598F"/>
    <w:rsid w:val="0043314E"/>
    <w:rsid w:val="00433443"/>
    <w:rsid w:val="00433E81"/>
    <w:rsid w:val="00434858"/>
    <w:rsid w:val="00435351"/>
    <w:rsid w:val="00437674"/>
    <w:rsid w:val="00440643"/>
    <w:rsid w:val="00442551"/>
    <w:rsid w:val="00467E2D"/>
    <w:rsid w:val="00475F8D"/>
    <w:rsid w:val="00477B1A"/>
    <w:rsid w:val="0048267D"/>
    <w:rsid w:val="00482D25"/>
    <w:rsid w:val="00484DE7"/>
    <w:rsid w:val="00485EB6"/>
    <w:rsid w:val="004938F0"/>
    <w:rsid w:val="004B6E8E"/>
    <w:rsid w:val="004D0B70"/>
    <w:rsid w:val="004E5A05"/>
    <w:rsid w:val="004F2003"/>
    <w:rsid w:val="004F762B"/>
    <w:rsid w:val="00506203"/>
    <w:rsid w:val="00510F9A"/>
    <w:rsid w:val="00532CAB"/>
    <w:rsid w:val="00533D9D"/>
    <w:rsid w:val="00535849"/>
    <w:rsid w:val="0054374D"/>
    <w:rsid w:val="00544449"/>
    <w:rsid w:val="005456FE"/>
    <w:rsid w:val="00550133"/>
    <w:rsid w:val="00550DB7"/>
    <w:rsid w:val="005566E4"/>
    <w:rsid w:val="005628BC"/>
    <w:rsid w:val="005678EE"/>
    <w:rsid w:val="00571434"/>
    <w:rsid w:val="00572FCC"/>
    <w:rsid w:val="0059198B"/>
    <w:rsid w:val="005971AA"/>
    <w:rsid w:val="005A14B7"/>
    <w:rsid w:val="005A235D"/>
    <w:rsid w:val="005A7EB8"/>
    <w:rsid w:val="005B48E2"/>
    <w:rsid w:val="005B6156"/>
    <w:rsid w:val="005C04E5"/>
    <w:rsid w:val="005C4F51"/>
    <w:rsid w:val="005D1B63"/>
    <w:rsid w:val="005D48C1"/>
    <w:rsid w:val="005D7DBB"/>
    <w:rsid w:val="005E062D"/>
    <w:rsid w:val="005E1431"/>
    <w:rsid w:val="005F2C75"/>
    <w:rsid w:val="006071EE"/>
    <w:rsid w:val="00607C6C"/>
    <w:rsid w:val="00620106"/>
    <w:rsid w:val="006256AE"/>
    <w:rsid w:val="006362A1"/>
    <w:rsid w:val="006363E7"/>
    <w:rsid w:val="0063693C"/>
    <w:rsid w:val="00637B9C"/>
    <w:rsid w:val="00642C54"/>
    <w:rsid w:val="006468EF"/>
    <w:rsid w:val="00652237"/>
    <w:rsid w:val="00653F15"/>
    <w:rsid w:val="006544B1"/>
    <w:rsid w:val="00664616"/>
    <w:rsid w:val="006701BF"/>
    <w:rsid w:val="00677EB8"/>
    <w:rsid w:val="006839A5"/>
    <w:rsid w:val="00686492"/>
    <w:rsid w:val="0069621C"/>
    <w:rsid w:val="006A1799"/>
    <w:rsid w:val="006A4877"/>
    <w:rsid w:val="006A6809"/>
    <w:rsid w:val="006B63F7"/>
    <w:rsid w:val="006B6F17"/>
    <w:rsid w:val="006C79A8"/>
    <w:rsid w:val="006D1F4B"/>
    <w:rsid w:val="006D2502"/>
    <w:rsid w:val="006D6649"/>
    <w:rsid w:val="006E04BC"/>
    <w:rsid w:val="006E5202"/>
    <w:rsid w:val="006E696C"/>
    <w:rsid w:val="006E783E"/>
    <w:rsid w:val="006F5A99"/>
    <w:rsid w:val="00702BFC"/>
    <w:rsid w:val="00702E99"/>
    <w:rsid w:val="00704FF7"/>
    <w:rsid w:val="007055FB"/>
    <w:rsid w:val="007068A5"/>
    <w:rsid w:val="00707062"/>
    <w:rsid w:val="00713D78"/>
    <w:rsid w:val="0072778B"/>
    <w:rsid w:val="007318BF"/>
    <w:rsid w:val="007433FC"/>
    <w:rsid w:val="00752D80"/>
    <w:rsid w:val="007532AE"/>
    <w:rsid w:val="00753CBD"/>
    <w:rsid w:val="00773078"/>
    <w:rsid w:val="007746D0"/>
    <w:rsid w:val="00777D05"/>
    <w:rsid w:val="00791C66"/>
    <w:rsid w:val="007948E9"/>
    <w:rsid w:val="007974EB"/>
    <w:rsid w:val="007A08D5"/>
    <w:rsid w:val="007A3D28"/>
    <w:rsid w:val="007A612D"/>
    <w:rsid w:val="007A6D52"/>
    <w:rsid w:val="007A7B70"/>
    <w:rsid w:val="007B1ADB"/>
    <w:rsid w:val="007B1B48"/>
    <w:rsid w:val="007C674F"/>
    <w:rsid w:val="007D447B"/>
    <w:rsid w:val="007E0FD8"/>
    <w:rsid w:val="007E300B"/>
    <w:rsid w:val="007F1ACC"/>
    <w:rsid w:val="008038DA"/>
    <w:rsid w:val="0080639C"/>
    <w:rsid w:val="0081228E"/>
    <w:rsid w:val="00831E8A"/>
    <w:rsid w:val="00842CE1"/>
    <w:rsid w:val="00844D7C"/>
    <w:rsid w:val="00847B9A"/>
    <w:rsid w:val="00847D67"/>
    <w:rsid w:val="00856BF6"/>
    <w:rsid w:val="00857B58"/>
    <w:rsid w:val="00864668"/>
    <w:rsid w:val="00871DDA"/>
    <w:rsid w:val="0088248A"/>
    <w:rsid w:val="00882976"/>
    <w:rsid w:val="008878A8"/>
    <w:rsid w:val="00896774"/>
    <w:rsid w:val="00897A51"/>
    <w:rsid w:val="008A0362"/>
    <w:rsid w:val="008A37F0"/>
    <w:rsid w:val="008B187D"/>
    <w:rsid w:val="008D2C3B"/>
    <w:rsid w:val="008D5509"/>
    <w:rsid w:val="008E0F6C"/>
    <w:rsid w:val="008E4390"/>
    <w:rsid w:val="008F5EFC"/>
    <w:rsid w:val="009006CE"/>
    <w:rsid w:val="00901665"/>
    <w:rsid w:val="0090347C"/>
    <w:rsid w:val="009066A1"/>
    <w:rsid w:val="00907D43"/>
    <w:rsid w:val="00913356"/>
    <w:rsid w:val="0091376D"/>
    <w:rsid w:val="00923754"/>
    <w:rsid w:val="00926AE0"/>
    <w:rsid w:val="00927991"/>
    <w:rsid w:val="0093094A"/>
    <w:rsid w:val="0093329D"/>
    <w:rsid w:val="00935CAB"/>
    <w:rsid w:val="00935F3E"/>
    <w:rsid w:val="0093759C"/>
    <w:rsid w:val="0094283F"/>
    <w:rsid w:val="009456C3"/>
    <w:rsid w:val="009660FB"/>
    <w:rsid w:val="0097058D"/>
    <w:rsid w:val="00993B77"/>
    <w:rsid w:val="00995251"/>
    <w:rsid w:val="009968D8"/>
    <w:rsid w:val="0099716F"/>
    <w:rsid w:val="009A1BEC"/>
    <w:rsid w:val="009A33CA"/>
    <w:rsid w:val="009A7D6D"/>
    <w:rsid w:val="009B103A"/>
    <w:rsid w:val="009B5844"/>
    <w:rsid w:val="009C681C"/>
    <w:rsid w:val="009C699B"/>
    <w:rsid w:val="009D249C"/>
    <w:rsid w:val="009D51E9"/>
    <w:rsid w:val="009E0427"/>
    <w:rsid w:val="009E1E9F"/>
    <w:rsid w:val="009E4AF5"/>
    <w:rsid w:val="009F075F"/>
    <w:rsid w:val="009F11B8"/>
    <w:rsid w:val="009F2F04"/>
    <w:rsid w:val="009F336B"/>
    <w:rsid w:val="009F4D23"/>
    <w:rsid w:val="00A01DB6"/>
    <w:rsid w:val="00A1445E"/>
    <w:rsid w:val="00A1612C"/>
    <w:rsid w:val="00A3335B"/>
    <w:rsid w:val="00A36338"/>
    <w:rsid w:val="00A50435"/>
    <w:rsid w:val="00A57A4D"/>
    <w:rsid w:val="00A71114"/>
    <w:rsid w:val="00A810B7"/>
    <w:rsid w:val="00A82D2A"/>
    <w:rsid w:val="00A8396C"/>
    <w:rsid w:val="00A8571C"/>
    <w:rsid w:val="00A94548"/>
    <w:rsid w:val="00A9733B"/>
    <w:rsid w:val="00AB4C8D"/>
    <w:rsid w:val="00AB5F87"/>
    <w:rsid w:val="00AC3ECB"/>
    <w:rsid w:val="00AC40DB"/>
    <w:rsid w:val="00AD2EA1"/>
    <w:rsid w:val="00AD6C23"/>
    <w:rsid w:val="00AF251F"/>
    <w:rsid w:val="00AF5DC6"/>
    <w:rsid w:val="00B00B4D"/>
    <w:rsid w:val="00B01E85"/>
    <w:rsid w:val="00B05692"/>
    <w:rsid w:val="00B0796E"/>
    <w:rsid w:val="00B07E1C"/>
    <w:rsid w:val="00B15301"/>
    <w:rsid w:val="00B15C6E"/>
    <w:rsid w:val="00B16738"/>
    <w:rsid w:val="00B2547C"/>
    <w:rsid w:val="00B267C9"/>
    <w:rsid w:val="00B426A6"/>
    <w:rsid w:val="00B47F21"/>
    <w:rsid w:val="00B52BD0"/>
    <w:rsid w:val="00B66597"/>
    <w:rsid w:val="00B710AF"/>
    <w:rsid w:val="00B74A56"/>
    <w:rsid w:val="00B74DAF"/>
    <w:rsid w:val="00B84BEF"/>
    <w:rsid w:val="00B92136"/>
    <w:rsid w:val="00BA3511"/>
    <w:rsid w:val="00BA490E"/>
    <w:rsid w:val="00BA6334"/>
    <w:rsid w:val="00BA7872"/>
    <w:rsid w:val="00BB33CF"/>
    <w:rsid w:val="00BB50B2"/>
    <w:rsid w:val="00BD12DD"/>
    <w:rsid w:val="00BD407B"/>
    <w:rsid w:val="00BD5AC8"/>
    <w:rsid w:val="00BE106B"/>
    <w:rsid w:val="00BE5538"/>
    <w:rsid w:val="00BF2573"/>
    <w:rsid w:val="00C0140A"/>
    <w:rsid w:val="00C02ABA"/>
    <w:rsid w:val="00C0676A"/>
    <w:rsid w:val="00C07F4F"/>
    <w:rsid w:val="00C14389"/>
    <w:rsid w:val="00C16BA1"/>
    <w:rsid w:val="00C32B59"/>
    <w:rsid w:val="00C35F66"/>
    <w:rsid w:val="00C455B6"/>
    <w:rsid w:val="00C5517D"/>
    <w:rsid w:val="00C5670E"/>
    <w:rsid w:val="00C62268"/>
    <w:rsid w:val="00C63643"/>
    <w:rsid w:val="00C66129"/>
    <w:rsid w:val="00C8159E"/>
    <w:rsid w:val="00C9423D"/>
    <w:rsid w:val="00C96EEE"/>
    <w:rsid w:val="00CA0539"/>
    <w:rsid w:val="00CA1058"/>
    <w:rsid w:val="00CA5C55"/>
    <w:rsid w:val="00CB4CB5"/>
    <w:rsid w:val="00CC5D1C"/>
    <w:rsid w:val="00CD1CB2"/>
    <w:rsid w:val="00CD3CB8"/>
    <w:rsid w:val="00CD59C0"/>
    <w:rsid w:val="00CD7DE7"/>
    <w:rsid w:val="00CE0151"/>
    <w:rsid w:val="00CE15A6"/>
    <w:rsid w:val="00CE361B"/>
    <w:rsid w:val="00CE44C1"/>
    <w:rsid w:val="00CE4D14"/>
    <w:rsid w:val="00CE549A"/>
    <w:rsid w:val="00CE5786"/>
    <w:rsid w:val="00CF27A7"/>
    <w:rsid w:val="00CF3F8F"/>
    <w:rsid w:val="00CF57B4"/>
    <w:rsid w:val="00D05392"/>
    <w:rsid w:val="00D06032"/>
    <w:rsid w:val="00D06E1D"/>
    <w:rsid w:val="00D1111B"/>
    <w:rsid w:val="00D12326"/>
    <w:rsid w:val="00D15B15"/>
    <w:rsid w:val="00D172F4"/>
    <w:rsid w:val="00D24E30"/>
    <w:rsid w:val="00D326ED"/>
    <w:rsid w:val="00D3442B"/>
    <w:rsid w:val="00D36398"/>
    <w:rsid w:val="00D60FB2"/>
    <w:rsid w:val="00D6358C"/>
    <w:rsid w:val="00D66A46"/>
    <w:rsid w:val="00D706D5"/>
    <w:rsid w:val="00D75CA6"/>
    <w:rsid w:val="00D768C0"/>
    <w:rsid w:val="00D76A21"/>
    <w:rsid w:val="00D77704"/>
    <w:rsid w:val="00D85516"/>
    <w:rsid w:val="00D8673C"/>
    <w:rsid w:val="00D87415"/>
    <w:rsid w:val="00D94A00"/>
    <w:rsid w:val="00DA0F65"/>
    <w:rsid w:val="00DA2E12"/>
    <w:rsid w:val="00DA4F7F"/>
    <w:rsid w:val="00DA5B32"/>
    <w:rsid w:val="00DA6296"/>
    <w:rsid w:val="00DC0A34"/>
    <w:rsid w:val="00DC1126"/>
    <w:rsid w:val="00DC1801"/>
    <w:rsid w:val="00DC7A67"/>
    <w:rsid w:val="00DD075A"/>
    <w:rsid w:val="00DD2F63"/>
    <w:rsid w:val="00DD4D22"/>
    <w:rsid w:val="00E02AA7"/>
    <w:rsid w:val="00E0441B"/>
    <w:rsid w:val="00E0621C"/>
    <w:rsid w:val="00E11EC3"/>
    <w:rsid w:val="00E12DBE"/>
    <w:rsid w:val="00E1675B"/>
    <w:rsid w:val="00E2238A"/>
    <w:rsid w:val="00E27AA2"/>
    <w:rsid w:val="00E27D4A"/>
    <w:rsid w:val="00E336FB"/>
    <w:rsid w:val="00E352F6"/>
    <w:rsid w:val="00E42EE9"/>
    <w:rsid w:val="00E510EA"/>
    <w:rsid w:val="00E52370"/>
    <w:rsid w:val="00E53D2D"/>
    <w:rsid w:val="00E53D81"/>
    <w:rsid w:val="00E60305"/>
    <w:rsid w:val="00E71C91"/>
    <w:rsid w:val="00E732AE"/>
    <w:rsid w:val="00E82F8A"/>
    <w:rsid w:val="00E85AA0"/>
    <w:rsid w:val="00E94C9A"/>
    <w:rsid w:val="00E96D71"/>
    <w:rsid w:val="00EA0128"/>
    <w:rsid w:val="00EA068F"/>
    <w:rsid w:val="00EB5EEF"/>
    <w:rsid w:val="00EC153C"/>
    <w:rsid w:val="00EC4E37"/>
    <w:rsid w:val="00ED288E"/>
    <w:rsid w:val="00EE38F4"/>
    <w:rsid w:val="00EE50D8"/>
    <w:rsid w:val="00EE5EBD"/>
    <w:rsid w:val="00EF65E2"/>
    <w:rsid w:val="00EF66E3"/>
    <w:rsid w:val="00F1140D"/>
    <w:rsid w:val="00F12437"/>
    <w:rsid w:val="00F13B83"/>
    <w:rsid w:val="00F4376B"/>
    <w:rsid w:val="00F457E8"/>
    <w:rsid w:val="00F4725E"/>
    <w:rsid w:val="00F475F2"/>
    <w:rsid w:val="00F51685"/>
    <w:rsid w:val="00F536D6"/>
    <w:rsid w:val="00F563F3"/>
    <w:rsid w:val="00F60A06"/>
    <w:rsid w:val="00F615A6"/>
    <w:rsid w:val="00F70425"/>
    <w:rsid w:val="00F83158"/>
    <w:rsid w:val="00F860D7"/>
    <w:rsid w:val="00F9058F"/>
    <w:rsid w:val="00F949D9"/>
    <w:rsid w:val="00F97C0E"/>
    <w:rsid w:val="00FA3036"/>
    <w:rsid w:val="00FA3469"/>
    <w:rsid w:val="00FA7D78"/>
    <w:rsid w:val="00FB1B1F"/>
    <w:rsid w:val="00FB4914"/>
    <w:rsid w:val="00FB4C87"/>
    <w:rsid w:val="00FC06F3"/>
    <w:rsid w:val="00FC1091"/>
    <w:rsid w:val="00FC3BB2"/>
    <w:rsid w:val="00FC477C"/>
    <w:rsid w:val="00FC638F"/>
    <w:rsid w:val="00FD6BD2"/>
    <w:rsid w:val="00FE3882"/>
    <w:rsid w:val="00FE5B23"/>
    <w:rsid w:val="00FF6138"/>
    <w:rsid w:val="00FF7243"/>
    <w:rsid w:val="458A5DC0"/>
    <w:rsid w:val="558355DE"/>
    <w:rsid w:val="634315D3"/>
    <w:rsid w:val="7FA227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23"/>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styleId="6">
    <w:name w:val="Hyperlink"/>
    <w:basedOn w:val="4"/>
    <w:uiPriority w:val="0"/>
    <w:rPr>
      <w:color w:val="0000FF"/>
      <w:u w:val="single"/>
    </w:rPr>
  </w:style>
  <w:style w:type="paragraph" w:customStyle="1" w:styleId="8">
    <w:name w:val=" 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9">
    <w:name w:val="lawyeeCourtName1"/>
    <w:basedOn w:val="1"/>
    <w:uiPriority w:val="0"/>
    <w:pPr>
      <w:spacing w:line="720" w:lineRule="exact"/>
      <w:jc w:val="center"/>
    </w:pPr>
    <w:rPr>
      <w:rFonts w:ascii="方正小标宋_GBK" w:eastAsia="方正小标宋_GBK"/>
      <w:sz w:val="44"/>
    </w:rPr>
  </w:style>
  <w:style w:type="paragraph" w:customStyle="1" w:styleId="10">
    <w:name w:val="lawyeeWritName1"/>
    <w:basedOn w:val="1"/>
    <w:uiPriority w:val="0"/>
    <w:pPr>
      <w:spacing w:line="720" w:lineRule="exact"/>
      <w:jc w:val="center"/>
    </w:pPr>
    <w:rPr>
      <w:rFonts w:ascii="方正小标宋_GBK" w:eastAsia="方正小标宋_GBK"/>
      <w:sz w:val="44"/>
    </w:rPr>
  </w:style>
  <w:style w:type="paragraph" w:customStyle="1" w:styleId="11">
    <w:name w:val="lawyeeCaseNum1"/>
    <w:basedOn w:val="1"/>
    <w:uiPriority w:val="0"/>
    <w:pPr>
      <w:ind w:rightChars="200"/>
      <w:jc w:val="right"/>
    </w:pPr>
    <w:rPr>
      <w:rFonts w:ascii="仿宋_GB2312"/>
    </w:rPr>
  </w:style>
  <w:style w:type="paragraph" w:customStyle="1" w:styleId="12">
    <w:name w:val="lawyeeWritContent1"/>
    <w:basedOn w:val="1"/>
    <w:qFormat/>
    <w:uiPriority w:val="0"/>
    <w:pPr>
      <w:ind w:firstLineChars="200"/>
    </w:pPr>
    <w:rPr>
      <w:rFonts w:ascii="仿宋_GB2312"/>
    </w:rPr>
  </w:style>
  <w:style w:type="paragraph" w:customStyle="1" w:styleId="13">
    <w:name w:val="lawyeeWritContent0"/>
    <w:basedOn w:val="1"/>
    <w:qFormat/>
    <w:uiPriority w:val="0"/>
    <w:pPr>
      <w:ind w:firstLineChars="200"/>
    </w:pPr>
    <w:rPr>
      <w:rFonts w:ascii="仿宋_GB2312"/>
    </w:rPr>
  </w:style>
  <w:style w:type="paragraph" w:customStyle="1" w:styleId="14">
    <w:name w:val="lawyeeWritContent2"/>
    <w:basedOn w:val="1"/>
    <w:uiPriority w:val="0"/>
    <w:pPr>
      <w:ind w:firstLineChars="200"/>
    </w:pPr>
    <w:rPr>
      <w:rFonts w:ascii="仿宋_GB2312"/>
    </w:rPr>
  </w:style>
  <w:style w:type="paragraph" w:customStyle="1" w:styleId="15">
    <w:name w:val="lawyeeJudge1"/>
    <w:basedOn w:val="1"/>
    <w:qFormat/>
    <w:uiPriority w:val="0"/>
    <w:pPr>
      <w:spacing w:line="520" w:lineRule="exact"/>
      <w:ind w:rightChars="200"/>
      <w:jc w:val="right"/>
    </w:pPr>
    <w:rPr>
      <w:rFonts w:ascii="仿宋_GB2312"/>
    </w:rPr>
  </w:style>
  <w:style w:type="paragraph" w:customStyle="1" w:styleId="16">
    <w:name w:val="lawyeeDate1"/>
    <w:basedOn w:val="1"/>
    <w:uiPriority w:val="0"/>
    <w:pPr>
      <w:ind w:rightChars="200"/>
      <w:jc w:val="right"/>
    </w:pPr>
    <w:rPr>
      <w:rFonts w:ascii="仿宋_GB2312"/>
    </w:rPr>
  </w:style>
  <w:style w:type="paragraph" w:customStyle="1" w:styleId="17">
    <w:name w:val="lawyeeJudge2"/>
    <w:basedOn w:val="1"/>
    <w:uiPriority w:val="0"/>
    <w:pPr>
      <w:spacing w:line="520" w:lineRule="exact"/>
      <w:ind w:rightChars="200"/>
      <w:jc w:val="right"/>
    </w:pPr>
    <w:rPr>
      <w:rFonts w:ascii="仿宋_GB2312"/>
    </w:rPr>
  </w:style>
  <w:style w:type="paragraph" w:customStyle="1" w:styleId="18">
    <w:name w:val="lawyeeAttach1"/>
    <w:basedOn w:val="1"/>
    <w:uiPriority w:val="0"/>
    <w:pPr>
      <w:spacing w:line="520" w:lineRule="exact"/>
      <w:ind w:firstLineChars="200"/>
      <w:jc w:val="left"/>
    </w:pPr>
    <w:rPr>
      <w:rFonts w:ascii="仿宋_GB2312"/>
    </w:rPr>
  </w:style>
  <w:style w:type="paragraph" w:customStyle="1" w:styleId="19">
    <w:name w:val="lawyeeAttachContent1"/>
    <w:basedOn w:val="1"/>
    <w:uiPriority w:val="0"/>
    <w:pPr>
      <w:spacing w:line="520" w:lineRule="exact"/>
      <w:ind w:firstLineChars="200"/>
      <w:jc w:val="left"/>
    </w:pPr>
    <w:rPr>
      <w:rFonts w:ascii="仿宋_GB2312"/>
    </w:rPr>
  </w:style>
  <w:style w:type="paragraph" w:customStyle="1" w:styleId="20">
    <w:name w:val="lawyeeAttachContent0"/>
    <w:basedOn w:val="1"/>
    <w:qFormat/>
    <w:uiPriority w:val="0"/>
    <w:pPr>
      <w:spacing w:line="520" w:lineRule="exact"/>
      <w:ind w:firstLineChars="200"/>
      <w:jc w:val="left"/>
    </w:pPr>
    <w:rPr>
      <w:rFonts w:ascii="仿宋_GB2312"/>
    </w:rPr>
  </w:style>
  <w:style w:type="paragraph" w:customStyle="1" w:styleId="21">
    <w:name w:val="lawyeeAttachContent2"/>
    <w:basedOn w:val="1"/>
    <w:uiPriority w:val="0"/>
    <w:pPr>
      <w:spacing w:line="520" w:lineRule="exact"/>
      <w:ind w:firstLineChars="200"/>
      <w:jc w:val="left"/>
    </w:pPr>
    <w:rPr>
      <w:rFonts w:ascii="仿宋_GB2312"/>
    </w:rPr>
  </w:style>
  <w:style w:type="character" w:customStyle="1" w:styleId="22">
    <w:name w:val="apple-converted-space"/>
    <w:basedOn w:val="4"/>
    <w:qFormat/>
    <w:uiPriority w:val="0"/>
  </w:style>
  <w:style w:type="character" w:customStyle="1" w:styleId="23">
    <w:name w:val=" Char Char"/>
    <w:basedOn w:val="4"/>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491</Words>
  <Characters>2805</Characters>
  <Lines>23</Lines>
  <Paragraphs>6</Paragraphs>
  <TotalTime>0</TotalTime>
  <ScaleCrop>false</ScaleCrop>
  <LinksUpToDate>false</LinksUpToDate>
  <CharactersWithSpaces>3290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2018-02-26T08:37:00Z</dcterms:created>
  <dc:creator>Administrator</dc:creator>
  <cp:lastModifiedBy>TF-PC</cp:lastModifiedBy>
  <cp:lastPrinted>2018-01-22T01:51:00Z</cp:lastPrinted>
  <dcterms:modified xsi:type="dcterms:W3CDTF">2018-08-27T09:48:58Z</dcterms:modified>
  <dc:title>天津市津南区人民法院</dc:title>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