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line="360" w:lineRule="auto"/>
        <w:jc w:val="center"/>
        <w:rPr>
          <w:rFonts w:eastAsia="楷体_GB2312"/>
          <w:kern w:val="0"/>
          <w:sz w:val="44"/>
          <w:szCs w:val="44"/>
        </w:rPr>
      </w:pPr>
      <w:bookmarkStart w:id="0" w:name="_GoBack"/>
      <w:bookmarkEnd w:id="0"/>
      <w:r>
        <w:rPr>
          <w:rFonts w:eastAsia="楷体_GB2312"/>
          <w:kern w:val="0"/>
          <w:sz w:val="44"/>
          <w:szCs w:val="44"/>
        </w:rPr>
        <w:t>天津市河西区人民法院</w:t>
      </w:r>
    </w:p>
    <w:p>
      <w:pPr>
        <w:widowControl/>
        <w:snapToGrid w:val="0"/>
        <w:spacing w:line="500" w:lineRule="exact"/>
        <w:jc w:val="center"/>
        <w:rPr>
          <w:rFonts w:eastAsia="黑体"/>
          <w:kern w:val="0"/>
          <w:sz w:val="52"/>
          <w:szCs w:val="52"/>
        </w:rPr>
      </w:pPr>
      <w:r>
        <w:rPr>
          <w:rFonts w:eastAsia="黑体"/>
          <w:kern w:val="0"/>
          <w:sz w:val="52"/>
          <w:szCs w:val="52"/>
        </w:rPr>
        <w:t>刑 事 判 决 书</w:t>
      </w:r>
    </w:p>
    <w:p>
      <w:pPr>
        <w:widowControl/>
        <w:snapToGrid w:val="0"/>
        <w:spacing w:line="500" w:lineRule="exact"/>
        <w:jc w:val="center"/>
        <w:rPr>
          <w:rFonts w:eastAsia="黑体"/>
          <w:kern w:val="0"/>
          <w:sz w:val="52"/>
          <w:szCs w:val="52"/>
        </w:rPr>
      </w:pPr>
    </w:p>
    <w:p>
      <w:pPr>
        <w:widowControl/>
        <w:snapToGrid w:val="0"/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（2013）西刑初字第497号</w:t>
      </w:r>
    </w:p>
    <w:p>
      <w:pPr>
        <w:widowControl/>
        <w:snapToGrid w:val="0"/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公诉机关天津市河西区人民检察院。</w:t>
      </w:r>
    </w:p>
    <w:p>
      <w:pPr>
        <w:autoSpaceDE w:val="0"/>
        <w:autoSpaceDN w:val="0"/>
        <w:adjustRightInd w:val="0"/>
        <w:spacing w:line="500" w:lineRule="exact"/>
        <w:ind w:firstLine="636" w:firstLineChars="199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</w:rPr>
        <w:t> 被告人张戬，男，1974年1月9日出生，公民身份号码：120103197401090013，汉族，高中文化，天津市河东区太阳城清林园保安，住天津市河东区万新村倚虹中里10-1-305</w:t>
      </w:r>
      <w:r>
        <w:rPr>
          <w:rFonts w:hint="eastAsia" w:eastAsia="仿宋_GB2312"/>
          <w:kern w:val="0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户籍地天津市河西区白云路珠海里47-408。2013年9月27日被刑事拘留，2013年10月10日因涉嫌犯有信用卡诈骗罪被依法逮捕。</w:t>
      </w:r>
      <w:r>
        <w:rPr>
          <w:rFonts w:eastAsia="仿宋_GB2312"/>
          <w:kern w:val="0"/>
          <w:sz w:val="32"/>
          <w:szCs w:val="32"/>
          <w:lang w:val="zh-CN"/>
        </w:rPr>
        <w:t>现羁押于天津市河西区看守所。</w:t>
      </w:r>
    </w:p>
    <w:p>
      <w:pPr>
        <w:spacing w:line="500" w:lineRule="exact"/>
        <w:ind w:firstLine="627" w:firstLineChars="196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天津市河西区人民检察院以津西检刑诉[2013]490号起诉书指控被告人张戬犯信用卡诈骗罪，于2013年11月18日向本院提起公诉，并提出量刑建议。</w:t>
      </w:r>
      <w:r>
        <w:rPr>
          <w:rFonts w:eastAsia="仿宋_GB2312"/>
          <w:sz w:val="32"/>
          <w:szCs w:val="32"/>
        </w:rPr>
        <w:t>本院依法适用简易程序，实行独任审判，公开开庭审理了本案。天津市河西区人民检察院指派</w:t>
      </w:r>
      <w:r>
        <w:rPr>
          <w:rFonts w:hint="eastAsia" w:eastAsia="仿宋_GB2312"/>
          <w:sz w:val="32"/>
          <w:szCs w:val="32"/>
        </w:rPr>
        <w:t>代理</w:t>
      </w:r>
      <w:r>
        <w:rPr>
          <w:rFonts w:eastAsia="仿宋_GB2312"/>
          <w:sz w:val="32"/>
          <w:szCs w:val="32"/>
        </w:rPr>
        <w:t>检察员尹巍出庭支持公诉。被告人</w:t>
      </w:r>
      <w:r>
        <w:rPr>
          <w:rFonts w:eastAsia="仿宋_GB2312"/>
          <w:kern w:val="0"/>
          <w:sz w:val="32"/>
          <w:szCs w:val="32"/>
          <w:lang w:val="zh-CN"/>
        </w:rPr>
        <w:t>张戬到庭</w:t>
      </w:r>
      <w:r>
        <w:rPr>
          <w:rFonts w:eastAsia="仿宋_GB2312"/>
          <w:sz w:val="32"/>
          <w:szCs w:val="32"/>
        </w:rPr>
        <w:t>参加了诉讼。现已审理终结。</w:t>
      </w:r>
    </w:p>
    <w:p>
      <w:pPr>
        <w:widowControl/>
        <w:tabs>
          <w:tab w:val="left" w:pos="711"/>
        </w:tabs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天津市河西区人民检察院</w:t>
      </w:r>
      <w:r>
        <w:rPr>
          <w:rFonts w:eastAsia="仿宋_GB2312"/>
          <w:sz w:val="32"/>
          <w:szCs w:val="32"/>
        </w:rPr>
        <w:t>指控</w:t>
      </w:r>
      <w:r>
        <w:rPr>
          <w:rFonts w:eastAsia="仿宋_GB2312"/>
          <w:kern w:val="0"/>
          <w:sz w:val="32"/>
          <w:szCs w:val="32"/>
        </w:rPr>
        <w:t>，2012年12月3日，被告人张戬在中信银行天津分行申领信用卡一张（卡号： 6226890026993534），并于2012年</w:t>
      </w:r>
      <w:r>
        <w:rPr>
          <w:rFonts w:hint="eastAsia" w:eastAsia="仿宋_GB2312"/>
          <w:kern w:val="0"/>
          <w:sz w:val="32"/>
          <w:szCs w:val="32"/>
        </w:rPr>
        <w:t>1</w:t>
      </w:r>
      <w:r>
        <w:rPr>
          <w:rFonts w:eastAsia="仿宋_GB2312"/>
          <w:kern w:val="0"/>
          <w:sz w:val="32"/>
          <w:szCs w:val="32"/>
        </w:rPr>
        <w:t>2月7日开始使用，截至2013年7月25日无还款记录，累计欠款人民币23747.65元（其中本金人民币19787元）。期间，中信银行天津分行工作人员多次进行催收，被告人张戬拒不归还。2013年9月27日，中信银行代表肖某到公安机关报案，民警当日将被告人张戬传唤至公安机关，经进一步侦查成案。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上述事实，被告人张戬在开庭审理过程中无异议，表示认罪，并有被害单位工作人员肖某的陈述，证人张某证言，被告人申领信用卡的相关手续，信用卡消费及催收记录，被告人的户籍材料及情况说明，公安机关出具的案件来源、抓获经过等证据证实，足以认定。</w:t>
      </w:r>
    </w:p>
    <w:p>
      <w:pPr>
        <w:spacing w:line="500" w:lineRule="exact"/>
        <w:ind w:firstLine="640" w:firstLineChars="200"/>
        <w:rPr>
          <w:rFonts w:eastAsia="仿宋_GB2312"/>
          <w:bCs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</w:rPr>
        <w:t>本院认为，被告人张戬目无国家法律，以非法占有为目的，使用信用卡透支消费共计人民币19787元，数额较大，经发卡行多次催收，仍不归还，其行为已构成信用卡诈骗罪。</w:t>
      </w:r>
      <w:r>
        <w:rPr>
          <w:rFonts w:eastAsia="仿宋_GB2312"/>
          <w:kern w:val="0"/>
          <w:sz w:val="32"/>
          <w:szCs w:val="32"/>
          <w:lang w:val="zh-CN"/>
        </w:rPr>
        <w:t>被告人张戬到案后如实供述犯罪事实，依法可以从轻处罚。</w:t>
      </w:r>
      <w:r>
        <w:rPr>
          <w:rFonts w:eastAsia="仿宋_GB2312"/>
          <w:sz w:val="32"/>
          <w:szCs w:val="32"/>
        </w:rPr>
        <w:t>为严肃国家法律，维护金融管理秩序，</w:t>
      </w:r>
      <w:r>
        <w:rPr>
          <w:rFonts w:eastAsia="仿宋_GB2312"/>
          <w:bCs/>
          <w:kern w:val="0"/>
          <w:sz w:val="32"/>
          <w:szCs w:val="32"/>
          <w:lang w:val="zh-CN"/>
        </w:rPr>
        <w:t>保护国家的财产权利不受侵犯。</w:t>
      </w:r>
      <w:r>
        <w:rPr>
          <w:rFonts w:eastAsia="仿宋_GB2312"/>
          <w:kern w:val="0"/>
          <w:sz w:val="32"/>
          <w:szCs w:val="32"/>
        </w:rPr>
        <w:t>依照《中华人民共和国刑法》第一百九十六条第一款第（四）项</w:t>
      </w:r>
      <w:r>
        <w:rPr>
          <w:rFonts w:hint="eastAsia" w:eastAsia="仿宋_GB2312"/>
          <w:kern w:val="0"/>
          <w:sz w:val="32"/>
          <w:szCs w:val="32"/>
        </w:rPr>
        <w:t>、第六十七条第三款</w:t>
      </w:r>
      <w:r>
        <w:rPr>
          <w:rFonts w:eastAsia="仿宋_GB2312"/>
          <w:kern w:val="0"/>
          <w:sz w:val="32"/>
          <w:szCs w:val="32"/>
        </w:rPr>
        <w:t>之规定，判决如下：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被告人张戬犯信用卡诈骗罪，判处有期徒刑一年</w:t>
      </w:r>
      <w:r>
        <w:rPr>
          <w:rFonts w:eastAsia="仿宋_GB2312"/>
          <w:bCs/>
          <w:kern w:val="0"/>
          <w:sz w:val="32"/>
          <w:szCs w:val="32"/>
          <w:lang w:val="zh-CN"/>
        </w:rPr>
        <w:t>，并处</w:t>
      </w:r>
      <w:r>
        <w:rPr>
          <w:rFonts w:eastAsia="仿宋_GB2312"/>
          <w:kern w:val="0"/>
          <w:sz w:val="32"/>
          <w:szCs w:val="32"/>
        </w:rPr>
        <w:t>罚金人民币20000元。（本判决生效后十日内缴纳）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（刑期从判决执行之日起计算。判决执行以前先行羁押的，羁押一日折抵刑期一日。即自2013年9月27日起至2014年9月26日止）</w:t>
      </w:r>
    </w:p>
    <w:p>
      <w:pPr>
        <w:widowControl/>
        <w:snapToGrid w:val="0"/>
        <w:spacing w:line="500" w:lineRule="exact"/>
        <w:ind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widowControl/>
        <w:snapToGrid w:val="0"/>
        <w:spacing w:line="500" w:lineRule="exact"/>
        <w:ind w:firstLine="640"/>
        <w:jc w:val="right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王小江</w:t>
      </w:r>
    </w:p>
    <w:p>
      <w:pPr>
        <w:spacing w:line="500" w:lineRule="exact"/>
        <w:ind w:firstLine="5369" w:firstLineChars="1678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right="26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rFonts w:hAnsi="宋体"/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一三年十一月</w:t>
      </w:r>
      <w:r>
        <w:rPr>
          <w:rFonts w:hint="eastAsia" w:eastAsia="仿宋_GB2312"/>
          <w:sz w:val="32"/>
          <w:szCs w:val="32"/>
        </w:rPr>
        <w:t>二十一</w:t>
      </w:r>
      <w:r>
        <w:rPr>
          <w:rFonts w:eastAsia="仿宋_GB2312"/>
          <w:sz w:val="32"/>
          <w:szCs w:val="32"/>
        </w:rPr>
        <w:t>日</w:t>
      </w:r>
    </w:p>
    <w:p>
      <w:pPr>
        <w:spacing w:line="500" w:lineRule="exact"/>
        <w:ind w:right="26" w:firstLine="5369" w:firstLineChars="1678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马为一</w:t>
      </w:r>
    </w:p>
    <w:p>
      <w:pPr>
        <w:widowControl/>
        <w:snapToGrid w:val="0"/>
        <w:spacing w:line="500" w:lineRule="exact"/>
        <w:ind w:firstLine="645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sz w:val="32"/>
        </w:rPr>
        <w:t>速  录  员   王  欣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6E58"/>
    <w:rsid w:val="00013D02"/>
    <w:rsid w:val="000163E0"/>
    <w:rsid w:val="00041E4A"/>
    <w:rsid w:val="00061C55"/>
    <w:rsid w:val="00076FC0"/>
    <w:rsid w:val="00087445"/>
    <w:rsid w:val="0009218A"/>
    <w:rsid w:val="000C651D"/>
    <w:rsid w:val="000F5B6B"/>
    <w:rsid w:val="00110A0C"/>
    <w:rsid w:val="00126FBD"/>
    <w:rsid w:val="00132C30"/>
    <w:rsid w:val="00134EB2"/>
    <w:rsid w:val="00142909"/>
    <w:rsid w:val="00157F5C"/>
    <w:rsid w:val="001838C8"/>
    <w:rsid w:val="001973A6"/>
    <w:rsid w:val="001A23A2"/>
    <w:rsid w:val="001B7693"/>
    <w:rsid w:val="00203D2B"/>
    <w:rsid w:val="00220F13"/>
    <w:rsid w:val="00222B1C"/>
    <w:rsid w:val="00246E03"/>
    <w:rsid w:val="00253599"/>
    <w:rsid w:val="002574D0"/>
    <w:rsid w:val="002B3365"/>
    <w:rsid w:val="002C1FCD"/>
    <w:rsid w:val="002C6990"/>
    <w:rsid w:val="002F399F"/>
    <w:rsid w:val="002F7A88"/>
    <w:rsid w:val="003105DA"/>
    <w:rsid w:val="00317D75"/>
    <w:rsid w:val="003261F9"/>
    <w:rsid w:val="0034546B"/>
    <w:rsid w:val="00377BBB"/>
    <w:rsid w:val="00382E42"/>
    <w:rsid w:val="003850C1"/>
    <w:rsid w:val="00385B1E"/>
    <w:rsid w:val="00390A70"/>
    <w:rsid w:val="003C7F48"/>
    <w:rsid w:val="003D6453"/>
    <w:rsid w:val="003E2532"/>
    <w:rsid w:val="003E602E"/>
    <w:rsid w:val="0041227B"/>
    <w:rsid w:val="00423AB0"/>
    <w:rsid w:val="00432830"/>
    <w:rsid w:val="004605EE"/>
    <w:rsid w:val="00462C63"/>
    <w:rsid w:val="00464106"/>
    <w:rsid w:val="004768FD"/>
    <w:rsid w:val="004808FA"/>
    <w:rsid w:val="00486733"/>
    <w:rsid w:val="004B011D"/>
    <w:rsid w:val="004D603D"/>
    <w:rsid w:val="004D7721"/>
    <w:rsid w:val="004E0116"/>
    <w:rsid w:val="004F5826"/>
    <w:rsid w:val="00501E57"/>
    <w:rsid w:val="00502589"/>
    <w:rsid w:val="00527221"/>
    <w:rsid w:val="005706D0"/>
    <w:rsid w:val="0059238F"/>
    <w:rsid w:val="005D7A3D"/>
    <w:rsid w:val="005E59C6"/>
    <w:rsid w:val="005F065C"/>
    <w:rsid w:val="005F2582"/>
    <w:rsid w:val="0061333C"/>
    <w:rsid w:val="006347E3"/>
    <w:rsid w:val="00642D16"/>
    <w:rsid w:val="00643B5F"/>
    <w:rsid w:val="00657A7D"/>
    <w:rsid w:val="00673D18"/>
    <w:rsid w:val="00677E00"/>
    <w:rsid w:val="006838CA"/>
    <w:rsid w:val="006A0379"/>
    <w:rsid w:val="006B1DFB"/>
    <w:rsid w:val="006B52AB"/>
    <w:rsid w:val="006B6880"/>
    <w:rsid w:val="006C5403"/>
    <w:rsid w:val="006C6EA7"/>
    <w:rsid w:val="006D2084"/>
    <w:rsid w:val="006E43FA"/>
    <w:rsid w:val="006F6355"/>
    <w:rsid w:val="00700273"/>
    <w:rsid w:val="007129AF"/>
    <w:rsid w:val="007206C0"/>
    <w:rsid w:val="00726BFE"/>
    <w:rsid w:val="00767CBB"/>
    <w:rsid w:val="00783621"/>
    <w:rsid w:val="007A7A32"/>
    <w:rsid w:val="007B0C85"/>
    <w:rsid w:val="007D53B3"/>
    <w:rsid w:val="008138F7"/>
    <w:rsid w:val="00827609"/>
    <w:rsid w:val="00843583"/>
    <w:rsid w:val="00885277"/>
    <w:rsid w:val="00895DE9"/>
    <w:rsid w:val="00897C51"/>
    <w:rsid w:val="00914F9F"/>
    <w:rsid w:val="00934B20"/>
    <w:rsid w:val="00953DC5"/>
    <w:rsid w:val="00956519"/>
    <w:rsid w:val="00983DA3"/>
    <w:rsid w:val="00990DE8"/>
    <w:rsid w:val="009B13C7"/>
    <w:rsid w:val="009B3DB2"/>
    <w:rsid w:val="009B50C1"/>
    <w:rsid w:val="009C6624"/>
    <w:rsid w:val="009D2D0C"/>
    <w:rsid w:val="00A07F2A"/>
    <w:rsid w:val="00A51A1E"/>
    <w:rsid w:val="00A623AA"/>
    <w:rsid w:val="00A73456"/>
    <w:rsid w:val="00AC54D4"/>
    <w:rsid w:val="00AC6CE2"/>
    <w:rsid w:val="00AE7B0A"/>
    <w:rsid w:val="00AF5714"/>
    <w:rsid w:val="00AF6668"/>
    <w:rsid w:val="00AF7B14"/>
    <w:rsid w:val="00B0091D"/>
    <w:rsid w:val="00B01399"/>
    <w:rsid w:val="00B327E1"/>
    <w:rsid w:val="00B47788"/>
    <w:rsid w:val="00B758D0"/>
    <w:rsid w:val="00B919C4"/>
    <w:rsid w:val="00BC0172"/>
    <w:rsid w:val="00BC3E5C"/>
    <w:rsid w:val="00BF01E0"/>
    <w:rsid w:val="00BF3A01"/>
    <w:rsid w:val="00C12F86"/>
    <w:rsid w:val="00C21621"/>
    <w:rsid w:val="00C700B3"/>
    <w:rsid w:val="00C8336E"/>
    <w:rsid w:val="00C92F16"/>
    <w:rsid w:val="00CA3618"/>
    <w:rsid w:val="00CA729C"/>
    <w:rsid w:val="00D13231"/>
    <w:rsid w:val="00D52618"/>
    <w:rsid w:val="00D71C5E"/>
    <w:rsid w:val="00D82CE1"/>
    <w:rsid w:val="00D83C0C"/>
    <w:rsid w:val="00DA7B17"/>
    <w:rsid w:val="00DE52F8"/>
    <w:rsid w:val="00DF1DA3"/>
    <w:rsid w:val="00DF1EF2"/>
    <w:rsid w:val="00DF33FA"/>
    <w:rsid w:val="00E16DCA"/>
    <w:rsid w:val="00E23FDF"/>
    <w:rsid w:val="00E26E58"/>
    <w:rsid w:val="00E5240F"/>
    <w:rsid w:val="00E55447"/>
    <w:rsid w:val="00E90A05"/>
    <w:rsid w:val="00EB3AC4"/>
    <w:rsid w:val="00EB54F4"/>
    <w:rsid w:val="00ED3943"/>
    <w:rsid w:val="00ED7518"/>
    <w:rsid w:val="00EF488E"/>
    <w:rsid w:val="00F16507"/>
    <w:rsid w:val="00F2252E"/>
    <w:rsid w:val="00F243D9"/>
    <w:rsid w:val="00F33CD6"/>
    <w:rsid w:val="00F573E7"/>
    <w:rsid w:val="00F6769B"/>
    <w:rsid w:val="00F94F2B"/>
    <w:rsid w:val="00FA07DB"/>
    <w:rsid w:val="00FA612F"/>
    <w:rsid w:val="00FC0215"/>
    <w:rsid w:val="00FC7487"/>
    <w:rsid w:val="00FD28A4"/>
    <w:rsid w:val="10550AE4"/>
    <w:rsid w:val="206336F4"/>
    <w:rsid w:val="346958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"/>
    </w:tc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1</Pages>
  <Words>171</Words>
  <Characters>976</Characters>
  <Lines>8</Lines>
  <Paragraphs>2</Paragraphs>
  <TotalTime>0</TotalTime>
  <ScaleCrop>false</ScaleCrop>
  <LinksUpToDate>false</LinksUpToDate>
  <CharactersWithSpaces>1145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2010-01-18T08:47:00Z</dcterms:created>
  <dc:creator>User</dc:creator>
  <cp:lastModifiedBy>TF-PC</cp:lastModifiedBy>
  <dcterms:modified xsi:type="dcterms:W3CDTF">2018-08-27T09:49:02Z</dcterms:modified>
  <dc:title>天津市河西区人民法院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