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0" w:lineRule="exact"/>
        <w:ind w:right="-3" w:rightChars="-1"/>
        <w:jc w:val="center"/>
        <w:rPr>
          <w:rFonts w:eastAsia="宋体"/>
          <w:sz w:val="44"/>
        </w:rPr>
      </w:pPr>
      <w:bookmarkStart w:id="5" w:name="_GoBack"/>
      <w:bookmarkEnd w:id="5"/>
      <w:r>
        <w:rPr>
          <w:rFonts w:hint="eastAsia" w:eastAsia="宋体"/>
          <w:sz w:val="44"/>
        </w:rPr>
        <w:t>天津市东丽区人民法院</w:t>
      </w:r>
    </w:p>
    <w:p>
      <w:pPr>
        <w:spacing w:line="800" w:lineRule="exact"/>
        <w:jc w:val="center"/>
        <w:rPr>
          <w:rFonts w:hint="eastAsia" w:eastAsia="宋体"/>
          <w:spacing w:val="50"/>
          <w:sz w:val="52"/>
        </w:rPr>
      </w:pPr>
      <w:r>
        <w:rPr>
          <w:rFonts w:hint="eastAsia" w:eastAsia="宋体"/>
          <w:spacing w:val="50"/>
          <w:sz w:val="52"/>
        </w:rPr>
        <w:t>刑 事 判 决 书</w:t>
      </w:r>
    </w:p>
    <w:p>
      <w:pPr>
        <w:spacing w:line="800" w:lineRule="exact"/>
        <w:jc w:val="center"/>
        <w:rPr>
          <w:rFonts w:hint="eastAsia" w:ascii="仿宋_GB2312"/>
          <w:szCs w:val="32"/>
        </w:rPr>
      </w:pPr>
      <w:r>
        <w:rPr>
          <w:rFonts w:hint="eastAsia"/>
          <w:sz w:val="28"/>
          <w:szCs w:val="28"/>
        </w:rPr>
        <w:t xml:space="preserve">                               </w:t>
      </w:r>
      <w:r>
        <w:rPr>
          <w:rFonts w:hint="eastAsia"/>
          <w:szCs w:val="32"/>
        </w:rPr>
        <w:t xml:space="preserve"> （</w:t>
      </w:r>
      <w:r>
        <w:rPr>
          <w:rFonts w:hint="eastAsia" w:ascii="仿宋_GB2312"/>
          <w:szCs w:val="32"/>
        </w:rPr>
        <w:t>2014）丽刑初字第236号</w:t>
      </w:r>
    </w:p>
    <w:p>
      <w:pPr>
        <w:ind w:firstLine="650" w:firstLineChars="200"/>
        <w:rPr>
          <w:rFonts w:hint="eastAsia"/>
        </w:rPr>
      </w:pPr>
    </w:p>
    <w:p>
      <w:pPr>
        <w:ind w:firstLine="650" w:firstLineChars="200"/>
        <w:rPr>
          <w:rFonts w:hint="eastAsia"/>
        </w:rPr>
      </w:pPr>
      <w:r>
        <w:rPr>
          <w:rFonts w:hint="eastAsia"/>
        </w:rPr>
        <w:t>公诉机关天津市东丽区人民检察院。</w:t>
      </w:r>
    </w:p>
    <w:p>
      <w:pPr>
        <w:ind w:firstLine="646"/>
        <w:rPr>
          <w:rFonts w:hint="eastAsia"/>
        </w:rPr>
      </w:pPr>
      <w:r>
        <w:rPr>
          <w:rFonts w:hint="eastAsia"/>
        </w:rPr>
        <w:t>被告人杨立秋（身份证号码120110196508100911），男，1965年8月10日出生于天津市东丽区，汉族，小学文化，农民，住天津市东丽区新立街稻地村3区37号。因本案于2014年3月20日被刑事拘留，同年3月31日被逮捕，现羁押于天津市东丽区看守所。</w:t>
      </w:r>
    </w:p>
    <w:p>
      <w:pPr>
        <w:ind w:firstLine="642" w:firstLineChars="198"/>
        <w:rPr>
          <w:rFonts w:hint="eastAsia"/>
        </w:rPr>
      </w:pPr>
      <w:r>
        <w:rPr>
          <w:rFonts w:hint="eastAsia"/>
        </w:rPr>
        <w:t>天津市东丽区人民检察院以津丽检刑诉（2014）200号起诉书指控被告人杨立秋犯信用卡诈骗罪，于2014年5月12日向本院提起公诉。本院依法组成合议庭，公开开庭审理了本案。天津市东丽区人民检察院指派代理检察员王秀鹏出庭支持公诉，被告人杨立秋到庭参加诉讼。现已审理终结。</w:t>
      </w:r>
    </w:p>
    <w:p>
      <w:pPr>
        <w:ind w:firstLine="650" w:firstLineChars="200"/>
        <w:rPr>
          <w:rFonts w:hint="eastAsia"/>
        </w:rPr>
      </w:pPr>
      <w:r>
        <w:rPr>
          <w:rFonts w:hint="eastAsia"/>
        </w:rPr>
        <w:t xml:space="preserve">经审理查明，2012年2月29日，被告人杨立秋通过邱桂茹（另案处理）伪造虚假的工作收入证明及房产证明，从中国光大银行天津分行骗领阳光商旅白金信用卡一张（卡号4816990002278107），信用额度为人民币15万元。后被告人杨立秋恶意透支本金人民币15万元，用于个人使用及借贷。自2012年10月29日被告人杨立秋还款人民币300元，经光大银行多次催收至案发被告人杨立秋未能还款。2014年3月20日被告人杨立秋被抓获归案。 </w:t>
      </w:r>
    </w:p>
    <w:p>
      <w:pPr>
        <w:ind w:firstLine="650" w:firstLineChars="200"/>
        <w:rPr>
          <w:rFonts w:hint="eastAsia"/>
        </w:rPr>
      </w:pPr>
      <w:r>
        <w:rPr>
          <w:rFonts w:hint="eastAsia"/>
        </w:rPr>
        <w:t>上述事实，被告人杨立秋在开庭审理过程中均无异议，且有证人贾海博的证言、案件来源及抓获经过、账单明细、催收记录、办理信用卡申请表、收入证明、查询信息、情况说明、被告人身份证明等证据证实，足以认定。</w:t>
      </w:r>
    </w:p>
    <w:p>
      <w:pPr>
        <w:ind w:firstLine="646"/>
        <w:rPr>
          <w:rFonts w:hint="eastAsia"/>
        </w:rPr>
      </w:pPr>
      <w:r>
        <w:rPr>
          <w:rFonts w:hint="eastAsia"/>
        </w:rPr>
        <w:t>本院认为，被告人杨立秋违反信用卡管理法规，使用虚假的证明骗领信用卡，后恶意透支本金人民币15万元，经发卡银行多次催收后超过3个月仍不归还，拒不归还数额149700元，数额巨大，其行为已构成信用卡诈骗罪，应予以处罚。公诉机关指控意见正确，予以采纳。鉴于被告人能自愿认罪，可以从轻处罚。 综上，本院依据《中华人民共和国刑法》第一百九十六条第一款第（四）项、第六十七条第三款、第六十四条的规定 ，判决如下：</w:t>
      </w:r>
    </w:p>
    <w:p>
      <w:pPr>
        <w:ind w:firstLine="650" w:firstLineChars="200"/>
        <w:rPr>
          <w:rFonts w:hint="eastAsia"/>
        </w:rPr>
      </w:pPr>
      <w:r>
        <w:rPr>
          <w:rFonts w:hint="eastAsia"/>
        </w:rPr>
        <w:t>一、被告人杨立秋犯信用卡诈骗罪，判处有期徒刑五年，并处罚金人民币10万元。</w:t>
      </w:r>
    </w:p>
    <w:p>
      <w:pPr>
        <w:ind w:firstLine="325" w:firstLineChars="100"/>
        <w:rPr>
          <w:rFonts w:hint="eastAsia"/>
        </w:rPr>
      </w:pPr>
      <w:r>
        <w:rPr>
          <w:rFonts w:hint="eastAsia"/>
        </w:rPr>
        <w:t>（刑期自判决执行之日起计算。判决执行以前先行羁押的羁押一日折抵刑期一日，</w:t>
      </w:r>
      <w:r>
        <w:rPr>
          <w:rFonts w:hint="eastAsia"/>
          <w:kern w:val="0"/>
          <w:lang w:val="zh-CN"/>
        </w:rPr>
        <w:t>即自</w:t>
      </w:r>
      <w:r>
        <w:rPr>
          <w:kern w:val="0"/>
          <w:lang w:val="zh-CN"/>
        </w:rPr>
        <w:t>201</w:t>
      </w:r>
      <w:r>
        <w:rPr>
          <w:rFonts w:hint="eastAsia"/>
          <w:kern w:val="0"/>
          <w:lang w:val="zh-CN"/>
        </w:rPr>
        <w:t>4年3月20日起至</w:t>
      </w:r>
      <w:r>
        <w:rPr>
          <w:kern w:val="0"/>
          <w:lang w:val="zh-CN"/>
        </w:rPr>
        <w:t>20</w:t>
      </w:r>
      <w:r>
        <w:rPr>
          <w:rFonts w:hint="eastAsia"/>
          <w:kern w:val="0"/>
          <w:lang w:val="zh-CN"/>
        </w:rPr>
        <w:t>19年3月19日止</w:t>
      </w:r>
      <w:r>
        <w:rPr>
          <w:rFonts w:hint="eastAsia"/>
        </w:rPr>
        <w:t>）。</w:t>
      </w:r>
    </w:p>
    <w:p>
      <w:pPr>
        <w:ind w:firstLine="645" w:firstLineChars="199"/>
        <w:rPr>
          <w:rFonts w:hint="eastAsia"/>
        </w:rPr>
      </w:pPr>
      <w:r>
        <w:rPr>
          <w:rFonts w:hint="eastAsia"/>
        </w:rPr>
        <w:t>上述罚金于判决书生效后十日内交本院。</w:t>
      </w:r>
    </w:p>
    <w:p>
      <w:pPr>
        <w:ind w:firstLine="325" w:firstLineChars="100"/>
        <w:rPr>
          <w:rFonts w:hint="eastAsia"/>
        </w:rPr>
      </w:pPr>
      <w:r>
        <w:rPr>
          <w:rFonts w:hint="eastAsia"/>
        </w:rPr>
        <w:t xml:space="preserve">  二、责令被告人杨立秋退赔光大银行天津分行人民币149700元。</w:t>
      </w:r>
    </w:p>
    <w:p>
      <w:pPr>
        <w:ind w:firstLine="645" w:firstLineChars="199"/>
        <w:rPr>
          <w:rFonts w:hint="eastAsia"/>
        </w:rPr>
      </w:pPr>
      <w:r>
        <w:rPr>
          <w:rFonts w:hint="eastAsia"/>
        </w:rPr>
        <w:t>如不服本判决，可于接到判决书的第二日起十日内，通过本院或直接向天津市第二中级人民法院提出上诉，书面上诉的，应交上诉状正本一份，副本二份。</w:t>
      </w:r>
    </w:p>
    <w:p>
      <w:pPr>
        <w:ind w:right="805"/>
        <w:rPr>
          <w:rFonts w:hint="eastAsia"/>
        </w:rPr>
      </w:pPr>
    </w:p>
    <w:p>
      <w:pPr>
        <w:ind w:right="805"/>
        <w:rPr>
          <w:rFonts w:hint="eastAsia"/>
        </w:rPr>
      </w:pPr>
    </w:p>
    <w:p>
      <w:pPr>
        <w:ind w:right="805"/>
        <w:rPr>
          <w:rFonts w:hint="eastAsia"/>
        </w:rPr>
      </w:pPr>
    </w:p>
    <w:p>
      <w:pPr>
        <w:ind w:right="805"/>
        <w:rPr>
          <w:rFonts w:hint="eastAsia"/>
        </w:rPr>
      </w:pPr>
    </w:p>
    <w:p>
      <w:pPr>
        <w:ind w:right="805"/>
        <w:rPr>
          <w:rFonts w:hint="eastAsia"/>
        </w:rPr>
      </w:pPr>
      <w:r>
        <w:rPr>
          <w:rFonts w:hint="eastAsia"/>
        </w:rPr>
        <w:t>（此页无正文）</w:t>
      </w:r>
    </w:p>
    <w:p>
      <w:pPr>
        <w:ind w:right="805"/>
        <w:rPr>
          <w:rFonts w:hint="eastAsia"/>
        </w:rPr>
      </w:pPr>
    </w:p>
    <w:p>
      <w:pPr>
        <w:ind w:right="805"/>
        <w:rPr>
          <w:rFonts w:hint="eastAsia"/>
        </w:rPr>
      </w:pPr>
    </w:p>
    <w:p>
      <w:pPr>
        <w:ind w:right="805"/>
        <w:rPr>
          <w:rFonts w:hint="eastAsia"/>
        </w:rPr>
      </w:pPr>
    </w:p>
    <w:p>
      <w:pPr>
        <w:ind w:right="805"/>
        <w:rPr>
          <w:rFonts w:hint="eastAsia"/>
        </w:rPr>
      </w:pPr>
    </w:p>
    <w:p>
      <w:pPr>
        <w:ind w:right="805"/>
        <w:rPr>
          <w:rFonts w:hint="eastAsia"/>
        </w:rPr>
      </w:pPr>
    </w:p>
    <w:p>
      <w:pPr>
        <w:ind w:right="805"/>
        <w:rPr>
          <w:rFonts w:hint="eastAsia"/>
        </w:rPr>
      </w:pPr>
    </w:p>
    <w:p>
      <w:pPr>
        <w:ind w:right="805"/>
        <w:rPr>
          <w:rFonts w:hint="eastAsia"/>
        </w:rPr>
      </w:pPr>
    </w:p>
    <w:p>
      <w:pPr>
        <w:ind w:right="805"/>
        <w:rPr>
          <w:rFonts w:hint="eastAsia"/>
        </w:rPr>
      </w:pPr>
    </w:p>
    <w:p>
      <w:pPr>
        <w:ind w:right="805"/>
        <w:rPr>
          <w:rFonts w:hint="eastAsia"/>
        </w:rPr>
      </w:pPr>
    </w:p>
    <w:p>
      <w:pPr>
        <w:ind w:right="805"/>
        <w:rPr>
          <w:rFonts w:hint="eastAsia"/>
        </w:rPr>
      </w:pPr>
    </w:p>
    <w:p>
      <w:pPr>
        <w:spacing w:line="520" w:lineRule="exact"/>
        <w:ind w:left="425"/>
        <w:jc w:val="right"/>
        <w:rPr>
          <w:rFonts w:hint="eastAsia"/>
        </w:rPr>
      </w:pPr>
      <w:r>
        <w:rPr>
          <w:rFonts w:hint="eastAsia"/>
        </w:rPr>
        <w:t>审  判  长  孙宝芳</w:t>
      </w:r>
    </w:p>
    <w:p>
      <w:pPr>
        <w:spacing w:line="520" w:lineRule="exact"/>
        <w:ind w:left="4160" w:firstLine="645"/>
        <w:jc w:val="right"/>
        <w:rPr>
          <w:rFonts w:hint="eastAsia"/>
        </w:rPr>
      </w:pPr>
      <w:r>
        <w:rPr>
          <w:rFonts w:hint="eastAsia"/>
        </w:rPr>
        <w:t>代理审判员  于振忠</w:t>
      </w:r>
    </w:p>
    <w:p>
      <w:pPr>
        <w:wordWrap w:val="0"/>
        <w:spacing w:line="520" w:lineRule="exact"/>
        <w:ind w:left="4160" w:firstLine="645"/>
        <w:jc w:val="right"/>
        <w:rPr>
          <w:rFonts w:hint="eastAsia"/>
        </w:rPr>
      </w:pPr>
      <w:r>
        <w:rPr>
          <w:rFonts w:hint="eastAsia"/>
        </w:rPr>
        <w:t>人民陪审员  王树云</w:t>
      </w:r>
    </w:p>
    <w:p>
      <w:pPr>
        <w:spacing w:line="520" w:lineRule="exact"/>
        <w:ind w:left="4160" w:firstLine="672"/>
        <w:jc w:val="right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spacing w:line="520" w:lineRule="exact"/>
        <w:ind w:left="4160" w:firstLine="645"/>
        <w:jc w:val="right"/>
        <w:rPr>
          <w:rFonts w:hint="eastAsia"/>
        </w:rPr>
      </w:pPr>
      <w:r>
        <w:rPr>
          <w:rFonts w:hint="eastAsia"/>
        </w:rPr>
        <w:t>二O一四年六月十八日</w:t>
      </w:r>
    </w:p>
    <w:p>
      <w:pPr>
        <w:spacing w:line="520" w:lineRule="exact"/>
        <w:ind w:right="628"/>
        <w:rPr>
          <w:rFonts w:hint="eastAsia"/>
        </w:rPr>
      </w:pPr>
    </w:p>
    <w:p>
      <w:pPr>
        <w:wordWrap w:val="0"/>
        <w:spacing w:line="520" w:lineRule="exact"/>
        <w:ind w:left="4160" w:firstLine="645"/>
        <w:jc w:val="right"/>
        <w:rPr>
          <w:rFonts w:hint="eastAsia"/>
        </w:rPr>
      </w:pPr>
      <w:r>
        <w:rPr>
          <w:rFonts w:hint="eastAsia"/>
        </w:rPr>
        <w:t xml:space="preserve"> 书  记  员  李  陆</w:t>
      </w:r>
    </w:p>
    <w:p>
      <w:pPr>
        <w:wordWrap w:val="0"/>
        <w:spacing w:line="520" w:lineRule="exact"/>
        <w:ind w:left="4160" w:firstLine="645"/>
        <w:jc w:val="right"/>
        <w:rPr>
          <w:rFonts w:hint="eastAsia"/>
        </w:rPr>
      </w:pPr>
      <w:r>
        <w:rPr>
          <w:rFonts w:hint="eastAsia"/>
        </w:rPr>
        <w:t>速  录  员  吴  伟</w:t>
      </w:r>
    </w:p>
    <w:p>
      <w:pPr>
        <w:wordWrap w:val="0"/>
        <w:ind w:left="4160" w:right="157" w:firstLine="645"/>
        <w:jc w:val="right"/>
        <w:rPr>
          <w:rFonts w:hint="eastAsia"/>
        </w:rPr>
      </w:pPr>
    </w:p>
    <w:p>
      <w:pPr>
        <w:ind w:right="805"/>
        <w:rPr>
          <w:rFonts w:hint="eastAsia"/>
        </w:rPr>
      </w:pPr>
    </w:p>
    <w:p>
      <w:pPr>
        <w:ind w:right="805"/>
        <w:rPr>
          <w:rFonts w:hint="eastAsia"/>
        </w:rPr>
      </w:pPr>
    </w:p>
    <w:p>
      <w:pPr>
        <w:ind w:right="805"/>
        <w:rPr>
          <w:rFonts w:hint="eastAsia"/>
        </w:rPr>
      </w:pPr>
    </w:p>
    <w:p>
      <w:pPr>
        <w:ind w:right="805"/>
        <w:rPr>
          <w:rFonts w:hint="eastAsia"/>
        </w:rPr>
      </w:pPr>
    </w:p>
    <w:p>
      <w:pPr>
        <w:ind w:right="805"/>
        <w:rPr>
          <w:rFonts w:hint="eastAsia"/>
        </w:rPr>
      </w:pPr>
    </w:p>
    <w:p>
      <w:pPr>
        <w:ind w:right="805"/>
        <w:rPr>
          <w:rFonts w:hint="eastAsia"/>
        </w:rPr>
      </w:pPr>
    </w:p>
    <w:p>
      <w:pPr>
        <w:ind w:right="628"/>
        <w:jc w:val="center"/>
        <w:rPr>
          <w:rFonts w:hint="eastAsia"/>
          <w:sz w:val="36"/>
          <w:szCs w:val="36"/>
        </w:rPr>
      </w:pPr>
      <w:r>
        <w:rPr>
          <w:rFonts w:hint="eastAsia"/>
          <w:b/>
          <w:sz w:val="36"/>
          <w:szCs w:val="36"/>
        </w:rPr>
        <w:t>本判决所依据相关的法律、法规：</w:t>
      </w:r>
    </w:p>
    <w:p>
      <w:pPr>
        <w:wordWrap w:val="0"/>
        <w:ind w:firstLine="650" w:firstLineChars="200"/>
        <w:jc w:val="center"/>
        <w:rPr>
          <w:rFonts w:hint="eastAsia" w:hAnsi="宋体" w:cs="宋体"/>
          <w:kern w:val="0"/>
          <w:szCs w:val="32"/>
        </w:rPr>
      </w:pPr>
      <w:bookmarkStart w:id="0" w:name="up"/>
      <w:bookmarkEnd w:id="0"/>
    </w:p>
    <w:p>
      <w:pPr>
        <w:ind w:firstLine="642" w:firstLineChars="198"/>
        <w:rPr>
          <w:rFonts w:hint="eastAsia" w:ascii="仿宋_GB2312"/>
          <w:szCs w:val="32"/>
        </w:rPr>
      </w:pPr>
      <w:bookmarkStart w:id="1" w:name="264"/>
      <w:r>
        <w:rPr>
          <w:rFonts w:hint="eastAsia"/>
          <w:szCs w:val="32"/>
        </w:rPr>
        <w:t>一、</w:t>
      </w:r>
      <w:bookmarkEnd w:id="1"/>
      <w:bookmarkStart w:id="2" w:name="196"/>
      <w:bookmarkStart w:id="3" w:name="25"/>
      <w:r>
        <w:rPr>
          <w:rFonts w:hint="eastAsia"/>
        </w:rPr>
        <w:t>《中华人民共和国刑法》</w:t>
      </w:r>
      <w:r>
        <w:rPr>
          <w:szCs w:val="32"/>
        </w:rPr>
        <w:t>第一百九十六条</w:t>
      </w:r>
      <w:bookmarkEnd w:id="2"/>
      <w:r>
        <w:rPr>
          <w:szCs w:val="32"/>
        </w:rPr>
        <w:t>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  <w:r>
        <w:rPr>
          <w:szCs w:val="32"/>
        </w:rPr>
        <w:br w:type="textWrapping"/>
      </w:r>
      <w:r>
        <w:rPr>
          <w:szCs w:val="32"/>
        </w:rPr>
        <w:t>　　（一）使用伪造的信用卡的；</w:t>
      </w:r>
      <w:r>
        <w:rPr>
          <w:szCs w:val="32"/>
        </w:rPr>
        <w:br w:type="textWrapping"/>
      </w:r>
      <w:r>
        <w:rPr>
          <w:szCs w:val="32"/>
        </w:rPr>
        <w:t>　　（二）使用作废的信用卡的；</w:t>
      </w:r>
      <w:r>
        <w:rPr>
          <w:szCs w:val="32"/>
        </w:rPr>
        <w:br w:type="textWrapping"/>
      </w:r>
      <w:r>
        <w:rPr>
          <w:szCs w:val="32"/>
        </w:rPr>
        <w:t>　　（三）冒用他人信用卡的；</w:t>
      </w:r>
      <w:r>
        <w:rPr>
          <w:szCs w:val="32"/>
        </w:rPr>
        <w:br w:type="textWrapping"/>
      </w:r>
      <w:r>
        <w:rPr>
          <w:szCs w:val="32"/>
        </w:rPr>
        <w:t>　　（四）恶意透支的。</w:t>
      </w:r>
      <w:r>
        <w:rPr>
          <w:szCs w:val="32"/>
        </w:rPr>
        <w:br w:type="textWrapping"/>
      </w:r>
      <w:r>
        <w:rPr>
          <w:szCs w:val="32"/>
        </w:rPr>
        <w:t>　　前款所称恶意透支，是指持卡人以非法占有为目的，超过规定限额或者规定期限透支，并且经发卡银行催收后仍不归还的行为。</w:t>
      </w:r>
      <w:r>
        <w:rPr>
          <w:szCs w:val="32"/>
        </w:rPr>
        <w:br w:type="textWrapping"/>
      </w:r>
      <w:r>
        <w:rPr>
          <w:szCs w:val="32"/>
        </w:rPr>
        <w:t>　　盗窃信用卡并使用的，依照本法第二百六十四条的规定定罪处罚。</w:t>
      </w:r>
    </w:p>
    <w:p>
      <w:pPr>
        <w:wordWrap w:val="0"/>
        <w:ind w:firstLine="650" w:firstLineChars="200"/>
        <w:rPr>
          <w:rFonts w:hint="eastAsia"/>
          <w:szCs w:val="32"/>
        </w:rPr>
      </w:pPr>
      <w:r>
        <w:rPr>
          <w:rFonts w:hint="eastAsia"/>
          <w:szCs w:val="32"/>
        </w:rPr>
        <w:t>二</w:t>
      </w:r>
      <w:bookmarkEnd w:id="3"/>
      <w:r>
        <w:rPr>
          <w:rFonts w:hint="eastAsia"/>
        </w:rPr>
        <w:t>、《中华人民共和国刑法》</w:t>
      </w:r>
      <w:r>
        <w:rPr>
          <w:szCs w:val="32"/>
        </w:rPr>
        <w:t>第六十七条犯罪以后自动投案，如实供述自己的罪行的，是自首。对于自首的犯罪分子，可以从轻或者减轻处罚。其中，犯罪较轻的，可以免除处罚。</w:t>
      </w:r>
      <w:r>
        <w:rPr>
          <w:szCs w:val="32"/>
        </w:rPr>
        <w:br w:type="textWrapping"/>
      </w:r>
      <w:r>
        <w:rPr>
          <w:szCs w:val="32"/>
        </w:rPr>
        <w:t>　　被采取强制措施的犯罪嫌疑人、被告人和正在服刑的罪犯，如实供述司法机关还未掌握的本人其他罪行的，以自首论。</w:t>
      </w:r>
    </w:p>
    <w:p>
      <w:pPr>
        <w:wordWrap w:val="0"/>
        <w:ind w:firstLine="650" w:firstLineChars="200"/>
        <w:rPr>
          <w:rFonts w:hint="eastAsia"/>
          <w:szCs w:val="32"/>
        </w:rPr>
      </w:pPr>
      <w:r>
        <w:rPr>
          <w:rFonts w:hint="eastAsia"/>
          <w:szCs w:val="32"/>
        </w:rPr>
        <w:t>犯罪嫌疑人虽不具有前两款规定的自首情节，但是如实供述自己的罪行的，可以从轻处罚；因其如实供述自己罪行，避免特别严重后果发生的，可以减轻处罚。</w:t>
      </w:r>
    </w:p>
    <w:p>
      <w:pPr>
        <w:wordWrap w:val="0"/>
        <w:ind w:firstLine="650" w:firstLineChars="200"/>
        <w:rPr>
          <w:rFonts w:hint="eastAsia"/>
          <w:szCs w:val="32"/>
        </w:rPr>
      </w:pPr>
      <w:r>
        <w:rPr>
          <w:rFonts w:hint="eastAsia"/>
          <w:szCs w:val="32"/>
        </w:rPr>
        <w:t>三、</w:t>
      </w:r>
      <w:r>
        <w:rPr>
          <w:rFonts w:hint="eastAsia"/>
        </w:rPr>
        <w:t>《中华人民共和国刑法》</w:t>
      </w:r>
      <w:r>
        <w:rPr>
          <w:szCs w:val="32"/>
        </w:rPr>
        <w:t>第六十四条犯罪分子违法所得的一切财物，应当予以追缴或者责令退赔；对被害人的合法财产，应当及时返还；违禁品和供犯罪所用的本人财物，应当予以没收。没收的财物和罚金，一律上缴国库，不得挪用和自行处理。</w:t>
      </w:r>
      <w:r>
        <w:rPr>
          <w:rFonts w:hint="eastAsia"/>
          <w:szCs w:val="32"/>
        </w:rPr>
        <w:br w:type="textWrapping"/>
      </w:r>
      <w:bookmarkStart w:id="4" w:name="64"/>
      <w:r>
        <w:rPr>
          <w:rFonts w:hint="eastAsia"/>
          <w:szCs w:val="32"/>
        </w:rPr>
        <w:t xml:space="preserve">   </w:t>
      </w:r>
      <w:bookmarkEnd w:id="4"/>
      <w:r>
        <w:rPr>
          <w:rFonts w:hint="eastAsia"/>
          <w:szCs w:val="32"/>
        </w:rPr>
        <w:t xml:space="preserve"> </w:t>
      </w:r>
    </w:p>
    <w:p>
      <w:pPr>
        <w:wordWrap w:val="0"/>
        <w:ind w:firstLine="650" w:firstLineChars="200"/>
        <w:rPr>
          <w:rFonts w:hint="eastAsia" w:ascii="仿宋_GB2312"/>
          <w:szCs w:val="32"/>
        </w:rPr>
      </w:pPr>
      <w:r>
        <w:rPr>
          <w:rFonts w:hint="eastAsia"/>
          <w:szCs w:val="32"/>
        </w:rPr>
        <w:t xml:space="preserve"> 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1701" w:right="1418" w:bottom="1701" w:left="1701" w:header="0" w:footer="1361" w:gutter="0"/>
      <w:cols w:space="425" w:num="1"/>
      <w:docGrid w:type="linesAndChars" w:linePitch="516" w:charSpace="112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HorizontalSpacing w:val="325"/>
  <w:drawingGridVerticalSpacing w:val="2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5076"/>
    <w:rsid w:val="00001A40"/>
    <w:rsid w:val="00004C00"/>
    <w:rsid w:val="00013AA0"/>
    <w:rsid w:val="00030C6C"/>
    <w:rsid w:val="000352D5"/>
    <w:rsid w:val="00041FCF"/>
    <w:rsid w:val="00045AF5"/>
    <w:rsid w:val="00052BB1"/>
    <w:rsid w:val="000542C5"/>
    <w:rsid w:val="000612AD"/>
    <w:rsid w:val="00066BF0"/>
    <w:rsid w:val="00067FA7"/>
    <w:rsid w:val="00072E8C"/>
    <w:rsid w:val="000740BD"/>
    <w:rsid w:val="000778C6"/>
    <w:rsid w:val="00085E85"/>
    <w:rsid w:val="00086F94"/>
    <w:rsid w:val="0009077E"/>
    <w:rsid w:val="000A51B8"/>
    <w:rsid w:val="000A6917"/>
    <w:rsid w:val="000C5C8F"/>
    <w:rsid w:val="000F25B5"/>
    <w:rsid w:val="00110E87"/>
    <w:rsid w:val="00114B9F"/>
    <w:rsid w:val="00130601"/>
    <w:rsid w:val="00143670"/>
    <w:rsid w:val="0014641F"/>
    <w:rsid w:val="00151D01"/>
    <w:rsid w:val="0016129C"/>
    <w:rsid w:val="00170259"/>
    <w:rsid w:val="0017279D"/>
    <w:rsid w:val="001851A9"/>
    <w:rsid w:val="0019063A"/>
    <w:rsid w:val="001A5AAD"/>
    <w:rsid w:val="001B1FB6"/>
    <w:rsid w:val="001B3EC4"/>
    <w:rsid w:val="001C4082"/>
    <w:rsid w:val="001C5AD8"/>
    <w:rsid w:val="001D2A12"/>
    <w:rsid w:val="001E0B45"/>
    <w:rsid w:val="0020542E"/>
    <w:rsid w:val="00230043"/>
    <w:rsid w:val="00230A0B"/>
    <w:rsid w:val="002354A5"/>
    <w:rsid w:val="00243757"/>
    <w:rsid w:val="0025045D"/>
    <w:rsid w:val="00251748"/>
    <w:rsid w:val="0026576A"/>
    <w:rsid w:val="00270551"/>
    <w:rsid w:val="00272981"/>
    <w:rsid w:val="00294415"/>
    <w:rsid w:val="002B2274"/>
    <w:rsid w:val="00302E74"/>
    <w:rsid w:val="0032126A"/>
    <w:rsid w:val="00321543"/>
    <w:rsid w:val="00340309"/>
    <w:rsid w:val="00340B91"/>
    <w:rsid w:val="003549AC"/>
    <w:rsid w:val="00367D30"/>
    <w:rsid w:val="00372A1A"/>
    <w:rsid w:val="00372F46"/>
    <w:rsid w:val="003735DD"/>
    <w:rsid w:val="00376EB0"/>
    <w:rsid w:val="003830E5"/>
    <w:rsid w:val="003868BC"/>
    <w:rsid w:val="003923CE"/>
    <w:rsid w:val="0039680D"/>
    <w:rsid w:val="003C236C"/>
    <w:rsid w:val="003C3A52"/>
    <w:rsid w:val="003D2870"/>
    <w:rsid w:val="003E02C7"/>
    <w:rsid w:val="003F7C75"/>
    <w:rsid w:val="00403C5B"/>
    <w:rsid w:val="004262E2"/>
    <w:rsid w:val="00434F0F"/>
    <w:rsid w:val="00435A9E"/>
    <w:rsid w:val="00437A2A"/>
    <w:rsid w:val="00440895"/>
    <w:rsid w:val="004453C4"/>
    <w:rsid w:val="004543E5"/>
    <w:rsid w:val="004621F3"/>
    <w:rsid w:val="004773D6"/>
    <w:rsid w:val="00490889"/>
    <w:rsid w:val="00496601"/>
    <w:rsid w:val="004B4159"/>
    <w:rsid w:val="004C40ED"/>
    <w:rsid w:val="004D0261"/>
    <w:rsid w:val="004D39BC"/>
    <w:rsid w:val="004D6412"/>
    <w:rsid w:val="004D6B90"/>
    <w:rsid w:val="004E7004"/>
    <w:rsid w:val="0050292E"/>
    <w:rsid w:val="00511FE1"/>
    <w:rsid w:val="00515A1E"/>
    <w:rsid w:val="00523C96"/>
    <w:rsid w:val="00527473"/>
    <w:rsid w:val="005305F9"/>
    <w:rsid w:val="005413C1"/>
    <w:rsid w:val="00547967"/>
    <w:rsid w:val="00557E8B"/>
    <w:rsid w:val="00560CC6"/>
    <w:rsid w:val="00567D78"/>
    <w:rsid w:val="00573288"/>
    <w:rsid w:val="00583F41"/>
    <w:rsid w:val="0058604F"/>
    <w:rsid w:val="005973C9"/>
    <w:rsid w:val="005A7E83"/>
    <w:rsid w:val="005B22A7"/>
    <w:rsid w:val="005C1501"/>
    <w:rsid w:val="005C4D51"/>
    <w:rsid w:val="005D26F2"/>
    <w:rsid w:val="005D57C2"/>
    <w:rsid w:val="005D69E4"/>
    <w:rsid w:val="005F1E10"/>
    <w:rsid w:val="00610018"/>
    <w:rsid w:val="00610F52"/>
    <w:rsid w:val="00611F4A"/>
    <w:rsid w:val="0062079D"/>
    <w:rsid w:val="00641B1F"/>
    <w:rsid w:val="006500DC"/>
    <w:rsid w:val="006560B0"/>
    <w:rsid w:val="00672FF5"/>
    <w:rsid w:val="00674EDA"/>
    <w:rsid w:val="00686173"/>
    <w:rsid w:val="00693615"/>
    <w:rsid w:val="00694E22"/>
    <w:rsid w:val="006A289D"/>
    <w:rsid w:val="006C0AEA"/>
    <w:rsid w:val="006D3914"/>
    <w:rsid w:val="006D75F8"/>
    <w:rsid w:val="00714959"/>
    <w:rsid w:val="00726140"/>
    <w:rsid w:val="00726EC1"/>
    <w:rsid w:val="00733912"/>
    <w:rsid w:val="00733E8E"/>
    <w:rsid w:val="00734E66"/>
    <w:rsid w:val="00735EE7"/>
    <w:rsid w:val="00747BDC"/>
    <w:rsid w:val="0075695E"/>
    <w:rsid w:val="00775E13"/>
    <w:rsid w:val="0077765B"/>
    <w:rsid w:val="0078580E"/>
    <w:rsid w:val="00787D01"/>
    <w:rsid w:val="007A442B"/>
    <w:rsid w:val="007A4EED"/>
    <w:rsid w:val="007A6295"/>
    <w:rsid w:val="007D3F32"/>
    <w:rsid w:val="007F34C9"/>
    <w:rsid w:val="00810011"/>
    <w:rsid w:val="00812665"/>
    <w:rsid w:val="00827ABD"/>
    <w:rsid w:val="00835593"/>
    <w:rsid w:val="00842BD2"/>
    <w:rsid w:val="00845327"/>
    <w:rsid w:val="00847840"/>
    <w:rsid w:val="00855134"/>
    <w:rsid w:val="00856564"/>
    <w:rsid w:val="00877F1B"/>
    <w:rsid w:val="008853D4"/>
    <w:rsid w:val="00887C2C"/>
    <w:rsid w:val="0089291A"/>
    <w:rsid w:val="00893620"/>
    <w:rsid w:val="00893D6C"/>
    <w:rsid w:val="00894B57"/>
    <w:rsid w:val="008A2B01"/>
    <w:rsid w:val="008B1999"/>
    <w:rsid w:val="008B249E"/>
    <w:rsid w:val="008B7E7D"/>
    <w:rsid w:val="008D002B"/>
    <w:rsid w:val="008D433C"/>
    <w:rsid w:val="008E71F5"/>
    <w:rsid w:val="008F1A89"/>
    <w:rsid w:val="00906004"/>
    <w:rsid w:val="00925D15"/>
    <w:rsid w:val="00934C86"/>
    <w:rsid w:val="0094425C"/>
    <w:rsid w:val="00952259"/>
    <w:rsid w:val="00966986"/>
    <w:rsid w:val="00972036"/>
    <w:rsid w:val="009731CD"/>
    <w:rsid w:val="00976992"/>
    <w:rsid w:val="00983D76"/>
    <w:rsid w:val="00984ACC"/>
    <w:rsid w:val="00985756"/>
    <w:rsid w:val="00990C7F"/>
    <w:rsid w:val="009A28D6"/>
    <w:rsid w:val="009A7E5F"/>
    <w:rsid w:val="009B54F2"/>
    <w:rsid w:val="009F0274"/>
    <w:rsid w:val="00A06FFE"/>
    <w:rsid w:val="00A10949"/>
    <w:rsid w:val="00A10FF9"/>
    <w:rsid w:val="00A17E12"/>
    <w:rsid w:val="00A23F10"/>
    <w:rsid w:val="00A27611"/>
    <w:rsid w:val="00A278B5"/>
    <w:rsid w:val="00A46765"/>
    <w:rsid w:val="00A46C07"/>
    <w:rsid w:val="00A71ECC"/>
    <w:rsid w:val="00A741B1"/>
    <w:rsid w:val="00A8146E"/>
    <w:rsid w:val="00A863A0"/>
    <w:rsid w:val="00A86FBC"/>
    <w:rsid w:val="00A91790"/>
    <w:rsid w:val="00A91B51"/>
    <w:rsid w:val="00AB2C6E"/>
    <w:rsid w:val="00AB6244"/>
    <w:rsid w:val="00AC4726"/>
    <w:rsid w:val="00AC5D51"/>
    <w:rsid w:val="00AF5076"/>
    <w:rsid w:val="00B02AD1"/>
    <w:rsid w:val="00B046BF"/>
    <w:rsid w:val="00B05303"/>
    <w:rsid w:val="00B140F6"/>
    <w:rsid w:val="00B31B24"/>
    <w:rsid w:val="00B57CD4"/>
    <w:rsid w:val="00B76A35"/>
    <w:rsid w:val="00B83635"/>
    <w:rsid w:val="00B87E5A"/>
    <w:rsid w:val="00B92F63"/>
    <w:rsid w:val="00BB218C"/>
    <w:rsid w:val="00BC10F6"/>
    <w:rsid w:val="00BD47FC"/>
    <w:rsid w:val="00BD754B"/>
    <w:rsid w:val="00BF5EBA"/>
    <w:rsid w:val="00C0376B"/>
    <w:rsid w:val="00C10A42"/>
    <w:rsid w:val="00C13518"/>
    <w:rsid w:val="00C14BC0"/>
    <w:rsid w:val="00C27A3B"/>
    <w:rsid w:val="00C3286C"/>
    <w:rsid w:val="00C36562"/>
    <w:rsid w:val="00C408E7"/>
    <w:rsid w:val="00C40D9B"/>
    <w:rsid w:val="00C51AB6"/>
    <w:rsid w:val="00C5208D"/>
    <w:rsid w:val="00C55801"/>
    <w:rsid w:val="00C57A19"/>
    <w:rsid w:val="00C62123"/>
    <w:rsid w:val="00C75A12"/>
    <w:rsid w:val="00C84C33"/>
    <w:rsid w:val="00C8686E"/>
    <w:rsid w:val="00C90EBD"/>
    <w:rsid w:val="00C911DA"/>
    <w:rsid w:val="00C96079"/>
    <w:rsid w:val="00CA13BE"/>
    <w:rsid w:val="00CC2544"/>
    <w:rsid w:val="00CC3233"/>
    <w:rsid w:val="00CD2178"/>
    <w:rsid w:val="00CD4EEE"/>
    <w:rsid w:val="00CD78C2"/>
    <w:rsid w:val="00CE4EC5"/>
    <w:rsid w:val="00CF011D"/>
    <w:rsid w:val="00CF76EA"/>
    <w:rsid w:val="00D0499C"/>
    <w:rsid w:val="00D1011F"/>
    <w:rsid w:val="00D1704F"/>
    <w:rsid w:val="00D224EE"/>
    <w:rsid w:val="00D400B9"/>
    <w:rsid w:val="00D4407B"/>
    <w:rsid w:val="00D44528"/>
    <w:rsid w:val="00D62CE8"/>
    <w:rsid w:val="00D71D00"/>
    <w:rsid w:val="00D7696B"/>
    <w:rsid w:val="00D76C81"/>
    <w:rsid w:val="00D77E6E"/>
    <w:rsid w:val="00D812DF"/>
    <w:rsid w:val="00D83C08"/>
    <w:rsid w:val="00DA6617"/>
    <w:rsid w:val="00DB649F"/>
    <w:rsid w:val="00DB6509"/>
    <w:rsid w:val="00DE7178"/>
    <w:rsid w:val="00DF3CC3"/>
    <w:rsid w:val="00DF5921"/>
    <w:rsid w:val="00E07554"/>
    <w:rsid w:val="00E2250A"/>
    <w:rsid w:val="00E2545A"/>
    <w:rsid w:val="00E36938"/>
    <w:rsid w:val="00E473A0"/>
    <w:rsid w:val="00E5102B"/>
    <w:rsid w:val="00E60CAB"/>
    <w:rsid w:val="00E96C75"/>
    <w:rsid w:val="00EA16A2"/>
    <w:rsid w:val="00EC397F"/>
    <w:rsid w:val="00ED32D8"/>
    <w:rsid w:val="00EE216E"/>
    <w:rsid w:val="00EF653A"/>
    <w:rsid w:val="00F05D9E"/>
    <w:rsid w:val="00F2183B"/>
    <w:rsid w:val="00F230F1"/>
    <w:rsid w:val="00F2529B"/>
    <w:rsid w:val="00F301DD"/>
    <w:rsid w:val="00F31D19"/>
    <w:rsid w:val="00F34F76"/>
    <w:rsid w:val="00F56AAA"/>
    <w:rsid w:val="00F56F0F"/>
    <w:rsid w:val="00F64056"/>
    <w:rsid w:val="00F71BDA"/>
    <w:rsid w:val="00F75644"/>
    <w:rsid w:val="00F829A8"/>
    <w:rsid w:val="00F8335B"/>
    <w:rsid w:val="00F93A4F"/>
    <w:rsid w:val="00F94981"/>
    <w:rsid w:val="00FA0541"/>
    <w:rsid w:val="00FA23A9"/>
    <w:rsid w:val="00FA2495"/>
    <w:rsid w:val="00FA6BF0"/>
    <w:rsid w:val="00FB4AA2"/>
    <w:rsid w:val="00FD2D42"/>
    <w:rsid w:val="00FE0A1C"/>
    <w:rsid w:val="00FE1053"/>
    <w:rsid w:val="00FF13F6"/>
    <w:rsid w:val="00FF170D"/>
    <w:rsid w:val="00FF5E88"/>
    <w:rsid w:val="0F6C7781"/>
    <w:rsid w:val="17993FAB"/>
    <w:rsid w:val="6AC65A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ind w:firstLine="646"/>
    </w:pPr>
  </w:style>
  <w:style w:type="paragraph" w:styleId="3">
    <w:name w:val="Date"/>
    <w:basedOn w:val="1"/>
    <w:next w:val="1"/>
    <w:uiPriority w:val="0"/>
    <w:pPr>
      <w:ind w:left="100" w:leftChars="250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character" w:styleId="8">
    <w:name w:val="Hyperlink"/>
    <w:basedOn w:val="6"/>
    <w:uiPriority w:val="0"/>
    <w:rPr>
      <w:color w:val="0453CC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4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qq\&#26700;&#38754;\&#25991;&#20070;&#26679;&#24335;\&#34987;&#21578;&#20154;&#35748;&#32618;&#26696;&#20214;&#21009;&#20107;&#21028;&#20915;&#2007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被告人认罪案件刑事判决书.dot</Template>
  <Company>dlfy</Company>
  <Pages>1</Pages>
  <Words>278</Words>
  <Characters>1589</Characters>
  <Lines>13</Lines>
  <Paragraphs>3</Paragraphs>
  <TotalTime>0</TotalTime>
  <ScaleCrop>false</ScaleCrop>
  <LinksUpToDate>false</LinksUpToDate>
  <CharactersWithSpaces>1864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2014-06-18T01:20:00Z</dcterms:created>
  <dc:creator>qq</dc:creator>
  <cp:lastModifiedBy>TF-PC</cp:lastModifiedBy>
  <cp:lastPrinted>2008-06-02T02:37:00Z</cp:lastPrinted>
  <dcterms:modified xsi:type="dcterms:W3CDTF">2018-08-27T09:49:05Z</dcterms:modified>
  <dc:title>天津市东丽区人民法院刑事判决书（稿）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