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jc w:val="center"/>
        <w:rPr>
          <w:rFonts w:hint="eastAsia" w:eastAsia="宋体"/>
          <w:sz w:val="44"/>
        </w:rPr>
      </w:pPr>
      <w:bookmarkStart w:id="0" w:name="_GoBack"/>
      <w:bookmarkEnd w:id="0"/>
      <w:r>
        <w:rPr>
          <w:rFonts w:hint="eastAsia" w:eastAsia="宋体"/>
          <w:sz w:val="44"/>
        </w:rPr>
        <w:t>天津市东丽区人民法院</w:t>
      </w:r>
    </w:p>
    <w:p>
      <w:pPr>
        <w:spacing w:line="800" w:lineRule="exact"/>
        <w:jc w:val="center"/>
        <w:rPr>
          <w:rFonts w:hint="eastAsia" w:eastAsia="黑体"/>
          <w:sz w:val="52"/>
        </w:rPr>
      </w:pPr>
      <w:r>
        <w:rPr>
          <w:rFonts w:hint="eastAsia" w:eastAsia="宋体"/>
          <w:spacing w:val="50"/>
          <w:sz w:val="52"/>
        </w:rPr>
        <w:t>刑 事 判 决 书</w:t>
      </w:r>
    </w:p>
    <w:p>
      <w:pPr>
        <w:spacing w:line="800" w:lineRule="exact"/>
        <w:jc w:val="right"/>
        <w:rPr>
          <w:rFonts w:hint="eastAsia"/>
          <w:spacing w:val="-20"/>
        </w:rPr>
      </w:pPr>
      <w:r>
        <w:rPr>
          <w:rFonts w:hint="eastAsia"/>
          <w:spacing w:val="-20"/>
        </w:rPr>
        <w:t xml:space="preserve">                                          </w:t>
      </w:r>
      <w:r>
        <w:rPr>
          <w:rFonts w:hint="eastAsia" w:ascii="仿宋_GB2312"/>
          <w:spacing w:val="-20"/>
        </w:rPr>
        <w:t>（2014）</w:t>
      </w:r>
      <w:r>
        <w:rPr>
          <w:rFonts w:hint="eastAsia"/>
          <w:spacing w:val="-20"/>
        </w:rPr>
        <w:t>丽刑初字第770号</w:t>
      </w:r>
    </w:p>
    <w:tbl>
      <w:tblPr>
        <w:tblStyle w:val="12"/>
        <w:tblW w:w="90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3"/>
        <w:gridCol w:w="7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3" w:type="dxa"/>
            <w:vAlign w:val="top"/>
          </w:tcPr>
          <w:p>
            <w:pPr>
              <w:spacing w:line="800" w:lineRule="exact"/>
              <w:ind w:right="568"/>
              <w:rPr>
                <w:rFonts w:hint="eastAsia"/>
                <w:spacing w:val="-20"/>
              </w:rPr>
            </w:pPr>
            <w:r>
              <w:rPr>
                <w:rFonts w:hint="eastAsia"/>
                <w:spacing w:val="-20"/>
              </w:rPr>
              <w:t>院 长</w:t>
            </w:r>
          </w:p>
          <w:p>
            <w:pPr>
              <w:spacing w:line="800" w:lineRule="exact"/>
              <w:ind w:right="568"/>
              <w:rPr>
                <w:rFonts w:hint="eastAsia"/>
                <w:spacing w:val="-20"/>
              </w:rPr>
            </w:pPr>
            <w:r>
              <w:rPr>
                <w:rFonts w:hint="eastAsia"/>
                <w:spacing w:val="-20"/>
              </w:rPr>
              <w:t>批 示</w:t>
            </w:r>
          </w:p>
        </w:tc>
        <w:tc>
          <w:tcPr>
            <w:tcW w:w="7271" w:type="dxa"/>
            <w:vAlign w:val="top"/>
          </w:tcPr>
          <w:p>
            <w:pPr>
              <w:spacing w:line="800" w:lineRule="exact"/>
              <w:jc w:val="right"/>
              <w:rPr>
                <w:rFonts w:hint="eastAsia"/>
                <w:spacing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3" w:type="dxa"/>
            <w:vAlign w:val="top"/>
          </w:tcPr>
          <w:p>
            <w:pPr>
              <w:spacing w:line="800" w:lineRule="exact"/>
              <w:ind w:right="568"/>
              <w:rPr>
                <w:rFonts w:hint="eastAsia"/>
                <w:spacing w:val="-20"/>
              </w:rPr>
            </w:pPr>
            <w:r>
              <w:rPr>
                <w:rFonts w:hint="eastAsia"/>
                <w:spacing w:val="-20"/>
              </w:rPr>
              <w:t>庭 长</w:t>
            </w:r>
          </w:p>
          <w:p>
            <w:pPr>
              <w:spacing w:line="800" w:lineRule="exact"/>
              <w:ind w:right="568"/>
              <w:rPr>
                <w:rFonts w:hint="eastAsia"/>
                <w:spacing w:val="-20"/>
              </w:rPr>
            </w:pPr>
            <w:r>
              <w:rPr>
                <w:rFonts w:hint="eastAsia"/>
                <w:spacing w:val="-20"/>
              </w:rPr>
              <w:t>批 示</w:t>
            </w:r>
          </w:p>
        </w:tc>
        <w:tc>
          <w:tcPr>
            <w:tcW w:w="7271" w:type="dxa"/>
            <w:vAlign w:val="top"/>
          </w:tcPr>
          <w:p>
            <w:pPr>
              <w:spacing w:line="800" w:lineRule="exact"/>
              <w:jc w:val="right"/>
              <w:rPr>
                <w:rFonts w:hint="eastAsia"/>
                <w:spacing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3" w:type="dxa"/>
            <w:vAlign w:val="top"/>
          </w:tcPr>
          <w:p>
            <w:pPr>
              <w:spacing w:line="800" w:lineRule="exact"/>
              <w:ind w:right="568"/>
              <w:rPr>
                <w:rFonts w:hint="eastAsia"/>
                <w:spacing w:val="-20"/>
              </w:rPr>
            </w:pPr>
            <w:r>
              <w:rPr>
                <w:rFonts w:hint="eastAsia"/>
                <w:spacing w:val="-20"/>
              </w:rPr>
              <w:t>合</w:t>
            </w:r>
          </w:p>
          <w:p>
            <w:pPr>
              <w:spacing w:line="800" w:lineRule="exact"/>
              <w:ind w:right="568"/>
              <w:rPr>
                <w:rFonts w:hint="eastAsia"/>
                <w:spacing w:val="-20"/>
              </w:rPr>
            </w:pPr>
            <w:r>
              <w:rPr>
                <w:rFonts w:hint="eastAsia"/>
                <w:spacing w:val="-20"/>
              </w:rPr>
              <w:t>议</w:t>
            </w:r>
          </w:p>
          <w:p>
            <w:pPr>
              <w:spacing w:line="800" w:lineRule="exact"/>
              <w:ind w:right="568"/>
              <w:rPr>
                <w:rFonts w:hint="eastAsia"/>
                <w:spacing w:val="-20"/>
              </w:rPr>
            </w:pPr>
            <w:r>
              <w:rPr>
                <w:rFonts w:hint="eastAsia"/>
                <w:spacing w:val="-20"/>
              </w:rPr>
              <w:t>庭</w:t>
            </w:r>
          </w:p>
        </w:tc>
        <w:tc>
          <w:tcPr>
            <w:tcW w:w="7271" w:type="dxa"/>
            <w:vAlign w:val="top"/>
          </w:tcPr>
          <w:p>
            <w:pPr>
              <w:spacing w:line="800" w:lineRule="exact"/>
              <w:ind w:right="648"/>
              <w:rPr>
                <w:rFonts w:hint="eastAsia" w:ascii="仿宋_GB2312"/>
              </w:rPr>
            </w:pPr>
            <w:r>
              <w:rPr>
                <w:rFonts w:hint="eastAsia" w:ascii="仿宋_GB2312"/>
              </w:rPr>
              <w:t>被告人</w:t>
            </w:r>
            <w:r>
              <w:rPr>
                <w:rFonts w:hint="eastAsia" w:ascii="仿宋_GB2312" w:hAnsi="宋体"/>
                <w:szCs w:val="32"/>
              </w:rPr>
              <w:t>陈贵章</w:t>
            </w:r>
            <w:r>
              <w:rPr>
                <w:rFonts w:hint="eastAsia" w:ascii="仿宋_GB2312"/>
              </w:rPr>
              <w:t>犯</w:t>
            </w:r>
            <w:r>
              <w:rPr>
                <w:rFonts w:hint="eastAsia" w:ascii="仿宋_GB2312" w:hAnsi="宋体"/>
                <w:szCs w:val="32"/>
              </w:rPr>
              <w:t>信用卡诈骗</w:t>
            </w:r>
            <w:r>
              <w:rPr>
                <w:rFonts w:hint="eastAsia" w:ascii="仿宋_GB2312"/>
              </w:rPr>
              <w:t>罪，判处有期徒刑五年，并处罚金人民币50000元。</w:t>
            </w:r>
          </w:p>
          <w:p>
            <w:pPr>
              <w:spacing w:line="800" w:lineRule="exact"/>
              <w:ind w:right="648"/>
              <w:rPr>
                <w:rFonts w:hint="eastAsia"/>
                <w:spacing w:val="-20"/>
              </w:rPr>
            </w:pPr>
            <w:r>
              <w:rPr>
                <w:rFonts w:hint="eastAsia" w:ascii="仿宋_GB2312"/>
              </w:rPr>
              <w:t xml:space="preserve">               承办人：张亚玲14、12、15</w:t>
            </w:r>
          </w:p>
        </w:tc>
      </w:tr>
    </w:tbl>
    <w:p>
      <w:pPr>
        <w:spacing w:line="500" w:lineRule="exact"/>
        <w:rPr>
          <w:rFonts w:hint="eastAsia" w:ascii="仿宋_GB2312"/>
          <w:spacing w:val="-20"/>
        </w:rPr>
      </w:pPr>
    </w:p>
    <w:p>
      <w:pPr>
        <w:spacing w:line="520" w:lineRule="exact"/>
        <w:ind w:firstLine="646"/>
        <w:rPr>
          <w:rFonts w:hint="eastAsia" w:ascii="仿宋_GB2312"/>
        </w:rPr>
      </w:pPr>
      <w:r>
        <w:rPr>
          <w:rFonts w:hint="eastAsia" w:ascii="仿宋_GB2312"/>
        </w:rPr>
        <w:t>公诉机关天津市东丽区人民检察院。</w:t>
      </w:r>
    </w:p>
    <w:p>
      <w:pPr>
        <w:ind w:firstLine="642" w:firstLineChars="198"/>
        <w:rPr>
          <w:rFonts w:ascii="宋体" w:hAnsi="宋体"/>
        </w:rPr>
      </w:pPr>
      <w:r>
        <w:rPr>
          <w:rFonts w:hint="eastAsia" w:ascii="宋体" w:hAnsi="宋体"/>
        </w:rPr>
        <w:t>被告人陈贵章（身份证号码352230198406090614），男，1984年6月9日出生于福建省宁德市，汉族，个体经营者，小学文化，住福建省宁德市周宁县泗桥乡周墩村棋盘路17号。2014年4月24日因涉嫌犯信用卡诈骗罪被刑事拘留，同年5月7日被依法逮捕，现羁押于天津市东丽区看守所。</w:t>
      </w:r>
    </w:p>
    <w:p>
      <w:pPr>
        <w:spacing w:line="520" w:lineRule="exact"/>
        <w:ind w:firstLine="650" w:firstLineChars="200"/>
        <w:rPr>
          <w:rFonts w:hint="eastAsia" w:ascii="仿宋_GB2312" w:hAnsi="宋体"/>
          <w:szCs w:val="32"/>
        </w:rPr>
      </w:pPr>
      <w:r>
        <w:rPr>
          <w:rFonts w:hint="eastAsia" w:ascii="仿宋_GB2312" w:hAnsi="宋体"/>
          <w:szCs w:val="32"/>
        </w:rPr>
        <w:t>天津市东丽区人民检察院以津丽检公诉刑诉（2014）757号起诉书指控被告人陈贵章犯</w:t>
      </w:r>
      <w:r>
        <w:rPr>
          <w:rFonts w:hint="eastAsia" w:ascii="宋体" w:hAnsi="宋体"/>
        </w:rPr>
        <w:t>信用卡诈骗</w:t>
      </w:r>
      <w:r>
        <w:rPr>
          <w:rFonts w:hint="eastAsia" w:ascii="仿宋_GB2312" w:hAnsi="宋体"/>
          <w:szCs w:val="32"/>
        </w:rPr>
        <w:t>罪，于2014年11月28日向本院提起公诉。本院</w:t>
      </w:r>
      <w:r>
        <w:rPr>
          <w:rFonts w:hint="eastAsia" w:ascii="宋体" w:hAnsi="宋体"/>
        </w:rPr>
        <w:t>依法组成合议庭，公开开庭审理了本案。天津市东丽区人民检察院指派</w:t>
      </w:r>
      <w:r>
        <w:rPr>
          <w:rFonts w:hint="eastAsia" w:ascii="仿宋_GB2312" w:hAnsi="宋体"/>
          <w:szCs w:val="32"/>
        </w:rPr>
        <w:t>代理检察员王秀鹏出庭支持公诉，被告人</w:t>
      </w:r>
      <w:r>
        <w:rPr>
          <w:rFonts w:hint="eastAsia" w:ascii="宋体" w:hAnsi="宋体"/>
        </w:rPr>
        <w:t>陈贵章</w:t>
      </w:r>
      <w:r>
        <w:rPr>
          <w:rFonts w:hint="eastAsia" w:ascii="仿宋_GB2312" w:hAnsi="宋体"/>
          <w:szCs w:val="32"/>
        </w:rPr>
        <w:t>到庭参加诉讼。现已审理终结。</w:t>
      </w:r>
    </w:p>
    <w:p>
      <w:pPr>
        <w:snapToGrid w:val="0"/>
        <w:spacing w:line="520" w:lineRule="exact"/>
        <w:ind w:firstLine="650" w:firstLineChars="200"/>
        <w:rPr>
          <w:rFonts w:hint="eastAsia" w:ascii="仿宋_GB2312" w:hAnsi="宋体"/>
          <w:szCs w:val="32"/>
        </w:rPr>
      </w:pPr>
      <w:r>
        <w:rPr>
          <w:rFonts w:hint="eastAsia" w:ascii="仿宋_GB2312" w:hAnsi="宋体"/>
          <w:szCs w:val="32"/>
        </w:rPr>
        <w:t>经审理查明，2011年8月，被告人陈贵章在中国农业银行股份有限公司天津东丽支行申领了信用卡一张（户名：陈贵章，卡号：4637580003466996），信用额度为人民币10万元。截止到2013年2月26日最后一次还款后，陈贵章透支该信用卡本金共计人民币99917.12元，后经发卡银行多次催收，陈贵章以变更联系方式等手段逃避银行催收，超过三个月仍未还款。</w:t>
      </w:r>
    </w:p>
    <w:p>
      <w:pPr>
        <w:snapToGrid w:val="0"/>
        <w:spacing w:line="520" w:lineRule="exact"/>
        <w:ind w:firstLine="650" w:firstLineChars="200"/>
        <w:rPr>
          <w:rFonts w:hint="eastAsia" w:ascii="仿宋_GB2312" w:hAnsi="宋体"/>
          <w:szCs w:val="32"/>
        </w:rPr>
      </w:pPr>
      <w:r>
        <w:rPr>
          <w:rFonts w:hint="eastAsia" w:ascii="仿宋_GB2312" w:hAnsi="宋体"/>
          <w:szCs w:val="32"/>
        </w:rPr>
        <w:t>2011年11月，陈贵章在华夏银行股份有限公司天津分行申领了信用卡一张（户名：陈贵章，卡号：6226388000821219），信用额度为人民币5万元。截止到2013年1月8日最后一次还款后，陈贵章透支该信用卡本金共计人民币46582.34元，经发卡银行多次催收，陈贵章以变更联系方式等手段逃避银行催收，超过三个月仍未还款。</w:t>
      </w:r>
    </w:p>
    <w:p>
      <w:pPr>
        <w:snapToGrid w:val="0"/>
        <w:spacing w:line="520" w:lineRule="exact"/>
        <w:ind w:firstLine="650" w:firstLineChars="200"/>
        <w:rPr>
          <w:rFonts w:hint="eastAsia" w:ascii="仿宋_GB2312" w:hAnsi="宋体"/>
          <w:szCs w:val="32"/>
        </w:rPr>
      </w:pPr>
      <w:r>
        <w:rPr>
          <w:rFonts w:hint="eastAsia" w:ascii="仿宋_GB2312" w:hAnsi="宋体"/>
          <w:szCs w:val="32"/>
        </w:rPr>
        <w:t>2014年4月19日，陈贵章被上海市公安机关抓获归案。</w:t>
      </w:r>
    </w:p>
    <w:p>
      <w:pPr>
        <w:overflowPunct w:val="0"/>
        <w:spacing w:line="520" w:lineRule="exact"/>
        <w:ind w:firstLine="650" w:firstLineChars="200"/>
        <w:rPr>
          <w:rFonts w:hint="eastAsia" w:ascii="仿宋_GB2312" w:hAnsi="宋体"/>
          <w:szCs w:val="32"/>
        </w:rPr>
      </w:pPr>
      <w:r>
        <w:rPr>
          <w:rFonts w:hint="eastAsia" w:ascii="仿宋_GB2312"/>
        </w:rPr>
        <w:t>上述案件事实，被告人陈贵章在开庭审理过程中未表异议，且有</w:t>
      </w:r>
      <w:r>
        <w:rPr>
          <w:rFonts w:hint="eastAsia" w:ascii="仿宋_GB2312" w:hAnsi="宋体"/>
          <w:szCs w:val="32"/>
        </w:rPr>
        <w:t>陈贵章在公安机关的供述，证人王永明、徐雯、叶美珍、吴美华、陈建平、肖志珠的证言，申办信用卡的相关手续，华夏银行信用卡交易明细表，银行催收账户交易历史记录，公安机关出具的案件来源及抓获经过、情况说明，扣押处理物品清单，被告人身份证明材料等证据</w:t>
      </w:r>
      <w:r>
        <w:rPr>
          <w:rFonts w:hint="eastAsia" w:ascii="仿宋_GB2312"/>
        </w:rPr>
        <w:t>予以证明，足以认定。</w:t>
      </w:r>
    </w:p>
    <w:p>
      <w:pPr>
        <w:spacing w:line="520" w:lineRule="exact"/>
        <w:ind w:firstLine="650" w:firstLineChars="200"/>
        <w:rPr>
          <w:rFonts w:hint="eastAsia"/>
        </w:rPr>
      </w:pPr>
      <w:r>
        <w:rPr>
          <w:rFonts w:hint="eastAsia"/>
        </w:rPr>
        <w:t>本院认为，</w:t>
      </w:r>
      <w:r>
        <w:rPr>
          <w:rFonts w:hint="eastAsia" w:ascii="仿宋_GB2312" w:hAnsi="宋体"/>
          <w:szCs w:val="32"/>
        </w:rPr>
        <w:t>被告人陈贵章以非法占有为目的，使用信用卡超过规定期限透支本金共计14万余元，并经发卡银行多次催收后超过三个月仍不归还，系恶意透支，数额巨大，其行为已构成信用卡诈骗罪，依法应予处罚。公诉机关指控意见正确，本院予以支持。鉴于陈贵章归案后能如实供认所犯罪行，认罪态度较好，依法可对其从轻处罚。</w:t>
      </w:r>
      <w:r>
        <w:rPr>
          <w:rFonts w:hint="eastAsia" w:ascii="仿宋_GB2312"/>
        </w:rPr>
        <w:t>综上，本院依据《中华人民共和国刑法》第一百九十六条第一款（四）项、第六十七条第三款、第六十四条之规定，判决如下：</w:t>
      </w:r>
    </w:p>
    <w:p>
      <w:pPr>
        <w:spacing w:line="500" w:lineRule="exact"/>
        <w:ind w:firstLine="812" w:firstLineChars="250"/>
        <w:rPr>
          <w:rFonts w:hint="eastAsia" w:ascii="仿宋_GB2312"/>
        </w:rPr>
      </w:pPr>
      <w:r>
        <w:rPr>
          <w:rFonts w:hint="eastAsia" w:ascii="仿宋_GB2312"/>
        </w:rPr>
        <w:t>一、被告人</w:t>
      </w:r>
      <w:r>
        <w:rPr>
          <w:rFonts w:hint="eastAsia" w:ascii="仿宋_GB2312" w:hAnsi="宋体"/>
          <w:szCs w:val="32"/>
        </w:rPr>
        <w:t>陈贵章</w:t>
      </w:r>
      <w:r>
        <w:rPr>
          <w:rFonts w:hint="eastAsia" w:ascii="仿宋_GB2312"/>
        </w:rPr>
        <w:t>犯</w:t>
      </w:r>
      <w:r>
        <w:rPr>
          <w:rFonts w:hint="eastAsia" w:ascii="仿宋_GB2312" w:hAnsi="宋体"/>
          <w:szCs w:val="32"/>
        </w:rPr>
        <w:t>信用卡诈骗</w:t>
      </w:r>
      <w:r>
        <w:rPr>
          <w:rFonts w:hint="eastAsia" w:ascii="仿宋_GB2312"/>
        </w:rPr>
        <w:t>罪，判处有期徒刑五年，并处罚金人民币50000元（刑期自判决执行之日起计算。判决执行以前先行羁押的羁押一日折抵刑期一日，即自2014年4月19日起至2019年4月18日止）。</w:t>
      </w:r>
    </w:p>
    <w:p>
      <w:pPr>
        <w:ind w:firstLine="646"/>
        <w:rPr>
          <w:rFonts w:hint="eastAsia" w:ascii="仿宋_GB2312"/>
          <w:kern w:val="10"/>
        </w:rPr>
      </w:pPr>
      <w:r>
        <w:rPr>
          <w:rFonts w:hint="eastAsia" w:ascii="仿宋_GB2312"/>
          <w:kern w:val="10"/>
        </w:rPr>
        <w:t>以上罚金于判决书生效后十日内交付本院。</w:t>
      </w:r>
    </w:p>
    <w:p>
      <w:pPr>
        <w:ind w:firstLine="646"/>
        <w:rPr>
          <w:rFonts w:hint="eastAsia" w:ascii="仿宋_GB2312"/>
          <w:kern w:val="10"/>
        </w:rPr>
      </w:pPr>
      <w:r>
        <w:rPr>
          <w:rFonts w:hint="eastAsia" w:ascii="仿宋_GB2312"/>
          <w:kern w:val="10"/>
        </w:rPr>
        <w:t>二、责令被告人陈贵章退赔中国</w:t>
      </w:r>
      <w:r>
        <w:rPr>
          <w:rFonts w:hint="eastAsia" w:ascii="仿宋_GB2312" w:hAnsi="宋体"/>
          <w:szCs w:val="32"/>
        </w:rPr>
        <w:t>农业银行股份有限公司天津东丽支行人民币99917.12元，退赔华夏银行股份有限公司天津分行人民币46582.34元。</w:t>
      </w:r>
    </w:p>
    <w:p>
      <w:pPr>
        <w:spacing w:line="520" w:lineRule="exact"/>
        <w:ind w:firstLine="650" w:firstLineChars="200"/>
        <w:rPr>
          <w:rFonts w:hint="eastAsia" w:ascii="仿宋_GB2312"/>
        </w:rPr>
      </w:pPr>
      <w:r>
        <w:rPr>
          <w:rFonts w:hint="eastAsia" w:ascii="仿宋_GB2312"/>
        </w:rPr>
        <w:t>如不服本判决，可于接到判决书的第二日起十日内，通过本院或直接向天津市第二中级人民法院提出上诉，书面上诉的，应交上诉状正本一份，副本二份。</w:t>
      </w:r>
    </w:p>
    <w:p>
      <w:pPr>
        <w:spacing w:line="520" w:lineRule="exact"/>
        <w:ind w:left="5768" w:leftChars="1775"/>
        <w:rPr>
          <w:rFonts w:hint="eastAsia" w:ascii="仿宋_GB2312"/>
        </w:rPr>
      </w:pPr>
    </w:p>
    <w:p>
      <w:pPr>
        <w:spacing w:line="520" w:lineRule="exact"/>
        <w:ind w:left="5768" w:leftChars="1775"/>
        <w:rPr>
          <w:rFonts w:hint="eastAsia" w:ascii="仿宋_GB2312"/>
        </w:rPr>
      </w:pPr>
      <w:r>
        <w:rPr>
          <w:rFonts w:hint="eastAsia" w:ascii="仿宋_GB2312"/>
        </w:rPr>
        <w:t xml:space="preserve">审  判  长  张亚玲   </w:t>
      </w:r>
    </w:p>
    <w:p>
      <w:pPr>
        <w:spacing w:line="520" w:lineRule="exact"/>
        <w:ind w:firstLine="5771" w:firstLineChars="1776"/>
        <w:rPr>
          <w:rFonts w:hint="eastAsia" w:ascii="宋体" w:hAnsi="宋体" w:eastAsia="宋体" w:cs="宋体"/>
        </w:rPr>
      </w:pPr>
      <w:r>
        <w:rPr>
          <w:rFonts w:hint="eastAsia" w:ascii="仿宋_GB2312"/>
        </w:rPr>
        <w:t xml:space="preserve">代理审判员  张  </w:t>
      </w:r>
      <w:r>
        <w:rPr>
          <w:rFonts w:hint="eastAsia" w:ascii="宋体" w:hAnsi="宋体" w:eastAsia="宋体" w:cs="宋体"/>
        </w:rPr>
        <w:t>喆</w:t>
      </w:r>
    </w:p>
    <w:p>
      <w:pPr>
        <w:spacing w:line="520" w:lineRule="exact"/>
        <w:ind w:firstLine="5602" w:firstLineChars="1724"/>
        <w:rPr>
          <w:rFonts w:hint="eastAsia" w:ascii="仿宋_GB2312" w:hAnsi="宋体" w:cs="宋体"/>
        </w:rPr>
      </w:pPr>
      <w:r>
        <w:rPr>
          <w:rFonts w:hint="eastAsia" w:ascii="宋体" w:hAnsi="宋体" w:eastAsia="宋体" w:cs="宋体"/>
        </w:rPr>
        <w:t xml:space="preserve"> </w:t>
      </w:r>
      <w:r>
        <w:rPr>
          <w:rFonts w:hint="eastAsia" w:ascii="仿宋_GB2312" w:hAnsi="宋体" w:cs="宋体"/>
        </w:rPr>
        <w:t>人民陪审员  李  芸</w:t>
      </w:r>
    </w:p>
    <w:p>
      <w:pPr>
        <w:spacing w:line="520" w:lineRule="exact"/>
        <w:ind w:firstLine="5602" w:firstLineChars="1724"/>
        <w:rPr>
          <w:rFonts w:hint="eastAsia" w:ascii="仿宋_GB2312" w:hAnsi="宋体" w:cs="宋体"/>
        </w:rPr>
      </w:pPr>
    </w:p>
    <w:p>
      <w:pPr>
        <w:spacing w:line="520" w:lineRule="exact"/>
        <w:ind w:left="4160" w:firstLine="645"/>
        <w:jc w:val="right"/>
        <w:rPr>
          <w:rFonts w:ascii="仿宋_GB2312"/>
        </w:rPr>
      </w:pPr>
      <w:r>
        <w:rPr>
          <w:rFonts w:hint="eastAsia" w:ascii="仿宋_GB2312"/>
        </w:rPr>
        <w:t>二</w:t>
      </w:r>
      <w:r>
        <w:rPr>
          <w:rFonts w:hint="eastAsia" w:ascii="宋体" w:hAnsi="宋体" w:eastAsia="宋体" w:cs="宋体"/>
        </w:rPr>
        <w:t>〇</w:t>
      </w:r>
      <w:r>
        <w:rPr>
          <w:rFonts w:hint="eastAsia" w:ascii="仿宋_GB2312" w:hAnsi="仿宋_GB2312" w:cs="仿宋_GB2312"/>
        </w:rPr>
        <w:t>一四年十二月十五日</w:t>
      </w:r>
    </w:p>
    <w:p>
      <w:pPr>
        <w:spacing w:line="520" w:lineRule="exact"/>
        <w:ind w:firstLine="162" w:firstLineChars="50"/>
        <w:rPr>
          <w:rFonts w:hint="eastAsia" w:ascii="仿宋_GB2312"/>
        </w:rPr>
      </w:pPr>
    </w:p>
    <w:p>
      <w:pPr>
        <w:spacing w:line="520" w:lineRule="exact"/>
        <w:ind w:firstLine="5785" w:firstLineChars="1780"/>
        <w:rPr>
          <w:rFonts w:hint="eastAsia" w:ascii="仿宋_GB2312"/>
        </w:rPr>
      </w:pPr>
      <w:r>
        <w:rPr>
          <w:rFonts w:hint="eastAsia" w:ascii="仿宋_GB2312"/>
        </w:rPr>
        <w:t>书</w:t>
      </w:r>
      <w:r>
        <w:rPr>
          <w:rFonts w:ascii="仿宋_GB2312"/>
        </w:rPr>
        <w:t xml:space="preserve">  </w:t>
      </w:r>
      <w:r>
        <w:rPr>
          <w:rFonts w:hint="eastAsia" w:ascii="仿宋_GB2312"/>
        </w:rPr>
        <w:t>记</w:t>
      </w:r>
      <w:r>
        <w:rPr>
          <w:rFonts w:ascii="仿宋_GB2312"/>
        </w:rPr>
        <w:t xml:space="preserve">  </w:t>
      </w:r>
      <w:r>
        <w:rPr>
          <w:rFonts w:hint="eastAsia" w:ascii="仿宋_GB2312"/>
        </w:rPr>
        <w:t>员</w:t>
      </w:r>
      <w:r>
        <w:rPr>
          <w:rFonts w:ascii="仿宋_GB2312"/>
        </w:rPr>
        <w:t xml:space="preserve">  </w:t>
      </w:r>
      <w:r>
        <w:rPr>
          <w:rFonts w:hint="eastAsia" w:ascii="仿宋_GB2312"/>
        </w:rPr>
        <w:t>李  陆</w:t>
      </w:r>
    </w:p>
    <w:p>
      <w:pPr>
        <w:ind w:firstLine="5785" w:firstLineChars="1780"/>
        <w:rPr>
          <w:rFonts w:hint="eastAsia" w:ascii="仿宋_GB2312"/>
          <w:szCs w:val="32"/>
        </w:rPr>
      </w:pPr>
      <w:r>
        <w:rPr>
          <w:rFonts w:hint="eastAsia" w:ascii="仿宋_GB2312"/>
          <w:szCs w:val="32"/>
        </w:rPr>
        <w:t>速  录  员  王  玮</w:t>
      </w:r>
    </w:p>
    <w:p>
      <w:pPr>
        <w:tabs>
          <w:tab w:val="left" w:pos="1884"/>
        </w:tabs>
        <w:spacing w:line="500" w:lineRule="exact"/>
        <w:ind w:right="628" w:firstLine="1460" w:firstLineChars="400"/>
        <w:jc w:val="center"/>
        <w:rPr>
          <w:rFonts w:hint="eastAsia" w:ascii="黑体" w:eastAsia="黑体"/>
          <w:sz w:val="36"/>
          <w:szCs w:val="36"/>
        </w:rPr>
      </w:pPr>
    </w:p>
    <w:p>
      <w:pPr>
        <w:tabs>
          <w:tab w:val="left" w:pos="1884"/>
        </w:tabs>
        <w:spacing w:line="500" w:lineRule="exact"/>
        <w:ind w:right="628" w:firstLine="1460" w:firstLineChars="400"/>
        <w:jc w:val="center"/>
        <w:rPr>
          <w:rFonts w:hint="eastAsia" w:ascii="黑体" w:eastAsia="黑体"/>
          <w:sz w:val="36"/>
          <w:szCs w:val="36"/>
        </w:rPr>
      </w:pPr>
      <w:r>
        <w:rPr>
          <w:rFonts w:hint="eastAsia" w:ascii="黑体" w:eastAsia="黑体"/>
          <w:sz w:val="36"/>
          <w:szCs w:val="36"/>
        </w:rPr>
        <w:t>本判决所依据的相关法律、法规</w:t>
      </w:r>
    </w:p>
    <w:p>
      <w:pPr>
        <w:tabs>
          <w:tab w:val="left" w:pos="1884"/>
        </w:tabs>
        <w:spacing w:line="500" w:lineRule="exact"/>
        <w:ind w:right="628" w:firstLine="1460" w:firstLineChars="400"/>
        <w:jc w:val="center"/>
        <w:rPr>
          <w:rFonts w:hint="eastAsia" w:ascii="黑体" w:eastAsia="黑体"/>
          <w:sz w:val="36"/>
          <w:szCs w:val="36"/>
        </w:rPr>
      </w:pPr>
    </w:p>
    <w:p>
      <w:pPr>
        <w:ind w:firstLine="805" w:firstLineChars="248"/>
        <w:rPr>
          <w:rFonts w:hint="eastAsia" w:ascii="仿宋_GB2312"/>
          <w:szCs w:val="21"/>
        </w:rPr>
      </w:pPr>
      <w:r>
        <w:rPr>
          <w:rFonts w:hint="eastAsia"/>
        </w:rPr>
        <w:t>一、《中华人民共和国刑法》第一百九十六条：</w:t>
      </w:r>
      <w:r>
        <w:rPr>
          <w:rFonts w:hint="eastAsia" w:ascii="仿宋_GB2312"/>
          <w:szCs w:val="21"/>
        </w:rPr>
        <w:t>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rPr>
          <w:rFonts w:hint="eastAsia" w:ascii="仿宋_GB2312"/>
          <w:szCs w:val="21"/>
        </w:rPr>
      </w:pPr>
      <w:r>
        <w:rPr>
          <w:rFonts w:hint="eastAsia" w:ascii="仿宋_GB2312"/>
          <w:szCs w:val="21"/>
        </w:rPr>
        <w:t>　　（一）使用伪造的信用卡，或者使用以虚假的身份证明骗领的信用卡的；</w:t>
      </w:r>
    </w:p>
    <w:p>
      <w:pPr>
        <w:rPr>
          <w:rFonts w:hint="eastAsia" w:ascii="仿宋_GB2312"/>
          <w:szCs w:val="21"/>
        </w:rPr>
      </w:pPr>
      <w:r>
        <w:rPr>
          <w:rFonts w:hint="eastAsia" w:ascii="仿宋_GB2312"/>
          <w:szCs w:val="21"/>
        </w:rPr>
        <w:t>　　（二）使用作废的信用卡的；</w:t>
      </w:r>
    </w:p>
    <w:p>
      <w:pPr>
        <w:rPr>
          <w:rFonts w:hint="eastAsia" w:ascii="仿宋_GB2312"/>
          <w:szCs w:val="21"/>
        </w:rPr>
      </w:pPr>
      <w:r>
        <w:rPr>
          <w:rFonts w:hint="eastAsia" w:ascii="仿宋_GB2312"/>
          <w:szCs w:val="21"/>
        </w:rPr>
        <w:t>　　（三）冒用他人信用卡的；</w:t>
      </w:r>
    </w:p>
    <w:p>
      <w:pPr>
        <w:rPr>
          <w:rFonts w:hint="eastAsia" w:ascii="仿宋_GB2312"/>
          <w:szCs w:val="21"/>
        </w:rPr>
      </w:pPr>
      <w:r>
        <w:rPr>
          <w:rFonts w:hint="eastAsia" w:ascii="仿宋_GB2312"/>
          <w:szCs w:val="21"/>
        </w:rPr>
        <w:t>　　（四）恶意透支的。</w:t>
      </w:r>
    </w:p>
    <w:p>
      <w:pPr>
        <w:rPr>
          <w:rFonts w:hint="eastAsia" w:ascii="仿宋_GB2312"/>
          <w:szCs w:val="21"/>
        </w:rPr>
      </w:pPr>
      <w:r>
        <w:rPr>
          <w:rFonts w:hint="eastAsia" w:ascii="仿宋_GB2312"/>
          <w:szCs w:val="21"/>
        </w:rPr>
        <w:t>　　前款所称恶意透支，是指持卡人以非法占有为目的，超过规定限额或者规定期限透支，并且经发卡银行催收后仍不归还的行为。</w:t>
      </w:r>
    </w:p>
    <w:p>
      <w:pPr>
        <w:rPr>
          <w:rFonts w:hint="eastAsia" w:ascii="仿宋_GB2312"/>
          <w:szCs w:val="21"/>
        </w:rPr>
      </w:pPr>
      <w:r>
        <w:rPr>
          <w:rFonts w:hint="eastAsia" w:ascii="仿宋_GB2312"/>
          <w:szCs w:val="21"/>
        </w:rPr>
        <w:t>　　盗窃信用卡并使用的，依照本法第二百六十四条的规定定罪处罚。</w:t>
      </w:r>
    </w:p>
    <w:p>
      <w:pPr>
        <w:spacing w:line="520" w:lineRule="exact"/>
        <w:ind w:firstLine="642" w:firstLineChars="198"/>
        <w:rPr>
          <w:rFonts w:hint="eastAsia" w:ascii="仿宋_GB2312"/>
          <w:szCs w:val="21"/>
        </w:rPr>
      </w:pPr>
      <w:r>
        <w:rPr>
          <w:rFonts w:hint="eastAsia" w:ascii="仿宋_GB2312"/>
          <w:szCs w:val="21"/>
        </w:rPr>
        <w:t>二</w:t>
      </w:r>
      <w:r>
        <w:rPr>
          <w:rFonts w:hint="eastAsia"/>
          <w:szCs w:val="18"/>
        </w:rPr>
        <w:t>、</w:t>
      </w:r>
      <w:r>
        <w:rPr>
          <w:rFonts w:hint="eastAsia" w:ascii="仿宋_GB2312"/>
          <w:szCs w:val="32"/>
        </w:rPr>
        <w:t>《中华人民共和国刑法》第六十七条：犯罪以后自动投案，如实供述自己的罪行的，是自首。对于自首的犯罪分子，可以从轻或者减轻处罚。其中，犯罪较轻的，可以免除处罚。</w:t>
      </w:r>
    </w:p>
    <w:p>
      <w:pPr>
        <w:spacing w:line="520" w:lineRule="exact"/>
        <w:ind w:firstLine="650" w:firstLineChars="200"/>
        <w:rPr>
          <w:rFonts w:hint="eastAsia" w:ascii="仿宋_GB2312"/>
          <w:szCs w:val="32"/>
        </w:rPr>
      </w:pPr>
      <w:r>
        <w:rPr>
          <w:rFonts w:hint="eastAsia" w:ascii="仿宋_GB2312"/>
          <w:szCs w:val="32"/>
        </w:rPr>
        <w:t>被采取强制措施的犯罪嫌疑人、被告人和正在服刑的罪犯，如实供述司法机关还未掌握的本人其他罪行的，以自首论。</w:t>
      </w:r>
    </w:p>
    <w:p>
      <w:pPr>
        <w:spacing w:line="520" w:lineRule="exact"/>
        <w:ind w:firstLine="650" w:firstLineChars="200"/>
        <w:rPr>
          <w:rFonts w:hint="eastAsia" w:ascii="仿宋_GB2312"/>
          <w:szCs w:val="32"/>
        </w:rPr>
      </w:pPr>
      <w:r>
        <w:rPr>
          <w:rFonts w:hint="eastAsia" w:ascii="仿宋_GB2312"/>
          <w:szCs w:val="32"/>
        </w:rPr>
        <w:t>犯罪嫌疑人虽不具有前两款规定的自首情节，但是如实供述自己罪行的，可以从轻处罚；因其如实供述自己罪行，避免特别严重后果发生的，可以减轻处罚。</w:t>
      </w:r>
    </w:p>
    <w:p>
      <w:pPr>
        <w:ind w:firstLine="642" w:firstLineChars="198"/>
        <w:rPr>
          <w:rFonts w:hint="eastAsia" w:ascii="仿宋_GB2312"/>
          <w:szCs w:val="21"/>
        </w:rPr>
      </w:pPr>
      <w:r>
        <w:rPr>
          <w:rFonts w:hint="eastAsia"/>
        </w:rPr>
        <w:t>三、《中华人民共和国刑法》</w:t>
      </w:r>
      <w:r>
        <w:rPr>
          <w:rFonts w:hint="eastAsia"/>
          <w:kern w:val="10"/>
        </w:rPr>
        <w:t>第六十四条：</w:t>
      </w:r>
      <w:r>
        <w:rPr>
          <w:rFonts w:hint="eastAsia" w:ascii="仿宋_GB2312"/>
          <w:szCs w:val="21"/>
        </w:rPr>
        <w:t>犯罪分子违法所得的一切财物，应当予以追缴或者责令退赔；对被害人的合法财产，应当及时返还；违禁品和供犯罪所用的本人财物，应当予以没收。没收的财物和罚金，一律上缴国库，不得挪用和自行处理。</w:t>
      </w:r>
    </w:p>
    <w:p>
      <w:pPr>
        <w:tabs>
          <w:tab w:val="left" w:pos="1884"/>
        </w:tabs>
        <w:spacing w:line="500" w:lineRule="exact"/>
        <w:ind w:right="628" w:firstLine="1460" w:firstLineChars="400"/>
        <w:jc w:val="center"/>
        <w:rPr>
          <w:rFonts w:hint="eastAsia" w:ascii="黑体" w:eastAsia="黑体"/>
          <w:sz w:val="36"/>
          <w:szCs w:val="36"/>
        </w:rPr>
      </w:pPr>
    </w:p>
    <w:sectPr>
      <w:footerReference r:id="rId3" w:type="default"/>
      <w:footerReference r:id="rId4" w:type="even"/>
      <w:pgSz w:w="11907" w:h="16840"/>
      <w:pgMar w:top="1701" w:right="1418" w:bottom="1701" w:left="1701" w:header="851" w:footer="992" w:gutter="0"/>
      <w:cols w:space="425" w:num="1"/>
      <w:docGrid w:type="linesAndChars" w:linePitch="537" w:charSpace="112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9"/>
      </w:rPr>
    </w:pPr>
    <w:r>
      <w:rPr>
        <w:rStyle w:val="9"/>
      </w:rPr>
      <w:fldChar w:fldCharType="begin"/>
    </w:r>
    <w:r>
      <w:rPr>
        <w:rStyle w:val="9"/>
      </w:rPr>
      <w:instrText xml:space="preserve">PAGE  </w:instrText>
    </w:r>
    <w:r>
      <w:rPr>
        <w:rStyle w:val="9"/>
      </w:rPr>
      <w:fldChar w:fldCharType="separate"/>
    </w:r>
    <w:r>
      <w:rPr>
        <w:rStyle w:val="9"/>
      </w:rPr>
      <w:t>5</w:t>
    </w:r>
    <w:r>
      <w:rPr>
        <w:rStyle w:val="9"/>
      </w:rP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HorizontalSpacing w:val="325"/>
  <w:drawingGridVerticalSpacing w:val="537"/>
  <w:displayHorizontalDrawingGridEvery w:val="0"/>
  <w:displayVerticalDrawingGridEvery w:val="1"/>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3993"/>
    <w:rsid w:val="000001E2"/>
    <w:rsid w:val="000008D2"/>
    <w:rsid w:val="00003DA4"/>
    <w:rsid w:val="00004C2B"/>
    <w:rsid w:val="00006C2C"/>
    <w:rsid w:val="00011F0A"/>
    <w:rsid w:val="00011F75"/>
    <w:rsid w:val="0001687A"/>
    <w:rsid w:val="00016E81"/>
    <w:rsid w:val="00022F05"/>
    <w:rsid w:val="00030368"/>
    <w:rsid w:val="000303FE"/>
    <w:rsid w:val="00031277"/>
    <w:rsid w:val="000314D4"/>
    <w:rsid w:val="00032A37"/>
    <w:rsid w:val="00032D6D"/>
    <w:rsid w:val="00034C76"/>
    <w:rsid w:val="0003686E"/>
    <w:rsid w:val="00037E74"/>
    <w:rsid w:val="000450EB"/>
    <w:rsid w:val="00047265"/>
    <w:rsid w:val="00053113"/>
    <w:rsid w:val="00060367"/>
    <w:rsid w:val="00060DD0"/>
    <w:rsid w:val="00064379"/>
    <w:rsid w:val="000710DF"/>
    <w:rsid w:val="0007132E"/>
    <w:rsid w:val="00073BBB"/>
    <w:rsid w:val="0007513D"/>
    <w:rsid w:val="00075824"/>
    <w:rsid w:val="00075D58"/>
    <w:rsid w:val="000760C0"/>
    <w:rsid w:val="000762FD"/>
    <w:rsid w:val="000776E4"/>
    <w:rsid w:val="000825C6"/>
    <w:rsid w:val="000829BF"/>
    <w:rsid w:val="00091F35"/>
    <w:rsid w:val="000A07CF"/>
    <w:rsid w:val="000A23A2"/>
    <w:rsid w:val="000A32B4"/>
    <w:rsid w:val="000A3E47"/>
    <w:rsid w:val="000B025A"/>
    <w:rsid w:val="000B236C"/>
    <w:rsid w:val="000B2423"/>
    <w:rsid w:val="000B2F0A"/>
    <w:rsid w:val="000B3F2E"/>
    <w:rsid w:val="000C20FB"/>
    <w:rsid w:val="000C39E4"/>
    <w:rsid w:val="000C3C4F"/>
    <w:rsid w:val="000C417A"/>
    <w:rsid w:val="000C512A"/>
    <w:rsid w:val="000C6C5F"/>
    <w:rsid w:val="000C7C33"/>
    <w:rsid w:val="000D009D"/>
    <w:rsid w:val="000D17BB"/>
    <w:rsid w:val="000D4648"/>
    <w:rsid w:val="000D5365"/>
    <w:rsid w:val="000E0E51"/>
    <w:rsid w:val="000E3A24"/>
    <w:rsid w:val="000F0E8D"/>
    <w:rsid w:val="000F7810"/>
    <w:rsid w:val="0010243C"/>
    <w:rsid w:val="001122A7"/>
    <w:rsid w:val="001124D9"/>
    <w:rsid w:val="0011391F"/>
    <w:rsid w:val="00113B5A"/>
    <w:rsid w:val="00114D67"/>
    <w:rsid w:val="00116BD5"/>
    <w:rsid w:val="0011765E"/>
    <w:rsid w:val="00121229"/>
    <w:rsid w:val="00125148"/>
    <w:rsid w:val="0012581D"/>
    <w:rsid w:val="00130951"/>
    <w:rsid w:val="00131056"/>
    <w:rsid w:val="001323CD"/>
    <w:rsid w:val="00132407"/>
    <w:rsid w:val="00137F64"/>
    <w:rsid w:val="00140D0D"/>
    <w:rsid w:val="00140E9C"/>
    <w:rsid w:val="00146DA2"/>
    <w:rsid w:val="00150163"/>
    <w:rsid w:val="00150D99"/>
    <w:rsid w:val="001520E8"/>
    <w:rsid w:val="00160B4A"/>
    <w:rsid w:val="00160DC8"/>
    <w:rsid w:val="00161DAC"/>
    <w:rsid w:val="001634A4"/>
    <w:rsid w:val="001653AD"/>
    <w:rsid w:val="00166188"/>
    <w:rsid w:val="001673DC"/>
    <w:rsid w:val="00171860"/>
    <w:rsid w:val="00171C1C"/>
    <w:rsid w:val="00173E4E"/>
    <w:rsid w:val="00183E6A"/>
    <w:rsid w:val="001848A0"/>
    <w:rsid w:val="00186C4B"/>
    <w:rsid w:val="00192A11"/>
    <w:rsid w:val="00193742"/>
    <w:rsid w:val="0019672A"/>
    <w:rsid w:val="00197CB2"/>
    <w:rsid w:val="001A109B"/>
    <w:rsid w:val="001A196C"/>
    <w:rsid w:val="001A31EA"/>
    <w:rsid w:val="001A658B"/>
    <w:rsid w:val="001B2D79"/>
    <w:rsid w:val="001B510F"/>
    <w:rsid w:val="001C00E1"/>
    <w:rsid w:val="001C19C0"/>
    <w:rsid w:val="001C1DE3"/>
    <w:rsid w:val="001D0E27"/>
    <w:rsid w:val="001D21AE"/>
    <w:rsid w:val="001D2738"/>
    <w:rsid w:val="001D4058"/>
    <w:rsid w:val="001D4097"/>
    <w:rsid w:val="001D6AB0"/>
    <w:rsid w:val="001E3E8F"/>
    <w:rsid w:val="001E61A9"/>
    <w:rsid w:val="001F0CF1"/>
    <w:rsid w:val="001F14A8"/>
    <w:rsid w:val="001F602C"/>
    <w:rsid w:val="00204931"/>
    <w:rsid w:val="002050A8"/>
    <w:rsid w:val="00207D10"/>
    <w:rsid w:val="002115BF"/>
    <w:rsid w:val="00213B7C"/>
    <w:rsid w:val="00215F42"/>
    <w:rsid w:val="0021642D"/>
    <w:rsid w:val="00221E7D"/>
    <w:rsid w:val="0022266E"/>
    <w:rsid w:val="00224370"/>
    <w:rsid w:val="00233E88"/>
    <w:rsid w:val="00241AF3"/>
    <w:rsid w:val="00246BB4"/>
    <w:rsid w:val="00247E1D"/>
    <w:rsid w:val="0025262E"/>
    <w:rsid w:val="00253F83"/>
    <w:rsid w:val="00256A24"/>
    <w:rsid w:val="00260BCA"/>
    <w:rsid w:val="00264405"/>
    <w:rsid w:val="00271013"/>
    <w:rsid w:val="00272E2E"/>
    <w:rsid w:val="0027316A"/>
    <w:rsid w:val="00276262"/>
    <w:rsid w:val="00281A04"/>
    <w:rsid w:val="00283438"/>
    <w:rsid w:val="00283D64"/>
    <w:rsid w:val="00284FC6"/>
    <w:rsid w:val="00286A59"/>
    <w:rsid w:val="002945D5"/>
    <w:rsid w:val="002947A4"/>
    <w:rsid w:val="002951E7"/>
    <w:rsid w:val="00295544"/>
    <w:rsid w:val="00297681"/>
    <w:rsid w:val="002A6E1E"/>
    <w:rsid w:val="002B2013"/>
    <w:rsid w:val="002B27EB"/>
    <w:rsid w:val="002B30F4"/>
    <w:rsid w:val="002C1F22"/>
    <w:rsid w:val="002C214C"/>
    <w:rsid w:val="002C26A3"/>
    <w:rsid w:val="002C3FE9"/>
    <w:rsid w:val="002C6E52"/>
    <w:rsid w:val="002D00E1"/>
    <w:rsid w:val="002D21F5"/>
    <w:rsid w:val="002D440A"/>
    <w:rsid w:val="002D6599"/>
    <w:rsid w:val="002D6CDB"/>
    <w:rsid w:val="002E10BB"/>
    <w:rsid w:val="002E3299"/>
    <w:rsid w:val="002E6781"/>
    <w:rsid w:val="002F175F"/>
    <w:rsid w:val="002F4F64"/>
    <w:rsid w:val="00305AA3"/>
    <w:rsid w:val="003100B9"/>
    <w:rsid w:val="003107EC"/>
    <w:rsid w:val="0031430A"/>
    <w:rsid w:val="00316FF7"/>
    <w:rsid w:val="00322227"/>
    <w:rsid w:val="003256C8"/>
    <w:rsid w:val="00334387"/>
    <w:rsid w:val="003409C1"/>
    <w:rsid w:val="00344402"/>
    <w:rsid w:val="00345B85"/>
    <w:rsid w:val="00346FA6"/>
    <w:rsid w:val="0035096B"/>
    <w:rsid w:val="00351254"/>
    <w:rsid w:val="00356662"/>
    <w:rsid w:val="00365A90"/>
    <w:rsid w:val="00370A81"/>
    <w:rsid w:val="003739E6"/>
    <w:rsid w:val="00383278"/>
    <w:rsid w:val="003837AB"/>
    <w:rsid w:val="00384E09"/>
    <w:rsid w:val="00385006"/>
    <w:rsid w:val="00385776"/>
    <w:rsid w:val="003863F5"/>
    <w:rsid w:val="00396FEF"/>
    <w:rsid w:val="00397173"/>
    <w:rsid w:val="003A0FB4"/>
    <w:rsid w:val="003A315D"/>
    <w:rsid w:val="003A53A8"/>
    <w:rsid w:val="003B00D1"/>
    <w:rsid w:val="003B560F"/>
    <w:rsid w:val="003B7361"/>
    <w:rsid w:val="003C0027"/>
    <w:rsid w:val="003C28CD"/>
    <w:rsid w:val="003C3FAF"/>
    <w:rsid w:val="003C5F74"/>
    <w:rsid w:val="003C7027"/>
    <w:rsid w:val="003D2FC4"/>
    <w:rsid w:val="003D48E5"/>
    <w:rsid w:val="003E26DC"/>
    <w:rsid w:val="003E6E6D"/>
    <w:rsid w:val="003F144A"/>
    <w:rsid w:val="003F38B4"/>
    <w:rsid w:val="003F6058"/>
    <w:rsid w:val="004060D8"/>
    <w:rsid w:val="00406F62"/>
    <w:rsid w:val="0040714A"/>
    <w:rsid w:val="00415075"/>
    <w:rsid w:val="00416E83"/>
    <w:rsid w:val="00423F92"/>
    <w:rsid w:val="004241FE"/>
    <w:rsid w:val="00431589"/>
    <w:rsid w:val="00434257"/>
    <w:rsid w:val="00434DC6"/>
    <w:rsid w:val="00441145"/>
    <w:rsid w:val="00442B77"/>
    <w:rsid w:val="004435C2"/>
    <w:rsid w:val="0045397A"/>
    <w:rsid w:val="00457917"/>
    <w:rsid w:val="00466424"/>
    <w:rsid w:val="00467163"/>
    <w:rsid w:val="00474D71"/>
    <w:rsid w:val="0048011B"/>
    <w:rsid w:val="004840D4"/>
    <w:rsid w:val="00495F8B"/>
    <w:rsid w:val="00497111"/>
    <w:rsid w:val="004A7628"/>
    <w:rsid w:val="004B156C"/>
    <w:rsid w:val="004C0149"/>
    <w:rsid w:val="004C18AC"/>
    <w:rsid w:val="004D0266"/>
    <w:rsid w:val="004D4FF2"/>
    <w:rsid w:val="004D6AB3"/>
    <w:rsid w:val="004E6B8B"/>
    <w:rsid w:val="004E6BB3"/>
    <w:rsid w:val="004F2AD2"/>
    <w:rsid w:val="00501389"/>
    <w:rsid w:val="00501B67"/>
    <w:rsid w:val="0051245E"/>
    <w:rsid w:val="00514C6F"/>
    <w:rsid w:val="00515767"/>
    <w:rsid w:val="00515A08"/>
    <w:rsid w:val="00515B98"/>
    <w:rsid w:val="00517917"/>
    <w:rsid w:val="005179E5"/>
    <w:rsid w:val="00521384"/>
    <w:rsid w:val="005213E8"/>
    <w:rsid w:val="00522C3D"/>
    <w:rsid w:val="00523A72"/>
    <w:rsid w:val="00524813"/>
    <w:rsid w:val="005344CA"/>
    <w:rsid w:val="005350E9"/>
    <w:rsid w:val="00537E6A"/>
    <w:rsid w:val="0054151E"/>
    <w:rsid w:val="00550BFE"/>
    <w:rsid w:val="0055502E"/>
    <w:rsid w:val="0055799D"/>
    <w:rsid w:val="00557B48"/>
    <w:rsid w:val="005621AA"/>
    <w:rsid w:val="005638FF"/>
    <w:rsid w:val="00564F80"/>
    <w:rsid w:val="00570995"/>
    <w:rsid w:val="00581CF8"/>
    <w:rsid w:val="00590868"/>
    <w:rsid w:val="00596238"/>
    <w:rsid w:val="00596B2D"/>
    <w:rsid w:val="005B10E2"/>
    <w:rsid w:val="005B2AD0"/>
    <w:rsid w:val="005B514B"/>
    <w:rsid w:val="005B5D16"/>
    <w:rsid w:val="005C3209"/>
    <w:rsid w:val="005C4AC9"/>
    <w:rsid w:val="005C721C"/>
    <w:rsid w:val="005C748D"/>
    <w:rsid w:val="005D1E3A"/>
    <w:rsid w:val="005D32C1"/>
    <w:rsid w:val="005D415D"/>
    <w:rsid w:val="005D5214"/>
    <w:rsid w:val="005E096D"/>
    <w:rsid w:val="005E3D02"/>
    <w:rsid w:val="005E5EAE"/>
    <w:rsid w:val="005F1098"/>
    <w:rsid w:val="005F3820"/>
    <w:rsid w:val="005F3FDF"/>
    <w:rsid w:val="005F41AE"/>
    <w:rsid w:val="005F6908"/>
    <w:rsid w:val="0060008D"/>
    <w:rsid w:val="00600158"/>
    <w:rsid w:val="00601ABA"/>
    <w:rsid w:val="006104D3"/>
    <w:rsid w:val="006137B8"/>
    <w:rsid w:val="00613BE2"/>
    <w:rsid w:val="00615AF1"/>
    <w:rsid w:val="00622FDE"/>
    <w:rsid w:val="0063052D"/>
    <w:rsid w:val="006307DF"/>
    <w:rsid w:val="00631DDC"/>
    <w:rsid w:val="00637AEC"/>
    <w:rsid w:val="00640159"/>
    <w:rsid w:val="0064148A"/>
    <w:rsid w:val="00641B3D"/>
    <w:rsid w:val="0064278B"/>
    <w:rsid w:val="006435C3"/>
    <w:rsid w:val="006544C9"/>
    <w:rsid w:val="006554CC"/>
    <w:rsid w:val="006565DE"/>
    <w:rsid w:val="00657585"/>
    <w:rsid w:val="00662706"/>
    <w:rsid w:val="00666BF2"/>
    <w:rsid w:val="0067015B"/>
    <w:rsid w:val="00670382"/>
    <w:rsid w:val="0067068B"/>
    <w:rsid w:val="006717DF"/>
    <w:rsid w:val="0067385F"/>
    <w:rsid w:val="00675221"/>
    <w:rsid w:val="00676B11"/>
    <w:rsid w:val="006822C6"/>
    <w:rsid w:val="00683746"/>
    <w:rsid w:val="006860D0"/>
    <w:rsid w:val="006952A9"/>
    <w:rsid w:val="006A734C"/>
    <w:rsid w:val="006B48C0"/>
    <w:rsid w:val="006B782C"/>
    <w:rsid w:val="006D7976"/>
    <w:rsid w:val="006E1632"/>
    <w:rsid w:val="006E207F"/>
    <w:rsid w:val="006E2CEF"/>
    <w:rsid w:val="006E36A6"/>
    <w:rsid w:val="006E5202"/>
    <w:rsid w:val="006E620F"/>
    <w:rsid w:val="00700882"/>
    <w:rsid w:val="00703144"/>
    <w:rsid w:val="007031C9"/>
    <w:rsid w:val="00703C45"/>
    <w:rsid w:val="0070466A"/>
    <w:rsid w:val="00704811"/>
    <w:rsid w:val="007125A9"/>
    <w:rsid w:val="007163AD"/>
    <w:rsid w:val="00716643"/>
    <w:rsid w:val="0072217E"/>
    <w:rsid w:val="00724AC2"/>
    <w:rsid w:val="007269C7"/>
    <w:rsid w:val="00734761"/>
    <w:rsid w:val="00735C1F"/>
    <w:rsid w:val="007408D9"/>
    <w:rsid w:val="00743370"/>
    <w:rsid w:val="00743B84"/>
    <w:rsid w:val="00750529"/>
    <w:rsid w:val="00751AC1"/>
    <w:rsid w:val="00761C59"/>
    <w:rsid w:val="00764692"/>
    <w:rsid w:val="00764863"/>
    <w:rsid w:val="00765DA2"/>
    <w:rsid w:val="0076795F"/>
    <w:rsid w:val="0077030E"/>
    <w:rsid w:val="0077209C"/>
    <w:rsid w:val="00772B7F"/>
    <w:rsid w:val="00773993"/>
    <w:rsid w:val="00775291"/>
    <w:rsid w:val="00776891"/>
    <w:rsid w:val="00776C0B"/>
    <w:rsid w:val="00780AB5"/>
    <w:rsid w:val="00781750"/>
    <w:rsid w:val="00783076"/>
    <w:rsid w:val="007841EB"/>
    <w:rsid w:val="00785CEB"/>
    <w:rsid w:val="0078735B"/>
    <w:rsid w:val="00792FAE"/>
    <w:rsid w:val="007A5EBA"/>
    <w:rsid w:val="007B170E"/>
    <w:rsid w:val="007B1BC4"/>
    <w:rsid w:val="007B59A2"/>
    <w:rsid w:val="007C3722"/>
    <w:rsid w:val="007C4E36"/>
    <w:rsid w:val="007D01D0"/>
    <w:rsid w:val="007D0871"/>
    <w:rsid w:val="007E1360"/>
    <w:rsid w:val="007E53AE"/>
    <w:rsid w:val="007E5697"/>
    <w:rsid w:val="007E6F7E"/>
    <w:rsid w:val="007F105E"/>
    <w:rsid w:val="007F76CF"/>
    <w:rsid w:val="00804D18"/>
    <w:rsid w:val="008069E0"/>
    <w:rsid w:val="008079D8"/>
    <w:rsid w:val="0081576E"/>
    <w:rsid w:val="00821167"/>
    <w:rsid w:val="00823AB9"/>
    <w:rsid w:val="00823BFE"/>
    <w:rsid w:val="00825116"/>
    <w:rsid w:val="00825FAD"/>
    <w:rsid w:val="00830EB1"/>
    <w:rsid w:val="00835093"/>
    <w:rsid w:val="00835A13"/>
    <w:rsid w:val="008468E1"/>
    <w:rsid w:val="00856C6E"/>
    <w:rsid w:val="00862525"/>
    <w:rsid w:val="00865EEF"/>
    <w:rsid w:val="0086664A"/>
    <w:rsid w:val="0087776D"/>
    <w:rsid w:val="00880E7F"/>
    <w:rsid w:val="00885EB6"/>
    <w:rsid w:val="0088718D"/>
    <w:rsid w:val="00887471"/>
    <w:rsid w:val="008878D3"/>
    <w:rsid w:val="008919DB"/>
    <w:rsid w:val="00893D61"/>
    <w:rsid w:val="0089471E"/>
    <w:rsid w:val="00896ECF"/>
    <w:rsid w:val="008A06C4"/>
    <w:rsid w:val="008A124E"/>
    <w:rsid w:val="008A1B0B"/>
    <w:rsid w:val="008A6C44"/>
    <w:rsid w:val="008B1F96"/>
    <w:rsid w:val="008C28DB"/>
    <w:rsid w:val="008C2CA8"/>
    <w:rsid w:val="008C74A3"/>
    <w:rsid w:val="008D00B6"/>
    <w:rsid w:val="008D3A9E"/>
    <w:rsid w:val="008D6F35"/>
    <w:rsid w:val="008D72B6"/>
    <w:rsid w:val="008E17DF"/>
    <w:rsid w:val="008E566B"/>
    <w:rsid w:val="008E6001"/>
    <w:rsid w:val="008E60EA"/>
    <w:rsid w:val="008E6D29"/>
    <w:rsid w:val="008F1A75"/>
    <w:rsid w:val="008F4411"/>
    <w:rsid w:val="008F69B3"/>
    <w:rsid w:val="008F78D1"/>
    <w:rsid w:val="0090177A"/>
    <w:rsid w:val="009028DB"/>
    <w:rsid w:val="00902DF0"/>
    <w:rsid w:val="00904CC5"/>
    <w:rsid w:val="009063CD"/>
    <w:rsid w:val="00911FBC"/>
    <w:rsid w:val="00915400"/>
    <w:rsid w:val="009174D8"/>
    <w:rsid w:val="009204FD"/>
    <w:rsid w:val="00925566"/>
    <w:rsid w:val="00927724"/>
    <w:rsid w:val="00927A80"/>
    <w:rsid w:val="009322BD"/>
    <w:rsid w:val="0093776E"/>
    <w:rsid w:val="009409C9"/>
    <w:rsid w:val="00946BC0"/>
    <w:rsid w:val="009518E3"/>
    <w:rsid w:val="009529BA"/>
    <w:rsid w:val="009539C1"/>
    <w:rsid w:val="00963C85"/>
    <w:rsid w:val="00974636"/>
    <w:rsid w:val="0099035F"/>
    <w:rsid w:val="009935A8"/>
    <w:rsid w:val="0099637A"/>
    <w:rsid w:val="009A5AA1"/>
    <w:rsid w:val="009A7B9C"/>
    <w:rsid w:val="009B03D0"/>
    <w:rsid w:val="009B4DB1"/>
    <w:rsid w:val="009C65FA"/>
    <w:rsid w:val="009D244B"/>
    <w:rsid w:val="009D2B3C"/>
    <w:rsid w:val="009D347F"/>
    <w:rsid w:val="009E224D"/>
    <w:rsid w:val="009E2461"/>
    <w:rsid w:val="009F390B"/>
    <w:rsid w:val="009F52E3"/>
    <w:rsid w:val="009F5B86"/>
    <w:rsid w:val="009F65CB"/>
    <w:rsid w:val="00A142D4"/>
    <w:rsid w:val="00A1465B"/>
    <w:rsid w:val="00A14F74"/>
    <w:rsid w:val="00A15178"/>
    <w:rsid w:val="00A16461"/>
    <w:rsid w:val="00A20FCF"/>
    <w:rsid w:val="00A23D44"/>
    <w:rsid w:val="00A312E8"/>
    <w:rsid w:val="00A408A0"/>
    <w:rsid w:val="00A4269D"/>
    <w:rsid w:val="00A44AEC"/>
    <w:rsid w:val="00A46A9B"/>
    <w:rsid w:val="00A50C95"/>
    <w:rsid w:val="00A53315"/>
    <w:rsid w:val="00A54284"/>
    <w:rsid w:val="00A55B5F"/>
    <w:rsid w:val="00A56665"/>
    <w:rsid w:val="00A61018"/>
    <w:rsid w:val="00A621B3"/>
    <w:rsid w:val="00A6224C"/>
    <w:rsid w:val="00A65B2E"/>
    <w:rsid w:val="00A662D6"/>
    <w:rsid w:val="00A71B9A"/>
    <w:rsid w:val="00A750D1"/>
    <w:rsid w:val="00A82E4E"/>
    <w:rsid w:val="00A8390F"/>
    <w:rsid w:val="00A8540F"/>
    <w:rsid w:val="00A94E43"/>
    <w:rsid w:val="00A96761"/>
    <w:rsid w:val="00AA581C"/>
    <w:rsid w:val="00AA6C83"/>
    <w:rsid w:val="00AB4713"/>
    <w:rsid w:val="00AB7387"/>
    <w:rsid w:val="00AC005E"/>
    <w:rsid w:val="00AC1CD7"/>
    <w:rsid w:val="00AC58B0"/>
    <w:rsid w:val="00AC6BCC"/>
    <w:rsid w:val="00AD2590"/>
    <w:rsid w:val="00AD261D"/>
    <w:rsid w:val="00AD463B"/>
    <w:rsid w:val="00AD7FD8"/>
    <w:rsid w:val="00AE0C6C"/>
    <w:rsid w:val="00AE1609"/>
    <w:rsid w:val="00AE19E4"/>
    <w:rsid w:val="00AE3D7B"/>
    <w:rsid w:val="00AE7F53"/>
    <w:rsid w:val="00AF0B63"/>
    <w:rsid w:val="00AF4CE3"/>
    <w:rsid w:val="00AF5A35"/>
    <w:rsid w:val="00B019F2"/>
    <w:rsid w:val="00B0235F"/>
    <w:rsid w:val="00B03995"/>
    <w:rsid w:val="00B050F6"/>
    <w:rsid w:val="00B113B0"/>
    <w:rsid w:val="00B12450"/>
    <w:rsid w:val="00B14B32"/>
    <w:rsid w:val="00B22300"/>
    <w:rsid w:val="00B2315A"/>
    <w:rsid w:val="00B2415D"/>
    <w:rsid w:val="00B305AE"/>
    <w:rsid w:val="00B334AC"/>
    <w:rsid w:val="00B33D1B"/>
    <w:rsid w:val="00B348DB"/>
    <w:rsid w:val="00B40131"/>
    <w:rsid w:val="00B44700"/>
    <w:rsid w:val="00B46A06"/>
    <w:rsid w:val="00B56A5D"/>
    <w:rsid w:val="00B61251"/>
    <w:rsid w:val="00B63447"/>
    <w:rsid w:val="00B65150"/>
    <w:rsid w:val="00B66282"/>
    <w:rsid w:val="00B67130"/>
    <w:rsid w:val="00B763F2"/>
    <w:rsid w:val="00B81C44"/>
    <w:rsid w:val="00B85F6D"/>
    <w:rsid w:val="00B863F3"/>
    <w:rsid w:val="00B91D49"/>
    <w:rsid w:val="00B922D4"/>
    <w:rsid w:val="00BA01F1"/>
    <w:rsid w:val="00BA2B2A"/>
    <w:rsid w:val="00BA3CBC"/>
    <w:rsid w:val="00BA3E6C"/>
    <w:rsid w:val="00BA42E6"/>
    <w:rsid w:val="00BB0E04"/>
    <w:rsid w:val="00BB2511"/>
    <w:rsid w:val="00BB26F1"/>
    <w:rsid w:val="00BB2E17"/>
    <w:rsid w:val="00BB7607"/>
    <w:rsid w:val="00BC06A3"/>
    <w:rsid w:val="00BC51CA"/>
    <w:rsid w:val="00BC656A"/>
    <w:rsid w:val="00BE0525"/>
    <w:rsid w:val="00BE2592"/>
    <w:rsid w:val="00BE56CF"/>
    <w:rsid w:val="00BE5950"/>
    <w:rsid w:val="00BE7C66"/>
    <w:rsid w:val="00BF17DC"/>
    <w:rsid w:val="00BF252D"/>
    <w:rsid w:val="00BF573E"/>
    <w:rsid w:val="00BF7686"/>
    <w:rsid w:val="00C00D67"/>
    <w:rsid w:val="00C1369C"/>
    <w:rsid w:val="00C16D40"/>
    <w:rsid w:val="00C214BC"/>
    <w:rsid w:val="00C22B45"/>
    <w:rsid w:val="00C27BA9"/>
    <w:rsid w:val="00C27FF7"/>
    <w:rsid w:val="00C31E1C"/>
    <w:rsid w:val="00C47A5A"/>
    <w:rsid w:val="00C50FD5"/>
    <w:rsid w:val="00C549B4"/>
    <w:rsid w:val="00C54FEE"/>
    <w:rsid w:val="00C550FC"/>
    <w:rsid w:val="00C614F3"/>
    <w:rsid w:val="00C61ED6"/>
    <w:rsid w:val="00C62EC9"/>
    <w:rsid w:val="00C72078"/>
    <w:rsid w:val="00C731E0"/>
    <w:rsid w:val="00C731F7"/>
    <w:rsid w:val="00C74128"/>
    <w:rsid w:val="00C81C83"/>
    <w:rsid w:val="00C82D07"/>
    <w:rsid w:val="00C831E9"/>
    <w:rsid w:val="00C8544B"/>
    <w:rsid w:val="00C87F7D"/>
    <w:rsid w:val="00C94B43"/>
    <w:rsid w:val="00C96106"/>
    <w:rsid w:val="00C9794D"/>
    <w:rsid w:val="00CA128F"/>
    <w:rsid w:val="00CB0CDC"/>
    <w:rsid w:val="00CB3930"/>
    <w:rsid w:val="00CB4DB4"/>
    <w:rsid w:val="00CB6622"/>
    <w:rsid w:val="00CB6A12"/>
    <w:rsid w:val="00CC1973"/>
    <w:rsid w:val="00CC39D9"/>
    <w:rsid w:val="00CC63FD"/>
    <w:rsid w:val="00CC6DA9"/>
    <w:rsid w:val="00CD0050"/>
    <w:rsid w:val="00CD5688"/>
    <w:rsid w:val="00CE0141"/>
    <w:rsid w:val="00CE1FBA"/>
    <w:rsid w:val="00CE3A2E"/>
    <w:rsid w:val="00CE43D9"/>
    <w:rsid w:val="00CF3A5B"/>
    <w:rsid w:val="00CF3E28"/>
    <w:rsid w:val="00CF5043"/>
    <w:rsid w:val="00CF5E37"/>
    <w:rsid w:val="00CF6970"/>
    <w:rsid w:val="00D004E9"/>
    <w:rsid w:val="00D02DFB"/>
    <w:rsid w:val="00D038DF"/>
    <w:rsid w:val="00D051C2"/>
    <w:rsid w:val="00D1607B"/>
    <w:rsid w:val="00D16FA9"/>
    <w:rsid w:val="00D23C97"/>
    <w:rsid w:val="00D31EE4"/>
    <w:rsid w:val="00D32A50"/>
    <w:rsid w:val="00D34A5D"/>
    <w:rsid w:val="00D36004"/>
    <w:rsid w:val="00D37844"/>
    <w:rsid w:val="00D400C1"/>
    <w:rsid w:val="00D400F8"/>
    <w:rsid w:val="00D449AA"/>
    <w:rsid w:val="00D44B8D"/>
    <w:rsid w:val="00D45681"/>
    <w:rsid w:val="00D47631"/>
    <w:rsid w:val="00D50DCD"/>
    <w:rsid w:val="00D57F4B"/>
    <w:rsid w:val="00D61208"/>
    <w:rsid w:val="00D63490"/>
    <w:rsid w:val="00D64AD7"/>
    <w:rsid w:val="00D653A6"/>
    <w:rsid w:val="00D66C5E"/>
    <w:rsid w:val="00D7052D"/>
    <w:rsid w:val="00D77885"/>
    <w:rsid w:val="00D843E4"/>
    <w:rsid w:val="00D86FC0"/>
    <w:rsid w:val="00D87E41"/>
    <w:rsid w:val="00D904FB"/>
    <w:rsid w:val="00D91801"/>
    <w:rsid w:val="00D91826"/>
    <w:rsid w:val="00D945EE"/>
    <w:rsid w:val="00DA1B7A"/>
    <w:rsid w:val="00DA3304"/>
    <w:rsid w:val="00DA3CDF"/>
    <w:rsid w:val="00DA455A"/>
    <w:rsid w:val="00DA4F81"/>
    <w:rsid w:val="00DA4FEE"/>
    <w:rsid w:val="00DA7125"/>
    <w:rsid w:val="00DA74E7"/>
    <w:rsid w:val="00DB53BF"/>
    <w:rsid w:val="00DC2C57"/>
    <w:rsid w:val="00DC6B07"/>
    <w:rsid w:val="00DD1B3B"/>
    <w:rsid w:val="00DD6E56"/>
    <w:rsid w:val="00DE21C9"/>
    <w:rsid w:val="00DE720E"/>
    <w:rsid w:val="00DF2587"/>
    <w:rsid w:val="00DF2C18"/>
    <w:rsid w:val="00DF3D47"/>
    <w:rsid w:val="00DF5A2B"/>
    <w:rsid w:val="00DF7715"/>
    <w:rsid w:val="00E00564"/>
    <w:rsid w:val="00E0088E"/>
    <w:rsid w:val="00E00E67"/>
    <w:rsid w:val="00E03FAA"/>
    <w:rsid w:val="00E04ADD"/>
    <w:rsid w:val="00E05B51"/>
    <w:rsid w:val="00E0623E"/>
    <w:rsid w:val="00E0783D"/>
    <w:rsid w:val="00E10072"/>
    <w:rsid w:val="00E1045B"/>
    <w:rsid w:val="00E12611"/>
    <w:rsid w:val="00E139D1"/>
    <w:rsid w:val="00E17C35"/>
    <w:rsid w:val="00E20192"/>
    <w:rsid w:val="00E21807"/>
    <w:rsid w:val="00E22F79"/>
    <w:rsid w:val="00E24411"/>
    <w:rsid w:val="00E25C7F"/>
    <w:rsid w:val="00E31E46"/>
    <w:rsid w:val="00E32862"/>
    <w:rsid w:val="00E40FA8"/>
    <w:rsid w:val="00E41811"/>
    <w:rsid w:val="00E42559"/>
    <w:rsid w:val="00E4294B"/>
    <w:rsid w:val="00E42CBC"/>
    <w:rsid w:val="00E45E31"/>
    <w:rsid w:val="00E51AE2"/>
    <w:rsid w:val="00E51F77"/>
    <w:rsid w:val="00E5293A"/>
    <w:rsid w:val="00E562C9"/>
    <w:rsid w:val="00E576C6"/>
    <w:rsid w:val="00E63513"/>
    <w:rsid w:val="00E63FBC"/>
    <w:rsid w:val="00E67193"/>
    <w:rsid w:val="00E7265C"/>
    <w:rsid w:val="00E75800"/>
    <w:rsid w:val="00E76A5D"/>
    <w:rsid w:val="00E76F05"/>
    <w:rsid w:val="00E81194"/>
    <w:rsid w:val="00E82161"/>
    <w:rsid w:val="00E8231E"/>
    <w:rsid w:val="00E831DC"/>
    <w:rsid w:val="00E83B50"/>
    <w:rsid w:val="00E9048F"/>
    <w:rsid w:val="00E90D45"/>
    <w:rsid w:val="00E9358B"/>
    <w:rsid w:val="00E94C20"/>
    <w:rsid w:val="00E959CD"/>
    <w:rsid w:val="00EA1D8F"/>
    <w:rsid w:val="00EB2F0E"/>
    <w:rsid w:val="00EC2964"/>
    <w:rsid w:val="00EC2A22"/>
    <w:rsid w:val="00EC7D19"/>
    <w:rsid w:val="00ED118C"/>
    <w:rsid w:val="00ED5AB8"/>
    <w:rsid w:val="00ED76C8"/>
    <w:rsid w:val="00ED7F35"/>
    <w:rsid w:val="00EE1738"/>
    <w:rsid w:val="00EE1FF3"/>
    <w:rsid w:val="00EE36D7"/>
    <w:rsid w:val="00EE60B5"/>
    <w:rsid w:val="00EE6546"/>
    <w:rsid w:val="00EE6912"/>
    <w:rsid w:val="00EE714A"/>
    <w:rsid w:val="00EE76F0"/>
    <w:rsid w:val="00EF08C6"/>
    <w:rsid w:val="00F02092"/>
    <w:rsid w:val="00F029A9"/>
    <w:rsid w:val="00F238D4"/>
    <w:rsid w:val="00F23C8D"/>
    <w:rsid w:val="00F31592"/>
    <w:rsid w:val="00F36857"/>
    <w:rsid w:val="00F37471"/>
    <w:rsid w:val="00F44FD9"/>
    <w:rsid w:val="00F455EE"/>
    <w:rsid w:val="00F45A87"/>
    <w:rsid w:val="00F4610A"/>
    <w:rsid w:val="00F545EB"/>
    <w:rsid w:val="00F558DC"/>
    <w:rsid w:val="00F558F8"/>
    <w:rsid w:val="00F55B36"/>
    <w:rsid w:val="00F56B45"/>
    <w:rsid w:val="00F56E4F"/>
    <w:rsid w:val="00F61A82"/>
    <w:rsid w:val="00F65935"/>
    <w:rsid w:val="00F6661F"/>
    <w:rsid w:val="00F87FD1"/>
    <w:rsid w:val="00F90200"/>
    <w:rsid w:val="00F90B7E"/>
    <w:rsid w:val="00F9383A"/>
    <w:rsid w:val="00F93F70"/>
    <w:rsid w:val="00F9510D"/>
    <w:rsid w:val="00FA31B7"/>
    <w:rsid w:val="00FA51B8"/>
    <w:rsid w:val="00FA696F"/>
    <w:rsid w:val="00FA69E5"/>
    <w:rsid w:val="00FA6F34"/>
    <w:rsid w:val="00FB16E0"/>
    <w:rsid w:val="00FB2FB8"/>
    <w:rsid w:val="00FC1157"/>
    <w:rsid w:val="00FC2346"/>
    <w:rsid w:val="00FC54C7"/>
    <w:rsid w:val="00FC62DC"/>
    <w:rsid w:val="00FD0363"/>
    <w:rsid w:val="00FD04E7"/>
    <w:rsid w:val="00FD49BE"/>
    <w:rsid w:val="00FD4F28"/>
    <w:rsid w:val="00FD5C7C"/>
    <w:rsid w:val="00FD79B0"/>
    <w:rsid w:val="00FE39E9"/>
    <w:rsid w:val="00FE4E01"/>
    <w:rsid w:val="00FE5190"/>
    <w:rsid w:val="00FE75F7"/>
    <w:rsid w:val="00FF428A"/>
    <w:rsid w:val="00FF4322"/>
    <w:rsid w:val="00FF4B65"/>
    <w:rsid w:val="00FF5629"/>
    <w:rsid w:val="00FF6632"/>
    <w:rsid w:val="00FF7406"/>
    <w:rsid w:val="04760A6A"/>
    <w:rsid w:val="05170F08"/>
    <w:rsid w:val="6F6B0DC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8">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2">
    <w:name w:val="Document Map"/>
    <w:basedOn w:val="1"/>
    <w:semiHidden/>
    <w:uiPriority w:val="0"/>
    <w:pPr>
      <w:shd w:val="clear" w:color="auto" w:fill="000080"/>
    </w:pPr>
  </w:style>
  <w:style w:type="paragraph" w:styleId="3">
    <w:name w:val="Body Text Indent"/>
    <w:basedOn w:val="1"/>
    <w:qFormat/>
    <w:uiPriority w:val="0"/>
    <w:pPr>
      <w:spacing w:line="540" w:lineRule="exact"/>
      <w:ind w:firstLine="605" w:firstLineChars="200"/>
    </w:pPr>
    <w:rPr>
      <w:rFonts w:ascii="仿宋_GB2312"/>
    </w:rPr>
  </w:style>
  <w:style w:type="paragraph" w:styleId="4">
    <w:name w:val="Body Text Indent 2"/>
    <w:basedOn w:val="1"/>
    <w:uiPriority w:val="0"/>
    <w:pPr>
      <w:ind w:firstLine="624"/>
    </w:pPr>
    <w:rPr>
      <w:rFonts w:ascii="仿宋_GB2312"/>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Body Text Indent 3"/>
    <w:basedOn w:val="1"/>
    <w:qFormat/>
    <w:uiPriority w:val="0"/>
    <w:pPr>
      <w:ind w:firstLine="628" w:firstLineChars="200"/>
    </w:pPr>
    <w:rPr>
      <w:rFonts w:ascii="仿宋_GB2312"/>
    </w:rPr>
  </w:style>
  <w:style w:type="character" w:styleId="9">
    <w:name w:val="page number"/>
    <w:basedOn w:val="8"/>
    <w:qFormat/>
    <w:uiPriority w:val="0"/>
  </w:style>
  <w:style w:type="character" w:styleId="10">
    <w:name w:val="Hyperlink"/>
    <w:basedOn w:val="8"/>
    <w:qFormat/>
    <w:uiPriority w:val="0"/>
    <w:rPr>
      <w:color w:val="0000FF"/>
      <w:u w:val="single"/>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content"/>
    <w:basedOn w:val="1"/>
    <w:qFormat/>
    <w:uiPriority w:val="0"/>
    <w:pPr>
      <w:widowControl/>
      <w:spacing w:line="300" w:lineRule="auto"/>
    </w:pPr>
    <w:rPr>
      <w:rFonts w:hint="eastAsia" w:ascii="仿宋_GB2312" w:hAnsi="宋体"/>
      <w:kern w:val="0"/>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26032;&#24314;&#25991;&#20214;&#22841;\&#25991;&#20070;&#26679;&#24335;\&#34987;&#21578;&#20154;&#35748;&#32618;&#26696;&#20214;&#21009;&#20107;&#21028;&#20915;&#2007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被告人认罪案件刑事判决书</Template>
  <Company>dlfy</Company>
  <Pages>1</Pages>
  <Words>333</Words>
  <Characters>1902</Characters>
  <Lines>15</Lines>
  <Paragraphs>4</Paragraphs>
  <TotalTime>0</TotalTime>
  <ScaleCrop>false</ScaleCrop>
  <LinksUpToDate>false</LinksUpToDate>
  <CharactersWithSpaces>2231</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2014-12-10T03:29:00Z</dcterms:created>
  <dc:creator>cityhunter</dc:creator>
  <cp:lastModifiedBy>TF-PC</cp:lastModifiedBy>
  <cp:lastPrinted>2008-03-21T06:40:00Z</cp:lastPrinted>
  <dcterms:modified xsi:type="dcterms:W3CDTF">2018-08-27T09:49:07Z</dcterms:modified>
  <dc:title>天津市东丽区人民法院刑事判决书（稿）</dc:title>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