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800" w:lineRule="exact"/>
        <w:ind w:right="-34"/>
        <w:jc w:val="center"/>
        <w:rPr>
          <w:rFonts w:hint="eastAsia" w:hAnsi="宋体"/>
          <w:sz w:val="44"/>
        </w:rPr>
      </w:pPr>
      <w:bookmarkStart w:id="0" w:name="_GoBack"/>
      <w:bookmarkEnd w:id="0"/>
      <w:r>
        <w:rPr>
          <w:rFonts w:hint="eastAsia" w:hAnsi="宋体"/>
          <w:sz w:val="44"/>
        </w:rPr>
        <w:t>天津市武清区人民法院</w:t>
      </w:r>
    </w:p>
    <w:p>
      <w:pPr>
        <w:pStyle w:val="3"/>
        <w:spacing w:line="800" w:lineRule="exact"/>
        <w:ind w:right="-34"/>
        <w:jc w:val="center"/>
        <w:rPr>
          <w:rFonts w:hint="eastAsia" w:hAnsi="宋体"/>
          <w:sz w:val="44"/>
        </w:rPr>
      </w:pPr>
      <w:r>
        <w:rPr>
          <w:rFonts w:hint="eastAsia" w:hAnsi="宋体"/>
          <w:spacing w:val="50"/>
          <w:sz w:val="52"/>
          <w:szCs w:val="52"/>
        </w:rPr>
        <w:t>刑 事 判 决 书</w:t>
      </w:r>
    </w:p>
    <w:p>
      <w:pPr>
        <w:pStyle w:val="3"/>
        <w:wordWrap w:val="0"/>
        <w:spacing w:line="240" w:lineRule="atLeast"/>
        <w:ind w:right="128"/>
        <w:jc w:val="right"/>
        <w:rPr>
          <w:rFonts w:hint="eastAsia" w:ascii="仿宋_GB2312" w:hAnsi="宋体" w:eastAsia="仿宋_GB2312"/>
          <w:sz w:val="32"/>
        </w:rPr>
      </w:pPr>
      <w:r>
        <w:rPr>
          <w:rFonts w:hint="eastAsia" w:ascii="仿宋_GB2312" w:hAnsi="宋体" w:eastAsia="仿宋_GB2312"/>
          <w:sz w:val="32"/>
        </w:rPr>
        <w:t xml:space="preserve">  </w:t>
      </w:r>
    </w:p>
    <w:p>
      <w:pPr>
        <w:pStyle w:val="3"/>
        <w:wordWrap w:val="0"/>
        <w:spacing w:line="240" w:lineRule="atLeast"/>
        <w:ind w:right="128"/>
        <w:jc w:val="right"/>
        <w:rPr>
          <w:rFonts w:hint="eastAsia" w:hAnsi="宋体"/>
          <w:sz w:val="44"/>
        </w:rPr>
      </w:pPr>
      <w:r>
        <w:rPr>
          <w:rFonts w:hint="eastAsia" w:ascii="仿宋_GB2312" w:hAnsi="宋体" w:eastAsia="仿宋_GB2312"/>
          <w:sz w:val="32"/>
        </w:rPr>
        <w:t>(2014)武刑初字第235号</w:t>
      </w:r>
    </w:p>
    <w:p>
      <w:pPr>
        <w:pStyle w:val="3"/>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公诉机关天津市武清区人民检察院。</w:t>
      </w:r>
    </w:p>
    <w:p>
      <w:pPr>
        <w:pStyle w:val="3"/>
        <w:spacing w:line="520" w:lineRule="exact"/>
        <w:ind w:firstLine="645"/>
        <w:rPr>
          <w:rFonts w:hint="eastAsia" w:ascii="仿宋_GB2312" w:hAnsi="宋体" w:eastAsia="仿宋_GB2312"/>
          <w:sz w:val="32"/>
        </w:rPr>
      </w:pPr>
      <w:r>
        <w:rPr>
          <w:rFonts w:hint="eastAsia" w:ascii="仿宋_GB2312" w:hAnsi="宋体" w:eastAsia="仿宋_GB2312"/>
          <w:sz w:val="32"/>
        </w:rPr>
        <w:t>被告人宋贺，男，1987年5月1日出生于天津市武清区，汉族，初中文化，群众，住武清区石各庄镇定子务村5区17号。因涉嫌犯信用卡诈骗罪于2013年10月16日被天津市公安局武清分局刑事拘留，同年11月19日被逮捕。现羁押于天津市武清区看守所。</w:t>
      </w:r>
    </w:p>
    <w:p>
      <w:pPr>
        <w:pStyle w:val="3"/>
        <w:spacing w:line="520" w:lineRule="exact"/>
        <w:ind w:firstLine="645"/>
        <w:rPr>
          <w:rFonts w:hint="eastAsia" w:ascii="仿宋_GB2312" w:hAnsi="宋体" w:eastAsia="仿宋_GB2312"/>
          <w:sz w:val="32"/>
        </w:rPr>
      </w:pPr>
      <w:r>
        <w:rPr>
          <w:rFonts w:hint="eastAsia" w:ascii="仿宋_GB2312" w:hAnsi="宋体" w:eastAsia="仿宋_GB2312"/>
          <w:sz w:val="32"/>
        </w:rPr>
        <w:t>天津市武清区人民检察院以津武检刑诉[2014]198号起诉书指控被告人宋贺犯信用卡诈骗罪，于2014年5月8日向本院提起公诉。本院于当日立案，并依法组成合议庭，公开开庭审理了本案。天津市武清区人民检察院指派代理检察员唐明出庭支持公诉，被告人宋贺到庭参加了诉讼。在2014年8月4日庭审中，公诉人发现本案需要补充侦查，建议法庭延期审理，合议庭同意。公诉机关于2014年9月3日将补充收集的证据移送本院，提请恢复法庭审理。现已审理终结。</w:t>
      </w:r>
    </w:p>
    <w:p>
      <w:pPr>
        <w:pStyle w:val="3"/>
        <w:spacing w:line="520" w:lineRule="exact"/>
        <w:ind w:firstLine="645"/>
        <w:rPr>
          <w:rFonts w:hint="eastAsia" w:ascii="仿宋_GB2312" w:hAnsi="宋体" w:eastAsia="仿宋_GB2312"/>
          <w:sz w:val="32"/>
        </w:rPr>
      </w:pPr>
      <w:r>
        <w:rPr>
          <w:rFonts w:hint="eastAsia" w:ascii="仿宋_GB2312" w:hAnsi="宋体" w:eastAsia="仿宋_GB2312"/>
          <w:sz w:val="32"/>
        </w:rPr>
        <w:t>经审理查明，被告人宋贺于2012年1月12日，在中国光大银行天津分行保税支行办理了阳光商旅白金信用卡，信用额度为20万元。后被告人宋贺于2012年2月至9月间，在没有还款能力的情况下，使用办理的信用卡在天津滨海泽辉商贸有限公司、东方之珠天津市武清区分店等处，进行套现、消费，共计透支人民币208651.42元。因被告人宋贺未按规定时间还付透支款，又经发卡行多次催收后超过三个月仍不归还，中国光大银行天津分行于2013年7月26日报警。</w:t>
      </w:r>
    </w:p>
    <w:p>
      <w:pPr>
        <w:pStyle w:val="3"/>
        <w:spacing w:line="520" w:lineRule="exact"/>
        <w:ind w:firstLine="645"/>
        <w:rPr>
          <w:rFonts w:hint="eastAsia" w:ascii="仿宋_GB2312" w:hAnsi="宋体" w:eastAsia="仿宋_GB2312"/>
          <w:sz w:val="32"/>
        </w:rPr>
      </w:pPr>
      <w:r>
        <w:rPr>
          <w:rFonts w:hint="eastAsia" w:ascii="仿宋_GB2312" w:hAnsi="宋体" w:eastAsia="仿宋_GB2312"/>
          <w:sz w:val="32"/>
        </w:rPr>
        <w:t>被告人宋贺于2013年3月至5月间，冒用刘继友、程东坡、杜新的中国光大银行信用卡，在天津市武清区信美轮胎经销处、天津市武清区焕祥家电商场等处，进行套现、消费，共计透支人民币48446.08元。</w:t>
      </w:r>
    </w:p>
    <w:p>
      <w:pPr>
        <w:pStyle w:val="3"/>
        <w:spacing w:line="520" w:lineRule="exact"/>
        <w:ind w:firstLine="645"/>
        <w:rPr>
          <w:rFonts w:hint="eastAsia" w:ascii="仿宋_GB2312" w:hAnsi="宋体" w:eastAsia="仿宋_GB2312"/>
          <w:sz w:val="32"/>
        </w:rPr>
      </w:pPr>
      <w:r>
        <w:rPr>
          <w:rFonts w:hint="eastAsia" w:ascii="仿宋_GB2312" w:hAnsi="宋体" w:eastAsia="仿宋_GB2312"/>
          <w:sz w:val="32"/>
        </w:rPr>
        <w:t>被告人宋贺于2013年4月为逃避中国光大银行天津分行催收透支款，更换了原与银行联系的手机号码并外出。后于同年10月16日主动到天津市公安局武清分局投案，并如实交代了上述事实。</w:t>
      </w:r>
    </w:p>
    <w:p>
      <w:pPr>
        <w:pStyle w:val="3"/>
        <w:spacing w:line="520" w:lineRule="exact"/>
        <w:ind w:firstLine="645"/>
        <w:rPr>
          <w:rFonts w:hint="eastAsia" w:ascii="仿宋_GB2312" w:hAnsi="宋体" w:eastAsia="仿宋_GB2312"/>
          <w:sz w:val="32"/>
        </w:rPr>
      </w:pPr>
      <w:r>
        <w:rPr>
          <w:rFonts w:hint="eastAsia" w:ascii="仿宋_GB2312" w:hAnsi="宋体" w:eastAsia="仿宋_GB2312"/>
          <w:sz w:val="32"/>
        </w:rPr>
        <w:t>上述事实，被告人宋贺在开庭审理中亦无异议，且有案件来源及到案经过、被害人陈述、证人证言、调取证据通知书及清单、信用卡交易明细材料、信用卡缴款通知书及催收记录、居民信息表等证据证实，足以认定。</w:t>
      </w:r>
    </w:p>
    <w:p>
      <w:pPr>
        <w:pStyle w:val="3"/>
        <w:spacing w:line="520" w:lineRule="exact"/>
        <w:ind w:firstLine="640" w:firstLineChars="200"/>
        <w:rPr>
          <w:rFonts w:hint="eastAsia" w:ascii="仿宋_GB2312" w:hAnsi="宋体" w:eastAsia="仿宋_GB2312"/>
          <w:sz w:val="32"/>
          <w:szCs w:val="32"/>
        </w:rPr>
      </w:pPr>
      <w:r>
        <w:rPr>
          <w:rFonts w:hint="eastAsia" w:ascii="仿宋_GB2312" w:hAnsi="宋体" w:eastAsia="仿宋_GB2312"/>
          <w:sz w:val="32"/>
        </w:rPr>
        <w:t>本院认为，被告人宋贺以</w:t>
      </w:r>
      <w:r>
        <w:rPr>
          <w:rFonts w:hint="eastAsia" w:ascii="仿宋_GB2312" w:hAnsi="宋体" w:eastAsia="仿宋_GB2312"/>
          <w:sz w:val="32"/>
          <w:szCs w:val="32"/>
        </w:rPr>
        <w:t>非法占有为目的，使用信用卡超过规定限额、规定期限透支，并且经发卡银行多次催收后仍不归还，且数额巨大，属恶意透支；还冒用他人信用卡骗取财物，</w:t>
      </w:r>
      <w:r>
        <w:rPr>
          <w:rFonts w:hint="eastAsia" w:ascii="仿宋_GB2312" w:eastAsia="仿宋_GB2312"/>
          <w:sz w:val="32"/>
          <w:szCs w:val="32"/>
        </w:rPr>
        <w:t>数额较大，</w:t>
      </w:r>
      <w:r>
        <w:rPr>
          <w:rFonts w:hint="eastAsia" w:ascii="仿宋_GB2312" w:hAnsi="宋体" w:eastAsia="仿宋_GB2312"/>
          <w:sz w:val="32"/>
        </w:rPr>
        <w:t>其行为已构成信用卡诈骗罪。公诉机关对被告人宋贺犯信用卡诈骗罪的指控成立，要求适用法律条款的意见是正确的，应予采纳。被告人宋贺犯罪以后自动投案，如实供述自己的罪行，是自首，依法可从轻处罚。被告人宋贺能够自愿认罪，依法可酌情从轻处罚。被告人宋贺犯信用卡诈骗罪，法定刑幅度为五年以上十年以下有期徒刑，并处五万元以上五十万元以下罚金。对于公诉人综合全案情况发表的建议对被告人宋贺犯信用卡诈骗罪判处有期徒刑五年至七年，并处罚金的量刑意见，本院予以采纳。</w:t>
      </w:r>
      <w:r>
        <w:rPr>
          <w:rFonts w:hint="eastAsia" w:ascii="仿宋_GB2312" w:eastAsia="仿宋_GB2312"/>
          <w:sz w:val="32"/>
          <w:szCs w:val="32"/>
        </w:rPr>
        <w:t>本院为维护社会秩序，保障国家的金融管理制度和公民的财产权利</w:t>
      </w:r>
      <w:r>
        <w:rPr>
          <w:rFonts w:ascii="仿宋_GB2312" w:hAnsi="宋体" w:eastAsia="仿宋_GB2312"/>
          <w:sz w:val="32"/>
        </w:rPr>
        <w:t>不受侵犯</w:t>
      </w:r>
      <w:r>
        <w:rPr>
          <w:rFonts w:hint="eastAsia" w:ascii="仿宋_GB2312" w:eastAsia="仿宋_GB2312"/>
          <w:sz w:val="32"/>
          <w:szCs w:val="32"/>
        </w:rPr>
        <w:t>，</w:t>
      </w:r>
      <w:r>
        <w:rPr>
          <w:rFonts w:hint="eastAsia" w:ascii="仿宋_GB2312" w:hAnsi="宋体" w:eastAsia="仿宋_GB2312"/>
          <w:sz w:val="32"/>
        </w:rPr>
        <w:t>依照《中华人民共和国刑法》第一百九十六条第一款第（三）项、第（四）项、第二款、第六十七条第一款、第六十四条的规定，判决如下：</w:t>
      </w:r>
    </w:p>
    <w:p>
      <w:pPr>
        <w:pStyle w:val="3"/>
        <w:spacing w:line="520" w:lineRule="exact"/>
        <w:ind w:firstLine="720"/>
        <w:rPr>
          <w:rFonts w:hint="eastAsia" w:ascii="仿宋_GB2312" w:eastAsia="仿宋_GB2312"/>
          <w:sz w:val="32"/>
        </w:rPr>
      </w:pPr>
      <w:r>
        <w:rPr>
          <w:rFonts w:hint="eastAsia" w:ascii="仿宋_GB2312" w:hAnsi="宋体" w:eastAsia="仿宋_GB2312"/>
          <w:sz w:val="32"/>
        </w:rPr>
        <w:t>一、被告人宋贺犯信用卡诈骗罪，判处有期徒刑六年六个月，并处罚金人民币15万元(</w:t>
      </w:r>
      <w:r>
        <w:rPr>
          <w:rFonts w:hint="eastAsia" w:ascii="仿宋_GB2312" w:eastAsia="仿宋_GB2312"/>
          <w:sz w:val="32"/>
        </w:rPr>
        <w:t>刑期从判决执行之日起计算。判决执行以前先行羁押的，羁押一日折抵刑期一日，即自二</w:t>
      </w:r>
      <w:r>
        <w:rPr>
          <w:rFonts w:hint="eastAsia" w:hAnsi="宋体" w:cs="宋体"/>
          <w:sz w:val="32"/>
        </w:rPr>
        <w:t>〇</w:t>
      </w:r>
      <w:r>
        <w:rPr>
          <w:rFonts w:hint="eastAsia" w:ascii="仿宋_GB2312" w:eastAsia="仿宋_GB2312"/>
          <w:sz w:val="32"/>
        </w:rPr>
        <w:t>一三年十月十六日起至二</w:t>
      </w:r>
      <w:r>
        <w:rPr>
          <w:rFonts w:hint="eastAsia" w:hAnsi="宋体" w:cs="宋体"/>
          <w:sz w:val="32"/>
        </w:rPr>
        <w:t>〇</w:t>
      </w:r>
      <w:r>
        <w:rPr>
          <w:rFonts w:hint="eastAsia" w:ascii="仿宋_GB2312" w:eastAsia="仿宋_GB2312"/>
          <w:sz w:val="32"/>
        </w:rPr>
        <w:t>二</w:t>
      </w:r>
      <w:r>
        <w:rPr>
          <w:rFonts w:hint="eastAsia" w:hAnsi="宋体" w:cs="宋体"/>
          <w:sz w:val="32"/>
        </w:rPr>
        <w:t>〇</w:t>
      </w:r>
      <w:r>
        <w:rPr>
          <w:rFonts w:hint="eastAsia" w:ascii="仿宋_GB2312" w:eastAsia="仿宋_GB2312"/>
          <w:sz w:val="32"/>
        </w:rPr>
        <w:t>年四月十五日止；</w:t>
      </w:r>
      <w:r>
        <w:rPr>
          <w:rFonts w:hint="eastAsia" w:ascii="仿宋_GB2312" w:hAnsi="宋体" w:eastAsia="仿宋_GB2312"/>
          <w:sz w:val="32"/>
        </w:rPr>
        <w:t>罚金自判决生效的第二日起十日内缴纳)</w:t>
      </w:r>
      <w:r>
        <w:rPr>
          <w:rFonts w:hint="eastAsia" w:ascii="仿宋_GB2312" w:eastAsia="仿宋_GB2312"/>
          <w:sz w:val="32"/>
        </w:rPr>
        <w:t>；</w:t>
      </w:r>
    </w:p>
    <w:p>
      <w:pPr>
        <w:pStyle w:val="3"/>
        <w:spacing w:line="520" w:lineRule="exact"/>
        <w:ind w:firstLine="720"/>
        <w:rPr>
          <w:rFonts w:hint="eastAsia" w:ascii="仿宋_GB2312" w:eastAsia="仿宋_GB2312"/>
          <w:sz w:val="32"/>
        </w:rPr>
      </w:pPr>
      <w:r>
        <w:rPr>
          <w:rFonts w:hint="eastAsia" w:ascii="仿宋_GB2312" w:eastAsia="仿宋_GB2312"/>
          <w:sz w:val="32"/>
        </w:rPr>
        <w:t>二、追缴被告人宋贺尚未退还的违法所得款人民币257097.50元，并发还被骗方。</w:t>
      </w:r>
    </w:p>
    <w:p>
      <w:pPr>
        <w:pStyle w:val="3"/>
        <w:spacing w:line="520" w:lineRule="exact"/>
        <w:ind w:firstLine="570"/>
        <w:rPr>
          <w:rFonts w:hint="eastAsia" w:ascii="仿宋_GB2312" w:hAnsi="宋体" w:eastAsia="仿宋_GB2312"/>
          <w:sz w:val="32"/>
        </w:rPr>
      </w:pPr>
      <w:r>
        <w:rPr>
          <w:rFonts w:hint="eastAsia" w:ascii="仿宋_GB2312" w:hAnsi="宋体" w:eastAsia="仿宋_GB2312"/>
          <w:sz w:val="32"/>
        </w:rPr>
        <w:t>如不服本判决，可在接到判决书的第二日起十日内，通过本院或者直接向天津市第一中级人民法院提出上诉，书面上诉的，应当提交上诉状正本一份、副本一份。</w:t>
      </w:r>
    </w:p>
    <w:p>
      <w:pPr>
        <w:pStyle w:val="3"/>
        <w:tabs>
          <w:tab w:val="left" w:pos="5250"/>
        </w:tabs>
        <w:spacing w:line="240" w:lineRule="atLeast"/>
        <w:ind w:right="640"/>
        <w:rPr>
          <w:rFonts w:hint="eastAsia" w:ascii="仿宋_GB2312" w:hAnsi="宋体" w:eastAsia="仿宋_GB2312"/>
          <w:sz w:val="32"/>
        </w:rPr>
      </w:pPr>
    </w:p>
    <w:p>
      <w:pPr>
        <w:pStyle w:val="3"/>
        <w:tabs>
          <w:tab w:val="left" w:pos="5250"/>
        </w:tabs>
        <w:spacing w:line="240" w:lineRule="atLeast"/>
        <w:ind w:right="640" w:firstLine="4160" w:firstLineChars="1300"/>
        <w:rPr>
          <w:rFonts w:hint="eastAsia" w:ascii="仿宋_GB2312" w:hAnsi="宋体" w:eastAsia="仿宋_GB2312"/>
          <w:sz w:val="32"/>
        </w:rPr>
      </w:pPr>
    </w:p>
    <w:p>
      <w:pPr>
        <w:pStyle w:val="3"/>
        <w:tabs>
          <w:tab w:val="left" w:pos="5250"/>
        </w:tabs>
        <w:spacing w:line="240" w:lineRule="atLeast"/>
        <w:ind w:right="640" w:firstLine="4160" w:firstLineChars="1300"/>
        <w:rPr>
          <w:rFonts w:hint="eastAsia" w:ascii="仿宋_GB2312" w:hAnsi="宋体" w:eastAsia="仿宋_GB2312"/>
          <w:sz w:val="32"/>
        </w:rPr>
      </w:pPr>
    </w:p>
    <w:p>
      <w:pPr>
        <w:pStyle w:val="3"/>
        <w:tabs>
          <w:tab w:val="left" w:pos="5250"/>
        </w:tabs>
        <w:spacing w:line="240" w:lineRule="atLeast"/>
        <w:ind w:right="640" w:firstLine="4160" w:firstLineChars="1300"/>
        <w:rPr>
          <w:rFonts w:hint="eastAsia" w:ascii="仿宋_GB2312" w:hAnsi="宋体" w:eastAsia="仿宋_GB2312"/>
          <w:sz w:val="32"/>
        </w:rPr>
      </w:pPr>
      <w:r>
        <w:rPr>
          <w:rFonts w:hint="eastAsia" w:ascii="仿宋_GB2312" w:hAnsi="宋体" w:eastAsia="仿宋_GB2312"/>
          <w:sz w:val="32"/>
        </w:rPr>
        <w:t>审  判  长        姚长胜</w:t>
      </w:r>
    </w:p>
    <w:p>
      <w:pPr>
        <w:pStyle w:val="3"/>
        <w:tabs>
          <w:tab w:val="left" w:pos="5250"/>
        </w:tabs>
        <w:spacing w:line="240" w:lineRule="atLeast"/>
        <w:ind w:right="640" w:firstLine="4160" w:firstLineChars="1300"/>
        <w:rPr>
          <w:rFonts w:hint="eastAsia" w:ascii="仿宋_GB2312" w:hAnsi="宋体" w:eastAsia="仿宋_GB2312"/>
          <w:sz w:val="32"/>
        </w:rPr>
      </w:pPr>
      <w:r>
        <w:rPr>
          <w:rFonts w:hint="eastAsia" w:ascii="仿宋_GB2312" w:hAnsi="宋体" w:eastAsia="仿宋_GB2312"/>
          <w:sz w:val="32"/>
        </w:rPr>
        <w:t>人民陪审员        张宝和</w:t>
      </w:r>
    </w:p>
    <w:p>
      <w:pPr>
        <w:pStyle w:val="3"/>
        <w:tabs>
          <w:tab w:val="left" w:pos="5250"/>
        </w:tabs>
        <w:spacing w:line="240" w:lineRule="atLeast"/>
        <w:ind w:right="640" w:firstLine="4160" w:firstLineChars="1300"/>
        <w:rPr>
          <w:rFonts w:hint="eastAsia" w:ascii="仿宋_GB2312" w:hAnsi="宋体" w:eastAsia="仿宋_GB2312"/>
          <w:sz w:val="32"/>
        </w:rPr>
      </w:pPr>
      <w:r>
        <w:rPr>
          <w:rFonts w:hint="eastAsia" w:ascii="仿宋_GB2312" w:hAnsi="宋体" w:eastAsia="仿宋_GB2312"/>
          <w:sz w:val="32"/>
        </w:rPr>
        <w:t>人民陪审员        肖玉霞</w:t>
      </w:r>
    </w:p>
    <w:p>
      <w:pPr>
        <w:pStyle w:val="3"/>
        <w:tabs>
          <w:tab w:val="left" w:pos="5250"/>
        </w:tabs>
        <w:spacing w:line="240" w:lineRule="atLeast"/>
        <w:ind w:right="640" w:firstLine="4160" w:firstLineChars="1300"/>
        <w:rPr>
          <w:rFonts w:hint="eastAsia" w:ascii="仿宋_GB2312" w:hAnsi="宋体" w:eastAsia="仿宋_GB2312"/>
          <w:sz w:val="32"/>
        </w:rPr>
      </w:pPr>
    </w:p>
    <w:p>
      <w:pPr>
        <w:pStyle w:val="3"/>
        <w:tabs>
          <w:tab w:val="left" w:pos="5250"/>
        </w:tabs>
        <w:spacing w:line="240" w:lineRule="atLeast"/>
        <w:ind w:right="640" w:firstLine="4160" w:firstLineChars="1300"/>
        <w:rPr>
          <w:rFonts w:hint="eastAsia" w:ascii="仿宋_GB2312" w:hAnsi="宋体" w:eastAsia="仿宋_GB2312"/>
          <w:sz w:val="32"/>
        </w:rPr>
      </w:pPr>
      <w:r>
        <w:rPr>
          <w:rFonts w:hint="eastAsia" w:ascii="仿宋_GB2312" w:hAnsi="宋体" w:eastAsia="仿宋_GB2312"/>
          <w:sz w:val="32"/>
        </w:rPr>
        <w:t>二</w:t>
      </w:r>
      <w:r>
        <w:rPr>
          <w:rFonts w:hint="eastAsia" w:hAnsi="宋体" w:cs="宋体"/>
          <w:sz w:val="32"/>
        </w:rPr>
        <w:t>〇</w:t>
      </w:r>
      <w:r>
        <w:rPr>
          <w:rFonts w:hint="eastAsia" w:ascii="仿宋_GB2312" w:hAnsi="宋体" w:eastAsia="仿宋_GB2312"/>
          <w:sz w:val="32"/>
        </w:rPr>
        <w:t>一四年 十二 月 三 日</w:t>
      </w:r>
    </w:p>
    <w:p>
      <w:pPr>
        <w:pStyle w:val="3"/>
        <w:spacing w:line="240" w:lineRule="atLeast"/>
        <w:ind w:right="640"/>
        <w:rPr>
          <w:rFonts w:hint="eastAsia" w:ascii="仿宋_GB2312" w:hAnsi="宋体" w:eastAsia="仿宋_GB2312"/>
          <w:sz w:val="32"/>
        </w:rPr>
      </w:pPr>
    </w:p>
    <w:p>
      <w:pPr>
        <w:pStyle w:val="3"/>
        <w:spacing w:line="240" w:lineRule="atLeast"/>
        <w:ind w:right="640" w:firstLine="570"/>
        <w:jc w:val="center"/>
        <w:rPr>
          <w:rFonts w:hint="eastAsia" w:ascii="仿宋_GB2312" w:hAnsi="宋体" w:eastAsia="仿宋_GB2312"/>
          <w:sz w:val="32"/>
        </w:rPr>
      </w:pPr>
      <w:r>
        <w:rPr>
          <w:rFonts w:hint="eastAsia" w:ascii="仿宋_GB2312" w:hAnsi="宋体" w:eastAsia="仿宋_GB2312"/>
          <w:sz w:val="32"/>
        </w:rPr>
        <w:t xml:space="preserve">                     书  记  员        常忠圆    </w:t>
      </w:r>
    </w:p>
    <w:p>
      <w:pPr>
        <w:pStyle w:val="3"/>
        <w:spacing w:line="240" w:lineRule="atLeast"/>
        <w:ind w:right="640" w:firstLine="570"/>
        <w:jc w:val="center"/>
        <w:rPr>
          <w:rFonts w:hint="eastAsia" w:ascii="仿宋_GB2312" w:hAnsi="宋体" w:eastAsia="仿宋_GB2312"/>
          <w:sz w:val="32"/>
        </w:rPr>
      </w:pPr>
      <w:r>
        <w:rPr>
          <w:rFonts w:hint="eastAsia" w:ascii="仿宋_GB2312" w:hAnsi="宋体" w:eastAsia="仿宋_GB2312"/>
          <w:sz w:val="32"/>
        </w:rPr>
        <w:t xml:space="preserve">              </w:t>
      </w:r>
    </w:p>
    <w:p>
      <w:pPr>
        <w:pStyle w:val="3"/>
        <w:spacing w:line="240" w:lineRule="atLeast"/>
        <w:rPr>
          <w:rFonts w:hint="eastAsia" w:ascii="仿宋_GB2312" w:hAnsi="宋体" w:eastAsia="仿宋_GB2312"/>
          <w:b/>
          <w:sz w:val="32"/>
        </w:rPr>
      </w:pPr>
      <w:r>
        <w:rPr>
          <w:rFonts w:hint="eastAsia" w:ascii="仿宋_GB2312" w:hAnsi="宋体" w:eastAsia="仿宋_GB2312"/>
          <w:b/>
          <w:sz w:val="32"/>
        </w:rPr>
        <w:t>附判决引用的</w:t>
      </w:r>
      <w:r>
        <w:rPr>
          <w:rFonts w:hint="eastAsia" w:ascii="仿宋_GB2312" w:hAnsi="宋体" w:eastAsia="仿宋_GB2312"/>
          <w:b/>
          <w:bCs/>
          <w:sz w:val="32"/>
        </w:rPr>
        <w:t>《中华人民共和国刑法》</w:t>
      </w:r>
      <w:r>
        <w:rPr>
          <w:rFonts w:hint="eastAsia" w:ascii="仿宋_GB2312" w:hAnsi="宋体" w:eastAsia="仿宋_GB2312"/>
          <w:b/>
          <w:sz w:val="32"/>
        </w:rPr>
        <w:t>相关法律条款：</w:t>
      </w:r>
    </w:p>
    <w:p>
      <w:pPr>
        <w:pStyle w:val="3"/>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3"/>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（一）使用伪造的信用卡，或者使用以虚假的身份证明骗领的信用卡的；</w:t>
      </w:r>
    </w:p>
    <w:p>
      <w:pPr>
        <w:pStyle w:val="3"/>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（二）使用作废的信用卡的；</w:t>
      </w:r>
    </w:p>
    <w:p>
      <w:pPr>
        <w:pStyle w:val="3"/>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（三）冒用他人信用卡的;</w:t>
      </w:r>
    </w:p>
    <w:p>
      <w:pPr>
        <w:pStyle w:val="3"/>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（四）恶意透支的。</w:t>
      </w:r>
    </w:p>
    <w:p>
      <w:pPr>
        <w:pStyle w:val="3"/>
        <w:spacing w:line="52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前款所称恶意透支，是指持卡人以非法占有为目的，超过规定限额或者规定期限透支，并且经发卡银行催收后仍不归还的行为。</w:t>
      </w:r>
    </w:p>
    <w:p>
      <w:pPr>
        <w:pStyle w:val="3"/>
        <w:spacing w:line="52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盗窃信用卡并使用的，依照本法第二百六十四条的规定定罪处罚。</w:t>
      </w:r>
    </w:p>
    <w:p>
      <w:pPr>
        <w:spacing w:line="520" w:lineRule="exact"/>
        <w:ind w:firstLine="636" w:firstLineChars="199"/>
        <w:rPr>
          <w:rFonts w:hint="eastAsia" w:ascii="仿宋_GB2312" w:eastAsia="仿宋_GB2312"/>
          <w:sz w:val="32"/>
          <w:szCs w:val="32"/>
        </w:rPr>
      </w:pPr>
      <w:r>
        <w:rPr>
          <w:rFonts w:hint="eastAsia" w:ascii="仿宋_GB2312" w:hAnsi="_GB2312" w:eastAsia="仿宋_GB2312"/>
          <w:bCs/>
          <w:smallCaps/>
          <w:color w:val="000000"/>
          <w:sz w:val="32"/>
          <w:szCs w:val="32"/>
        </w:rPr>
        <w:t>第六十七条</w:t>
      </w:r>
      <w:r>
        <w:rPr>
          <w:rFonts w:hint="eastAsia" w:ascii="仿宋_GB2312" w:eastAsia="仿宋_GB2312"/>
          <w:sz w:val="32"/>
          <w:szCs w:val="32"/>
        </w:rPr>
        <w:t>　犯罪以后自动投案，如实供述自己的罪行的，是自首。对于自首的犯罪分子，可以从轻或者减轻处罚。其中，犯罪较轻的，可以免除处罚。</w:t>
      </w:r>
      <w:r>
        <w:rPr>
          <w:rFonts w:hint="eastAsia" w:ascii="仿宋_GB2312" w:eastAsia="仿宋_GB2312"/>
          <w:sz w:val="32"/>
          <w:szCs w:val="32"/>
        </w:rPr>
        <w:br w:type="textWrapping"/>
      </w:r>
      <w:r>
        <w:rPr>
          <w:rFonts w:hint="eastAsia" w:ascii="仿宋_GB2312" w:eastAsia="仿宋_GB2312"/>
          <w:sz w:val="32"/>
          <w:szCs w:val="32"/>
        </w:rPr>
        <w:t>　　被采取强制措施的犯罪嫌疑人、被告人和正在服刑的罪犯，如实供述司法机关还未掌握的本人其他罪行的，以自首论。</w:t>
      </w:r>
    </w:p>
    <w:p>
      <w:pPr>
        <w:pStyle w:val="3"/>
        <w:spacing w:line="520" w:lineRule="exact"/>
        <w:ind w:firstLine="640" w:firstLineChars="200"/>
        <w:rPr>
          <w:rFonts w:hint="eastAsia" w:eastAsia="仿宋_GB2312"/>
          <w:sz w:val="32"/>
          <w:szCs w:val="32"/>
        </w:rPr>
      </w:pPr>
      <w:r>
        <w:rPr>
          <w:rFonts w:hint="eastAsia" w:ascii="仿宋_GB2312" w:eastAsia="仿宋_GB2312"/>
          <w:sz w:val="32"/>
          <w:szCs w:val="32"/>
        </w:rPr>
        <w:t>犯罪嫌疑人虽不具有前两款规定的自首情节，但是如实供述自己罪行的，可以从轻处罚；因其如实供述自己罪行，避免特别严重后果发生的，可以减轻处罚。</w:t>
      </w:r>
      <w:r>
        <w:rPr>
          <w:rFonts w:hint="eastAsia" w:ascii="仿宋_GB2312" w:eastAsia="仿宋_GB2312"/>
          <w:sz w:val="32"/>
          <w:szCs w:val="32"/>
        </w:rPr>
        <w:br w:type="textWrapping"/>
      </w:r>
      <w:r>
        <w:rPr>
          <w:rFonts w:hint="eastAsia" w:ascii="仿宋_GB2312" w:eastAsia="仿宋_GB2312"/>
          <w:sz w:val="32"/>
          <w:szCs w:val="32"/>
        </w:rPr>
        <w:t xml:space="preserve">    </w:t>
      </w:r>
      <w:r>
        <w:rPr>
          <w:rFonts w:hint="eastAsia" w:ascii="仿宋_GB2312" w:hAnsi="_GB2312" w:eastAsia="仿宋_GB2312"/>
          <w:bCs/>
          <w:smallCaps/>
          <w:color w:val="000000"/>
          <w:sz w:val="32"/>
          <w:szCs w:val="32"/>
        </w:rPr>
        <w:t>第六十四条</w:t>
      </w:r>
      <w:r>
        <w:rPr>
          <w:rFonts w:hint="eastAsia" w:ascii="仿宋_GB2312" w:eastAsia="仿宋_GB2312"/>
          <w:sz w:val="32"/>
          <w:szCs w:val="32"/>
        </w:rPr>
        <w:t>　犯罪分子违法所得的一切财物，应当予以追缴或者责令退赔；对被害人的合法财产，应当及时返还；违禁品和供犯罪所用的本人财物，应当予以没收。没收的财物和罚金，一律上缴国库，不得挪用和自行处理。</w:t>
      </w:r>
      <w:r>
        <w:rPr>
          <w:rFonts w:hint="eastAsia" w:ascii="仿宋_GB2312" w:eastAsia="仿宋_GB2312"/>
          <w:sz w:val="32"/>
          <w:szCs w:val="32"/>
        </w:rPr>
        <w:br w:type="textWrapping"/>
      </w:r>
    </w:p>
    <w:p>
      <w:pPr>
        <w:pStyle w:val="3"/>
        <w:spacing w:line="800" w:lineRule="exact"/>
        <w:jc w:val="center"/>
        <w:rPr>
          <w:rFonts w:hint="eastAsia" w:eastAsia="仿宋_GB2312"/>
          <w:sz w:val="44"/>
          <w:szCs w:val="44"/>
        </w:rPr>
      </w:pPr>
    </w:p>
    <w:p>
      <w:pPr>
        <w:pStyle w:val="3"/>
        <w:spacing w:line="800" w:lineRule="exact"/>
        <w:jc w:val="center"/>
        <w:rPr>
          <w:rFonts w:hint="eastAsia" w:eastAsia="仿宋_GB2312"/>
          <w:sz w:val="44"/>
          <w:szCs w:val="44"/>
        </w:rPr>
      </w:pPr>
    </w:p>
    <w:p>
      <w:pPr>
        <w:pStyle w:val="3"/>
        <w:spacing w:line="800" w:lineRule="exact"/>
        <w:jc w:val="center"/>
        <w:rPr>
          <w:rFonts w:hint="eastAsia" w:eastAsia="仿宋_GB2312"/>
          <w:sz w:val="44"/>
          <w:szCs w:val="44"/>
        </w:rPr>
      </w:pPr>
    </w:p>
    <w:p>
      <w:pPr>
        <w:pStyle w:val="3"/>
        <w:ind w:right="640"/>
        <w:rPr>
          <w:rFonts w:hint="eastAsia" w:ascii="仿宋_GB2312" w:hAnsi="宋体" w:eastAsia="仿宋_GB2312"/>
          <w:sz w:val="32"/>
        </w:rPr>
      </w:pP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425" w:num="1"/>
      <w:docGrid w:type="lines" w:linePitch="53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_GB2312">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3</w:t>
    </w:r>
    <w:r>
      <w:rPr>
        <w:rStyle w:val="10"/>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3E02"/>
    <w:rsid w:val="00012B07"/>
    <w:rsid w:val="0001765A"/>
    <w:rsid w:val="00023808"/>
    <w:rsid w:val="00031DDE"/>
    <w:rsid w:val="00034652"/>
    <w:rsid w:val="00052B19"/>
    <w:rsid w:val="00055EBF"/>
    <w:rsid w:val="00057286"/>
    <w:rsid w:val="00070E92"/>
    <w:rsid w:val="00085FC7"/>
    <w:rsid w:val="00092FBF"/>
    <w:rsid w:val="00093E02"/>
    <w:rsid w:val="000C25B7"/>
    <w:rsid w:val="000C6F23"/>
    <w:rsid w:val="000D1100"/>
    <w:rsid w:val="000E038E"/>
    <w:rsid w:val="000E3565"/>
    <w:rsid w:val="000E357D"/>
    <w:rsid w:val="000E3C2D"/>
    <w:rsid w:val="0010094C"/>
    <w:rsid w:val="0011144C"/>
    <w:rsid w:val="00113A4A"/>
    <w:rsid w:val="00122436"/>
    <w:rsid w:val="001361E3"/>
    <w:rsid w:val="00152136"/>
    <w:rsid w:val="00160E5A"/>
    <w:rsid w:val="00162C66"/>
    <w:rsid w:val="00167234"/>
    <w:rsid w:val="001724E5"/>
    <w:rsid w:val="001727C6"/>
    <w:rsid w:val="0017656E"/>
    <w:rsid w:val="001964A3"/>
    <w:rsid w:val="001979C9"/>
    <w:rsid w:val="001A398F"/>
    <w:rsid w:val="001A6278"/>
    <w:rsid w:val="001B5B42"/>
    <w:rsid w:val="001B634F"/>
    <w:rsid w:val="001C3363"/>
    <w:rsid w:val="001F44E1"/>
    <w:rsid w:val="001F71D4"/>
    <w:rsid w:val="00201394"/>
    <w:rsid w:val="002029D8"/>
    <w:rsid w:val="0021039E"/>
    <w:rsid w:val="00224676"/>
    <w:rsid w:val="00232669"/>
    <w:rsid w:val="0023465A"/>
    <w:rsid w:val="002369B7"/>
    <w:rsid w:val="00240018"/>
    <w:rsid w:val="0025701D"/>
    <w:rsid w:val="00262D21"/>
    <w:rsid w:val="00283C62"/>
    <w:rsid w:val="00294147"/>
    <w:rsid w:val="002A2105"/>
    <w:rsid w:val="002A3772"/>
    <w:rsid w:val="002C19E9"/>
    <w:rsid w:val="002C3292"/>
    <w:rsid w:val="002D1915"/>
    <w:rsid w:val="002E6DC6"/>
    <w:rsid w:val="002F41DC"/>
    <w:rsid w:val="002F5CC7"/>
    <w:rsid w:val="00303C6B"/>
    <w:rsid w:val="0031199F"/>
    <w:rsid w:val="0033240F"/>
    <w:rsid w:val="003376A4"/>
    <w:rsid w:val="00344C7E"/>
    <w:rsid w:val="00345FA3"/>
    <w:rsid w:val="00347180"/>
    <w:rsid w:val="00352273"/>
    <w:rsid w:val="0036027C"/>
    <w:rsid w:val="00360E57"/>
    <w:rsid w:val="00362B49"/>
    <w:rsid w:val="00391AE6"/>
    <w:rsid w:val="003922B8"/>
    <w:rsid w:val="003938DC"/>
    <w:rsid w:val="003A0A09"/>
    <w:rsid w:val="003B0B3E"/>
    <w:rsid w:val="003B2F10"/>
    <w:rsid w:val="003B6E92"/>
    <w:rsid w:val="003B707A"/>
    <w:rsid w:val="003C135D"/>
    <w:rsid w:val="003C15EB"/>
    <w:rsid w:val="003C1ACE"/>
    <w:rsid w:val="003D250A"/>
    <w:rsid w:val="003D26E5"/>
    <w:rsid w:val="003E1A7B"/>
    <w:rsid w:val="003E3971"/>
    <w:rsid w:val="003E4739"/>
    <w:rsid w:val="003E6C4C"/>
    <w:rsid w:val="003F54BA"/>
    <w:rsid w:val="003F63B9"/>
    <w:rsid w:val="00400D28"/>
    <w:rsid w:val="00421F61"/>
    <w:rsid w:val="004304FF"/>
    <w:rsid w:val="00431290"/>
    <w:rsid w:val="00431B5F"/>
    <w:rsid w:val="00444D5F"/>
    <w:rsid w:val="00445675"/>
    <w:rsid w:val="00454069"/>
    <w:rsid w:val="004547C7"/>
    <w:rsid w:val="0045631E"/>
    <w:rsid w:val="004564C4"/>
    <w:rsid w:val="004638DA"/>
    <w:rsid w:val="00464312"/>
    <w:rsid w:val="00474A66"/>
    <w:rsid w:val="00484864"/>
    <w:rsid w:val="004917BE"/>
    <w:rsid w:val="00492BA0"/>
    <w:rsid w:val="004934EA"/>
    <w:rsid w:val="00494E25"/>
    <w:rsid w:val="004C323F"/>
    <w:rsid w:val="004C5CF8"/>
    <w:rsid w:val="004E2188"/>
    <w:rsid w:val="004E435E"/>
    <w:rsid w:val="004E5685"/>
    <w:rsid w:val="004F2602"/>
    <w:rsid w:val="004F4EC3"/>
    <w:rsid w:val="004F7E68"/>
    <w:rsid w:val="00500691"/>
    <w:rsid w:val="00513557"/>
    <w:rsid w:val="00514D38"/>
    <w:rsid w:val="005236D9"/>
    <w:rsid w:val="00527FDD"/>
    <w:rsid w:val="00530A7F"/>
    <w:rsid w:val="005669C0"/>
    <w:rsid w:val="005742AE"/>
    <w:rsid w:val="00593CD3"/>
    <w:rsid w:val="005A371A"/>
    <w:rsid w:val="005A7C3D"/>
    <w:rsid w:val="005B112C"/>
    <w:rsid w:val="005C1034"/>
    <w:rsid w:val="005D35B6"/>
    <w:rsid w:val="005E2418"/>
    <w:rsid w:val="005F092B"/>
    <w:rsid w:val="00603344"/>
    <w:rsid w:val="00603D0D"/>
    <w:rsid w:val="0060604F"/>
    <w:rsid w:val="00614E0A"/>
    <w:rsid w:val="00615C50"/>
    <w:rsid w:val="0061619D"/>
    <w:rsid w:val="006204B9"/>
    <w:rsid w:val="00630B0F"/>
    <w:rsid w:val="0063578D"/>
    <w:rsid w:val="00645A73"/>
    <w:rsid w:val="0065620A"/>
    <w:rsid w:val="00667CA6"/>
    <w:rsid w:val="0067135A"/>
    <w:rsid w:val="00675EC8"/>
    <w:rsid w:val="00676C1A"/>
    <w:rsid w:val="00682664"/>
    <w:rsid w:val="006A1DEB"/>
    <w:rsid w:val="006A5FB5"/>
    <w:rsid w:val="006A77A4"/>
    <w:rsid w:val="006B4AB3"/>
    <w:rsid w:val="006B5549"/>
    <w:rsid w:val="006C24A8"/>
    <w:rsid w:val="006C30F4"/>
    <w:rsid w:val="006E0910"/>
    <w:rsid w:val="006E12A3"/>
    <w:rsid w:val="006E38CC"/>
    <w:rsid w:val="006E4347"/>
    <w:rsid w:val="006F2797"/>
    <w:rsid w:val="0070298B"/>
    <w:rsid w:val="00704346"/>
    <w:rsid w:val="007116A5"/>
    <w:rsid w:val="007163B0"/>
    <w:rsid w:val="007260BC"/>
    <w:rsid w:val="00727574"/>
    <w:rsid w:val="007309F7"/>
    <w:rsid w:val="007436CA"/>
    <w:rsid w:val="00745A51"/>
    <w:rsid w:val="007513D6"/>
    <w:rsid w:val="00754BEE"/>
    <w:rsid w:val="00770BC5"/>
    <w:rsid w:val="007868AA"/>
    <w:rsid w:val="007A00DB"/>
    <w:rsid w:val="007A361B"/>
    <w:rsid w:val="007B46C7"/>
    <w:rsid w:val="007C0B2C"/>
    <w:rsid w:val="007C2878"/>
    <w:rsid w:val="007C755A"/>
    <w:rsid w:val="007E6E6C"/>
    <w:rsid w:val="00800260"/>
    <w:rsid w:val="00810839"/>
    <w:rsid w:val="00816644"/>
    <w:rsid w:val="00833EB4"/>
    <w:rsid w:val="0084519C"/>
    <w:rsid w:val="008459BB"/>
    <w:rsid w:val="00851F45"/>
    <w:rsid w:val="00875A5A"/>
    <w:rsid w:val="00890B4C"/>
    <w:rsid w:val="008A2826"/>
    <w:rsid w:val="008C164C"/>
    <w:rsid w:val="008D5D5D"/>
    <w:rsid w:val="008E1F3F"/>
    <w:rsid w:val="008F1233"/>
    <w:rsid w:val="00914803"/>
    <w:rsid w:val="009170C0"/>
    <w:rsid w:val="009257BB"/>
    <w:rsid w:val="00927BFD"/>
    <w:rsid w:val="009446E4"/>
    <w:rsid w:val="00945330"/>
    <w:rsid w:val="0095761E"/>
    <w:rsid w:val="00957845"/>
    <w:rsid w:val="00965EE3"/>
    <w:rsid w:val="009713E7"/>
    <w:rsid w:val="009878B8"/>
    <w:rsid w:val="00997D5F"/>
    <w:rsid w:val="009A08A5"/>
    <w:rsid w:val="009A26C3"/>
    <w:rsid w:val="009D2264"/>
    <w:rsid w:val="009E7835"/>
    <w:rsid w:val="00A27C64"/>
    <w:rsid w:val="00A27D96"/>
    <w:rsid w:val="00A31588"/>
    <w:rsid w:val="00A31AA0"/>
    <w:rsid w:val="00A4308F"/>
    <w:rsid w:val="00A560A0"/>
    <w:rsid w:val="00A57540"/>
    <w:rsid w:val="00A67D79"/>
    <w:rsid w:val="00A741CE"/>
    <w:rsid w:val="00A74849"/>
    <w:rsid w:val="00AA295A"/>
    <w:rsid w:val="00AA521A"/>
    <w:rsid w:val="00AA7702"/>
    <w:rsid w:val="00AB1196"/>
    <w:rsid w:val="00AB3F01"/>
    <w:rsid w:val="00AB49EE"/>
    <w:rsid w:val="00AC32E9"/>
    <w:rsid w:val="00AC36F2"/>
    <w:rsid w:val="00AD391E"/>
    <w:rsid w:val="00AD6F1C"/>
    <w:rsid w:val="00AE770A"/>
    <w:rsid w:val="00AF45E1"/>
    <w:rsid w:val="00AF4796"/>
    <w:rsid w:val="00B0310B"/>
    <w:rsid w:val="00B048E1"/>
    <w:rsid w:val="00B13BE2"/>
    <w:rsid w:val="00B14460"/>
    <w:rsid w:val="00B24E70"/>
    <w:rsid w:val="00B34BFD"/>
    <w:rsid w:val="00B35068"/>
    <w:rsid w:val="00B81E16"/>
    <w:rsid w:val="00B84D43"/>
    <w:rsid w:val="00B973DE"/>
    <w:rsid w:val="00BA1835"/>
    <w:rsid w:val="00BB0CB0"/>
    <w:rsid w:val="00BB6F43"/>
    <w:rsid w:val="00BC2670"/>
    <w:rsid w:val="00BD5EBC"/>
    <w:rsid w:val="00BE4481"/>
    <w:rsid w:val="00C00383"/>
    <w:rsid w:val="00C0444C"/>
    <w:rsid w:val="00C11815"/>
    <w:rsid w:val="00C26AB4"/>
    <w:rsid w:val="00C26F5A"/>
    <w:rsid w:val="00C33B26"/>
    <w:rsid w:val="00C36C32"/>
    <w:rsid w:val="00C37F78"/>
    <w:rsid w:val="00C43C15"/>
    <w:rsid w:val="00C45328"/>
    <w:rsid w:val="00C46437"/>
    <w:rsid w:val="00C46FB5"/>
    <w:rsid w:val="00C47249"/>
    <w:rsid w:val="00C573E3"/>
    <w:rsid w:val="00C62BBC"/>
    <w:rsid w:val="00C642C9"/>
    <w:rsid w:val="00C74342"/>
    <w:rsid w:val="00C77C5C"/>
    <w:rsid w:val="00C80151"/>
    <w:rsid w:val="00C835D3"/>
    <w:rsid w:val="00CB51DE"/>
    <w:rsid w:val="00CC1C02"/>
    <w:rsid w:val="00CC4135"/>
    <w:rsid w:val="00CD61F7"/>
    <w:rsid w:val="00CD72BB"/>
    <w:rsid w:val="00CE3B2D"/>
    <w:rsid w:val="00CF1B23"/>
    <w:rsid w:val="00D022D6"/>
    <w:rsid w:val="00D11752"/>
    <w:rsid w:val="00D14906"/>
    <w:rsid w:val="00D21135"/>
    <w:rsid w:val="00D23773"/>
    <w:rsid w:val="00D247B4"/>
    <w:rsid w:val="00D4231B"/>
    <w:rsid w:val="00D44683"/>
    <w:rsid w:val="00D5498C"/>
    <w:rsid w:val="00D56CA6"/>
    <w:rsid w:val="00D655A6"/>
    <w:rsid w:val="00D75145"/>
    <w:rsid w:val="00D83F30"/>
    <w:rsid w:val="00D9435B"/>
    <w:rsid w:val="00D94D4C"/>
    <w:rsid w:val="00D96EF7"/>
    <w:rsid w:val="00D97872"/>
    <w:rsid w:val="00DA2A45"/>
    <w:rsid w:val="00DA4F70"/>
    <w:rsid w:val="00DB2494"/>
    <w:rsid w:val="00DB2F2B"/>
    <w:rsid w:val="00DC0297"/>
    <w:rsid w:val="00DC7716"/>
    <w:rsid w:val="00DC7F78"/>
    <w:rsid w:val="00DD196D"/>
    <w:rsid w:val="00DD405C"/>
    <w:rsid w:val="00DF639E"/>
    <w:rsid w:val="00E01590"/>
    <w:rsid w:val="00E15230"/>
    <w:rsid w:val="00E34137"/>
    <w:rsid w:val="00E355D0"/>
    <w:rsid w:val="00E42746"/>
    <w:rsid w:val="00E4290C"/>
    <w:rsid w:val="00E46DDC"/>
    <w:rsid w:val="00E62C24"/>
    <w:rsid w:val="00E64817"/>
    <w:rsid w:val="00E723EC"/>
    <w:rsid w:val="00E9684D"/>
    <w:rsid w:val="00E97B68"/>
    <w:rsid w:val="00EB0FE6"/>
    <w:rsid w:val="00EB24C6"/>
    <w:rsid w:val="00EC17B2"/>
    <w:rsid w:val="00EC7E5B"/>
    <w:rsid w:val="00ED1257"/>
    <w:rsid w:val="00ED4F79"/>
    <w:rsid w:val="00ED7732"/>
    <w:rsid w:val="00ED7E11"/>
    <w:rsid w:val="00EE3646"/>
    <w:rsid w:val="00EF5599"/>
    <w:rsid w:val="00F2660A"/>
    <w:rsid w:val="00F33CC1"/>
    <w:rsid w:val="00F36016"/>
    <w:rsid w:val="00F56B67"/>
    <w:rsid w:val="00F75D38"/>
    <w:rsid w:val="00F84A64"/>
    <w:rsid w:val="00F85CE1"/>
    <w:rsid w:val="00F91D97"/>
    <w:rsid w:val="00FA711F"/>
    <w:rsid w:val="00FB3D9A"/>
    <w:rsid w:val="00FD767D"/>
    <w:rsid w:val="00FE27EE"/>
    <w:rsid w:val="00FE3A02"/>
    <w:rsid w:val="00FE59F8"/>
    <w:rsid w:val="00FE7E24"/>
    <w:rsid w:val="0C0955D6"/>
    <w:rsid w:val="3EE46924"/>
    <w:rsid w:val="6B7A20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tbRl"/>
    </w:tcPr>
  </w:style>
  <w:style w:type="paragraph" w:styleId="2">
    <w:name w:val="Body Text"/>
    <w:basedOn w:val="1"/>
    <w:uiPriority w:val="0"/>
    <w:rPr>
      <w:sz w:val="24"/>
    </w:rPr>
  </w:style>
  <w:style w:type="paragraph" w:styleId="3">
    <w:name w:val="Plain Text"/>
    <w:basedOn w:val="1"/>
    <w:link w:val="13"/>
    <w:uiPriority w:val="0"/>
    <w:rPr>
      <w:rFonts w:ascii="宋体" w:hAnsi="Courier New" w:cs="Courier New"/>
      <w:szCs w:val="21"/>
    </w:rPr>
  </w:style>
  <w:style w:type="paragraph" w:styleId="4">
    <w:name w:val="Date"/>
    <w:basedOn w:val="1"/>
    <w:next w:val="1"/>
    <w:uiPriority w:val="0"/>
    <w:pPr>
      <w:ind w:left="100" w:leftChars="2500"/>
    </w:pPr>
    <w:rPr>
      <w:rFonts w:ascii="仿宋_GB2312" w:hAnsi="Courier New" w:eastAsia="仿宋_GB2312" w:cs="Courier New"/>
      <w:sz w:val="32"/>
      <w:szCs w:val="21"/>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jc w:val="left"/>
    </w:pPr>
    <w:rPr>
      <w:rFonts w:ascii="Arial Narrow" w:hAnsi="Arial Narrow" w:cs="宋体"/>
      <w:kern w:val="0"/>
      <w:sz w:val="18"/>
      <w:szCs w:val="18"/>
    </w:rPr>
  </w:style>
  <w:style w:type="paragraph" w:customStyle="1" w:styleId="9">
    <w:name w:val="Char"/>
    <w:basedOn w:val="1"/>
    <w:link w:val="8"/>
    <w:uiPriority w:val="0"/>
    <w:pPr>
      <w:widowControl/>
      <w:spacing w:after="160" w:line="240" w:lineRule="exact"/>
      <w:jc w:val="left"/>
    </w:pPr>
    <w:rPr>
      <w:rFonts w:ascii="Verdana" w:hAnsi="Verdana" w:eastAsia="仿宋_GB2312" w:cs="Verdana"/>
      <w:kern w:val="0"/>
      <w:sz w:val="24"/>
      <w:lang w:eastAsia="en-US"/>
    </w:rPr>
  </w:style>
  <w:style w:type="character" w:styleId="10">
    <w:name w:val="page number"/>
    <w:basedOn w:val="8"/>
    <w:uiPriority w:val="0"/>
  </w:style>
  <w:style w:type="paragraph" w:customStyle="1" w:styleId="12">
    <w:name w:val="font_name"/>
    <w:basedOn w:val="1"/>
    <w:qFormat/>
    <w:uiPriority w:val="0"/>
    <w:pPr>
      <w:widowControl/>
      <w:spacing w:before="100" w:beforeAutospacing="1" w:after="100" w:afterAutospacing="1" w:line="288" w:lineRule="auto"/>
      <w:jc w:val="left"/>
    </w:pPr>
    <w:rPr>
      <w:rFonts w:ascii="宋体" w:hAnsi="宋体"/>
      <w:kern w:val="0"/>
      <w:sz w:val="18"/>
      <w:szCs w:val="18"/>
    </w:rPr>
  </w:style>
  <w:style w:type="character" w:customStyle="1" w:styleId="13">
    <w:name w:val="纯文本 Char"/>
    <w:basedOn w:val="8"/>
    <w:link w:val="3"/>
    <w:qFormat/>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lx</Company>
  <Pages>1</Pages>
  <Words>344</Words>
  <Characters>1967</Characters>
  <Lines>16</Lines>
  <Paragraphs>4</Paragraphs>
  <TotalTime>0</TotalTime>
  <ScaleCrop>false</ScaleCrop>
  <LinksUpToDate>false</LinksUpToDate>
  <CharactersWithSpaces>2307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2014-11-24T00:54:00Z</dcterms:created>
  <dc:creator>user</dc:creator>
  <cp:lastModifiedBy>TF-PC</cp:lastModifiedBy>
  <cp:lastPrinted>2014-12-03T00:12:00Z</cp:lastPrinted>
  <dcterms:modified xsi:type="dcterms:W3CDTF">2018-08-27T09:47:58Z</dcterms:modified>
  <dc:title>庭  审  笔  录</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