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beforeLines="0" w:afterLines="0" w:line="520" w:lineRule="exact"/>
        <w:jc w:val="center"/>
        <w:rPr>
          <w:rFonts w:hint="default" w:ascii="宋体"/>
          <w:b/>
          <w:kern w:val="0"/>
          <w:sz w:val="44"/>
        </w:rPr>
      </w:pPr>
      <w:bookmarkStart w:id="0" w:name="_GoBack"/>
      <w:bookmarkEnd w:id="0"/>
      <w:r>
        <w:rPr>
          <w:rFonts w:hint="eastAsia" w:ascii="宋体" w:hAnsi="宋体"/>
          <w:b/>
          <w:kern w:val="0"/>
          <w:sz w:val="44"/>
        </w:rPr>
        <w:t>天津市河北区人民法院</w:t>
      </w:r>
    </w:p>
    <w:p>
      <w:pPr>
        <w:autoSpaceDE w:val="0"/>
        <w:autoSpaceDN w:val="0"/>
        <w:adjustRightInd w:val="0"/>
        <w:spacing w:beforeLines="0" w:afterLines="0" w:line="520" w:lineRule="exact"/>
        <w:jc w:val="center"/>
        <w:rPr>
          <w:rFonts w:hint="default" w:ascii="宋体"/>
          <w:b/>
          <w:kern w:val="0"/>
          <w:sz w:val="44"/>
        </w:rPr>
      </w:pPr>
    </w:p>
    <w:p>
      <w:pPr>
        <w:autoSpaceDE w:val="0"/>
        <w:autoSpaceDN w:val="0"/>
        <w:adjustRightInd w:val="0"/>
        <w:spacing w:beforeLines="0" w:afterLines="0" w:line="520" w:lineRule="exact"/>
        <w:jc w:val="center"/>
        <w:rPr>
          <w:rFonts w:hint="default" w:ascii="宋体"/>
          <w:b/>
          <w:kern w:val="0"/>
          <w:sz w:val="52"/>
        </w:rPr>
      </w:pPr>
      <w:r>
        <w:rPr>
          <w:rFonts w:hint="eastAsia" w:ascii="宋体" w:hAnsi="宋体"/>
          <w:b/>
          <w:kern w:val="0"/>
          <w:sz w:val="52"/>
        </w:rPr>
        <w:t>刑事判决书</w:t>
      </w:r>
    </w:p>
    <w:p>
      <w:pPr>
        <w:autoSpaceDE w:val="0"/>
        <w:autoSpaceDN w:val="0"/>
        <w:adjustRightInd w:val="0"/>
        <w:spacing w:beforeLines="0" w:afterLines="0" w:line="520" w:lineRule="exact"/>
        <w:jc w:val="center"/>
        <w:rPr>
          <w:rFonts w:hint="default" w:ascii="宋体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jc w:val="righ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(2013)北刑初字第291号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1" w:firstLineChars="200"/>
        <w:jc w:val="left"/>
        <w:rPr>
          <w:rFonts w:hint="default" w:ascii="仿宋_GB2312" w:eastAsia="仿宋_GB2312"/>
          <w:b/>
          <w:sz w:val="32"/>
        </w:rPr>
      </w:pP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公诉机关天津市河北区人民检察院。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被告人赵秀敏，女，1970年1月20日出生于天津市，公民身份证号码：120103197001205424，汉族，初中文化，无职业，住天津市河西区小海地景致里34门105号。户籍所在地：天津市河西区下河圈路百货楼3门303号。因本案于2013年4月3日被公安机关取保候审。经本院决定，公安机关于2013年11月6日执行逮捕，现羁押于天津市河北区看守所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天津市河北区人民检察院以津北检刑诉[2013]284号起诉书指控被告人赵秀敏犯信用卡诈骗罪，于2013年10月25日向本院提起公诉。本院依法适用简易程序，实行独任审判，公开开庭审理了本案。天津市河北区人民检察院指派检察员郝静、代理检察员尔虹霞出庭支持公诉，被告人赵秀敏到庭参加诉讼，现已审理终结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天津市河北区人民检察院指控，被告人赵秀敏于2009年12月申领并激活卡号为4033928003145591的中信银行信用卡一张，后使用该信用卡在本市河北区好利来中山北路店等地透支消费。2012年9月17日最后一次还款1700元后再无还款，经中信银行多次催缴仍不归还剩余欠款。截止至2013年4月2日透支共计人民币20044.76元，其中本金人民币16221.29元，利息等费用人民币3823.47元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经被害单位报案，公安机关遂对本案展开调查。经公安机关传唤，被告人赵秀敏于2013年4月3日到公安机关投案并如实供述了上述事实。2013年5月15日，被告人赵秀敏通过中信银行卡号为4033928003145591还款人民币1580元，后无能力继续偿还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上述事实，被告人赵秀敏在开庭审理过程中亦无异议，并有证人肖静证言，中信银行信用卡中心《赵秀敏涉嫌诈骗中信银行信用卡资金的报案材料》，公安机关案件来源、抓获经过，户籍证明以及中信银行存款回单等证据证实，足以认定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本院认为，被告人赵秀敏妨害信用卡管理秩序，以非法占有为目的，超过规定期限恶意透支信用卡，数额较大，并且经发卡银行多次催收后超过三个月仍不归还，其行为已构成信用卡诈骗罪。公诉机关指控被告人赵秀敏犯信用卡诈骗罪的罪名成立，应定罪科刑。被告人赵秀敏经公安机关传唤以后自动投案，如实供述自己的罪行，系自首，可以从轻处罚。被告人赵秀敏当庭认罪态度较好，可以酌情从轻处罚。据此，依照《中华人民共和国刑法》第一百九十六条第一款第（四）项，第二款，第六十七条之规定，判决如下：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被告人赵秀敏犯信用卡诈骗罪，判处有期徒刑七个月，并处罚金人民币20000元。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(刑期从判决执行之日起计算，判决执行以前先行羁押的，羁押一日，折抵刑期一日。即自2013年11月6日起至2014年6月5日止，罚金自判决生效后执行。)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如不服本判决，可在接到本判决书的第二日起十日内，通过本院或者直接向天津市第一中级人民法院提出上诉。书面上诉的，应提交上诉状正本一份，副本二份。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                            审  判  员    李金柱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eastAsia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                            二○一三年十一月五日   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                               书  记  员    曾姗姗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 xml:space="preserve"> </w:t>
      </w: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336" w:lineRule="auto"/>
        <w:ind w:firstLine="645"/>
        <w:jc w:val="left"/>
        <w:rPr>
          <w:rFonts w:hint="default" w:ascii="仿宋_GB2312" w:hAnsi="MS Sans Serif" w:eastAsia="仿宋_GB2312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rPr>
          <w:rFonts w:hint="default" w:ascii="仿宋_GB2312" w:hAnsi="MS Sans Serif" w:eastAsia="仿宋_GB2312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rPr>
          <w:rFonts w:hint="default" w:ascii="仿宋_GB2312" w:hAnsi="MS Sans Serif" w:eastAsia="仿宋_GB2312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rPr>
          <w:rFonts w:hint="default" w:ascii="仿宋_GB2312" w:hAnsi="MS Sans Serif" w:eastAsia="仿宋_GB2312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rPr>
          <w:rFonts w:hint="default" w:ascii="仿宋_GB2312" w:hAnsi="MS Sans Serif" w:eastAsia="仿宋_GB2312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rPr>
          <w:rFonts w:hint="default" w:ascii="仿宋_GB2312" w:hAnsi="MS Sans Serif" w:eastAsia="仿宋_GB2312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rPr>
          <w:rFonts w:hint="default" w:ascii="仿宋_GB2312" w:hAnsi="MS Sans Serif" w:eastAsia="仿宋_GB2312"/>
          <w:b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520" w:lineRule="exact"/>
        <w:rPr>
          <w:rFonts w:hint="default" w:ascii="仿宋_GB2312" w:hAnsi="MS Sans Serif" w:eastAsia="仿宋_GB2312"/>
          <w:b/>
          <w:kern w:val="0"/>
          <w:sz w:val="32"/>
        </w:rPr>
      </w:pPr>
      <w:r>
        <w:rPr>
          <w:rFonts w:hint="eastAsia" w:ascii="仿宋_GB2312" w:hAnsi="MS Sans Serif" w:eastAsia="仿宋_GB2312"/>
          <w:b/>
          <w:kern w:val="0"/>
          <w:sz w:val="32"/>
        </w:rPr>
        <w:t>附:</w:t>
      </w:r>
      <w:r>
        <w:rPr>
          <w:rFonts w:hint="default" w:eastAsia="仿宋_GB2312"/>
          <w:b/>
          <w:sz w:val="32"/>
        </w:rPr>
        <w:t xml:space="preserve"> </w:t>
      </w:r>
      <w:r>
        <w:rPr>
          <w:rFonts w:hint="eastAsia" w:eastAsia="仿宋_GB2312"/>
          <w:b/>
          <w:sz w:val="32"/>
        </w:rPr>
        <w:t>本判决适用法律条文</w:t>
      </w:r>
    </w:p>
    <w:p>
      <w:pPr>
        <w:autoSpaceDE w:val="0"/>
        <w:autoSpaceDN w:val="0"/>
        <w:adjustRightInd w:val="0"/>
        <w:spacing w:beforeLines="0" w:afterLines="0" w:line="520" w:lineRule="exact"/>
        <w:ind w:firstLine="641" w:firstLineChars="200"/>
        <w:rPr>
          <w:rFonts w:hint="default" w:ascii="仿宋_GB2312" w:hAnsi="MS Sans Serif" w:eastAsia="仿宋_GB2312"/>
          <w:b/>
          <w:kern w:val="0"/>
          <w:sz w:val="32"/>
        </w:rPr>
      </w:pPr>
      <w:r>
        <w:rPr>
          <w:rFonts w:hint="eastAsia" w:ascii="仿宋_GB2312" w:hAnsi="MS Sans Serif" w:eastAsia="仿宋_GB2312"/>
          <w:b/>
          <w:kern w:val="0"/>
          <w:sz w:val="32"/>
        </w:rPr>
        <w:t>《中华人民共和国刑法》</w:t>
      </w:r>
    </w:p>
    <w:p>
      <w:pPr>
        <w:autoSpaceDE w:val="0"/>
        <w:autoSpaceDN w:val="0"/>
        <w:adjustRightInd w:val="0"/>
        <w:spacing w:beforeLines="0" w:afterLines="0" w:line="600" w:lineRule="exact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第六十七条   犯罪以后自动投案，如实供述自己的罪行的，是自首。对于自首的犯罪分子，可以从轻或者减轻处罚。其中，犯罪较轻的，可以免除处罚。被采取强制措施的犯罪嫌疑人、被告人和正在服刑的罪犯，如实供述司法机关还未掌握的本人其他罪行的，以自首论。犯罪嫌疑人虽不具有前两款规定的自首情节，但是如实供述自己罪行的，可以从轻处罚；因其如实供述自己罪行，避免特别严重后果发生的，可以减轻处罚。</w:t>
      </w:r>
    </w:p>
    <w:p>
      <w:pPr>
        <w:autoSpaceDE w:val="0"/>
        <w:autoSpaceDN w:val="0"/>
        <w:adjustRightInd w:val="0"/>
        <w:spacing w:beforeLines="0" w:afterLines="0" w:line="600" w:lineRule="exact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第一百九十六条第一款第（四）项   （四）恶意透支的。</w:t>
      </w:r>
    </w:p>
    <w:p>
      <w:pPr>
        <w:autoSpaceDE w:val="0"/>
        <w:autoSpaceDN w:val="0"/>
        <w:adjustRightInd w:val="0"/>
        <w:spacing w:beforeLines="0" w:afterLines="0" w:line="600" w:lineRule="exact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  <w:r>
        <w:rPr>
          <w:rFonts w:hint="eastAsia" w:ascii="仿宋_GB2312" w:hAnsi="MS Sans Serif" w:eastAsia="仿宋_GB2312"/>
          <w:kern w:val="0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autoSpaceDE w:val="0"/>
        <w:autoSpaceDN w:val="0"/>
        <w:adjustRightInd w:val="0"/>
        <w:spacing w:beforeLines="0" w:afterLines="0" w:line="600" w:lineRule="exact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</w:p>
    <w:p>
      <w:pPr>
        <w:autoSpaceDE w:val="0"/>
        <w:autoSpaceDN w:val="0"/>
        <w:adjustRightInd w:val="0"/>
        <w:spacing w:beforeLines="0" w:afterLines="0" w:line="600" w:lineRule="exact"/>
        <w:ind w:firstLine="640" w:firstLineChars="200"/>
        <w:jc w:val="left"/>
        <w:rPr>
          <w:rFonts w:hint="default" w:ascii="仿宋_GB2312" w:hAnsi="MS Sans Serif" w:eastAsia="仿宋_GB2312"/>
          <w:kern w:val="0"/>
          <w:sz w:val="32"/>
        </w:rPr>
      </w:pPr>
    </w:p>
    <w:p>
      <w:pPr>
        <w:spacing w:beforeLines="0" w:afterLines="0"/>
        <w:ind w:firstLine="640" w:firstLineChars="200"/>
        <w:rPr>
          <w:rFonts w:hint="default" w:ascii="仿宋_GB2312" w:eastAsia="仿宋_GB2312"/>
          <w:sz w:val="32"/>
        </w:rPr>
      </w:pPr>
    </w:p>
    <w:p>
      <w:pPr>
        <w:spacing w:beforeLines="0" w:afterLines="0"/>
        <w:ind w:firstLine="640" w:firstLineChars="200"/>
        <w:rPr>
          <w:rFonts w:hint="default" w:ascii="仿宋_GB2312" w:eastAsia="仿宋_GB2312"/>
          <w:sz w:val="32"/>
        </w:rPr>
      </w:pPr>
    </w:p>
    <w:sectPr>
      <w:footerReference r:id="rId3" w:type="default"/>
      <w:pgSz w:w="11907" w:h="16840"/>
      <w:pgMar w:top="2268" w:right="1134" w:bottom="1701" w:left="1701" w:header="720" w:footer="1418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spacing w:beforeLines="0" w:afterLines="0"/>
      <w:rPr>
        <w:rStyle w:val="5"/>
        <w:rFonts w:hint="default"/>
        <w:sz w:val="18"/>
      </w:rPr>
    </w:pPr>
    <w:r>
      <w:rPr>
        <w:rStyle w:val="5"/>
        <w:rFonts w:hint="default"/>
        <w:sz w:val="18"/>
      </w:rPr>
      <w:fldChar w:fldCharType="begin"/>
    </w:r>
    <w:r>
      <w:rPr>
        <w:rStyle w:val="5"/>
        <w:rFonts w:hint="default"/>
        <w:sz w:val="18"/>
      </w:rPr>
      <w:instrText xml:space="preserve">PAGE  </w:instrText>
    </w:r>
    <w:r>
      <w:rPr>
        <w:rStyle w:val="5"/>
        <w:rFonts w:hint="default"/>
        <w:sz w:val="18"/>
      </w:rPr>
      <w:fldChar w:fldCharType="separate"/>
    </w:r>
    <w:r>
      <w:rPr>
        <w:rStyle w:val="5"/>
        <w:rFonts w:hint="default"/>
        <w:sz w:val="18"/>
      </w:rPr>
      <w:t>2</w:t>
    </w:r>
    <w:r>
      <w:rPr>
        <w:rStyle w:val="5"/>
        <w:rFonts w:hint="default"/>
        <w:sz w:val="18"/>
      </w:rPr>
      <w:fldChar w:fldCharType="end"/>
    </w:r>
  </w:p>
  <w:p>
    <w:pPr>
      <w:pStyle w:val="2"/>
      <w:spacing w:beforeLines="0" w:afterLines="0"/>
      <w:rPr>
        <w:rFonts w:hint="default"/>
        <w:sz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05"/>
  <w:drawingGridVerticalSpacing w:val="120"/>
  <w:displayHorizontalDrawingGridEvery w:val="0"/>
  <w:displayVerticalDrawingGridEvery w:val="3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1777496A"/>
    <w:rsid w:val="5F747827"/>
    <w:rsid w:val="76010D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semiHidden="0" w:name="Default Paragraph Font" w:locked="1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link w:val="4"/>
    <w:unhideWhenUsed/>
    <w:qFormat/>
    <w:locked/>
    <w:uiPriority w:val="99"/>
    <w:rPr>
      <w:rFonts w:hint="default"/>
      <w:sz w:val="24"/>
    </w:rPr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</w:rPr>
  </w:style>
  <w:style w:type="paragraph" w:customStyle="1" w:styleId="4">
    <w:name w:val="Char"/>
    <w:basedOn w:val="1"/>
    <w:link w:val="3"/>
    <w:unhideWhenUsed/>
    <w:uiPriority w:val="99"/>
    <w:pPr>
      <w:widowControl/>
      <w:spacing w:beforeLines="0" w:after="160" w:afterLines="0" w:line="240" w:lineRule="exact"/>
      <w:jc w:val="left"/>
    </w:pPr>
    <w:rPr>
      <w:rFonts w:hint="eastAsia" w:ascii="Verdana" w:hAnsi="Verdana" w:eastAsia="仿宋_GB2312"/>
      <w:sz w:val="24"/>
      <w:lang w:eastAsia="en-US"/>
    </w:rPr>
  </w:style>
  <w:style w:type="character" w:styleId="5">
    <w:name w:val="page number"/>
    <w:basedOn w:val="3"/>
    <w:unhideWhenUsed/>
    <w:uiPriority w:val="99"/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2018-08-27T08:59:00Z</dcterms:created>
  <cp:lastModifiedBy>TF-PC</cp:lastModifiedBy>
  <dcterms:modified xsi:type="dcterms:W3CDTF">2018-08-27T09:48:04Z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