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566"/>
        <w:jc w:val="center"/>
        <w:rPr>
          <w:rFonts w:hint="eastAsia" w:ascii="楷体_GB2312" w:eastAsia="楷体_GB2312"/>
          <w:sz w:val="44"/>
          <w:szCs w:val="44"/>
        </w:rPr>
      </w:pPr>
      <w:bookmarkStart w:id="0" w:name="_GoBack"/>
      <w:bookmarkEnd w:id="0"/>
      <w:r>
        <w:rPr>
          <w:rFonts w:hint="eastAsia" w:ascii="楷体_GB2312" w:eastAsia="楷体_GB2312"/>
          <w:sz w:val="44"/>
          <w:szCs w:val="44"/>
        </w:rPr>
        <w:t xml:space="preserve"> 天津市河西区人民法院</w:t>
      </w:r>
    </w:p>
    <w:p>
      <w:pPr>
        <w:spacing w:line="360" w:lineRule="auto"/>
        <w:jc w:val="center"/>
        <w:rPr>
          <w:rFonts w:hint="eastAsia" w:eastAsia="黑体"/>
          <w:sz w:val="52"/>
          <w:szCs w:val="52"/>
        </w:rPr>
      </w:pPr>
      <w:r>
        <w:rPr>
          <w:rFonts w:eastAsia="黑体"/>
          <w:sz w:val="52"/>
          <w:szCs w:val="52"/>
        </w:rPr>
        <w:t>刑</w:t>
      </w:r>
      <w:r>
        <w:rPr>
          <w:rFonts w:hint="eastAsia" w:eastAsia="黑体"/>
          <w:sz w:val="52"/>
          <w:szCs w:val="52"/>
        </w:rPr>
        <w:t xml:space="preserve"> </w:t>
      </w:r>
      <w:r>
        <w:rPr>
          <w:rFonts w:eastAsia="黑体"/>
          <w:sz w:val="52"/>
          <w:szCs w:val="52"/>
        </w:rPr>
        <w:t>事</w:t>
      </w:r>
      <w:r>
        <w:rPr>
          <w:rFonts w:hint="eastAsia" w:eastAsia="黑体"/>
          <w:sz w:val="52"/>
          <w:szCs w:val="52"/>
        </w:rPr>
        <w:t xml:space="preserve"> </w:t>
      </w:r>
      <w:r>
        <w:rPr>
          <w:rFonts w:eastAsia="黑体"/>
          <w:sz w:val="52"/>
          <w:szCs w:val="52"/>
        </w:rPr>
        <w:t>判</w:t>
      </w:r>
      <w:r>
        <w:rPr>
          <w:rFonts w:hint="eastAsia" w:eastAsia="黑体"/>
          <w:sz w:val="52"/>
          <w:szCs w:val="52"/>
        </w:rPr>
        <w:t xml:space="preserve"> </w:t>
      </w:r>
      <w:r>
        <w:rPr>
          <w:rFonts w:eastAsia="黑体"/>
          <w:sz w:val="52"/>
          <w:szCs w:val="52"/>
        </w:rPr>
        <w:t>决</w:t>
      </w:r>
      <w:r>
        <w:rPr>
          <w:rFonts w:hint="eastAsia" w:eastAsia="黑体"/>
          <w:sz w:val="52"/>
          <w:szCs w:val="52"/>
        </w:rPr>
        <w:t xml:space="preserve"> </w:t>
      </w:r>
      <w:r>
        <w:rPr>
          <w:rFonts w:eastAsia="黑体"/>
          <w:sz w:val="52"/>
          <w:szCs w:val="52"/>
        </w:rPr>
        <w:t>书</w:t>
      </w:r>
    </w:p>
    <w:p>
      <w:pPr>
        <w:tabs>
          <w:tab w:val="left" w:pos="8460"/>
        </w:tabs>
        <w:spacing w:line="480" w:lineRule="exact"/>
        <w:rPr>
          <w:rFonts w:hint="eastAsia" w:eastAsia="黑体"/>
          <w:sz w:val="52"/>
          <w:szCs w:val="52"/>
        </w:rPr>
      </w:pPr>
    </w:p>
    <w:p>
      <w:pPr>
        <w:widowControl/>
        <w:snapToGrid w:val="0"/>
        <w:spacing w:line="500" w:lineRule="exact"/>
        <w:ind w:firstLine="640" w:firstLineChars="200"/>
        <w:jc w:val="right"/>
        <w:rPr>
          <w:rFonts w:eastAsia="仿宋_GB2312"/>
          <w:sz w:val="32"/>
          <w:szCs w:val="32"/>
        </w:rPr>
      </w:pPr>
      <w:r>
        <w:rPr>
          <w:rFonts w:eastAsia="仿宋_GB2312"/>
          <w:sz w:val="32"/>
          <w:szCs w:val="32"/>
        </w:rPr>
        <w:t>（2014）西刑初字第519号</w:t>
      </w:r>
    </w:p>
    <w:p>
      <w:pPr>
        <w:widowControl/>
        <w:snapToGrid w:val="0"/>
        <w:spacing w:line="500" w:lineRule="exact"/>
        <w:ind w:firstLine="640" w:firstLineChars="200"/>
        <w:jc w:val="right"/>
        <w:rPr>
          <w:rFonts w:eastAsia="仿宋_GB2312"/>
          <w:kern w:val="0"/>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autoSpaceDE w:val="0"/>
        <w:autoSpaceDN w:val="0"/>
        <w:adjustRightInd w:val="0"/>
        <w:spacing w:line="500" w:lineRule="exact"/>
        <w:ind w:firstLine="636" w:firstLineChars="199"/>
        <w:rPr>
          <w:rFonts w:eastAsia="仿宋_GB2312"/>
          <w:kern w:val="0"/>
          <w:sz w:val="32"/>
          <w:szCs w:val="32"/>
          <w:lang w:val="zh-CN"/>
        </w:rPr>
      </w:pPr>
      <w:r>
        <w:rPr>
          <w:rFonts w:eastAsia="仿宋_GB2312"/>
          <w:kern w:val="0"/>
          <w:sz w:val="32"/>
          <w:szCs w:val="32"/>
        </w:rPr>
        <w:t> 被告人郑玉宝，男，1980年11月5日出生，公民身份号码：120106198011057510，汉族，中专文化，无职业，住天津市河东区祈和新苑3-1-302，户籍地天津市红桥区佳园道佳园南里78门202号。2012年6月21日因犯诈骗罪被广东省深圳市罗湖区人民法院判处有期徒刑七个月，并处罚金人民币1000元，2012年11月18日释放。2014年4月18日被刑事拘留， 2014年4月29日因涉嫌信用卡诈骗罪被依法逮捕，现羁押于天津市河西区看守所。</w:t>
      </w:r>
    </w:p>
    <w:p>
      <w:pPr>
        <w:widowControl/>
        <w:tabs>
          <w:tab w:val="left" w:pos="711"/>
        </w:tabs>
        <w:snapToGrid w:val="0"/>
        <w:spacing w:line="500" w:lineRule="exact"/>
        <w:rPr>
          <w:rFonts w:eastAsia="仿宋_GB2312"/>
          <w:kern w:val="0"/>
          <w:sz w:val="32"/>
          <w:szCs w:val="32"/>
        </w:rPr>
      </w:pPr>
      <w:r>
        <w:rPr>
          <w:rFonts w:eastAsia="仿宋_GB2312"/>
          <w:kern w:val="0"/>
          <w:sz w:val="32"/>
          <w:szCs w:val="32"/>
        </w:rPr>
        <w:tab/>
      </w:r>
      <w:r>
        <w:rPr>
          <w:rFonts w:eastAsia="仿宋_GB2312"/>
          <w:kern w:val="0"/>
          <w:sz w:val="32"/>
          <w:szCs w:val="32"/>
        </w:rPr>
        <w:t>天津市河西区人民检察院以津西检公诉刑诉[2014]497号起诉书指控被告人郑玉宝犯信用卡诈骗罪，于2014年12月8日向本院提起公诉，并提出量刑建议。</w:t>
      </w:r>
      <w:r>
        <w:rPr>
          <w:rFonts w:hAnsi="仿宋_GB2312" w:eastAsia="仿宋_GB2312"/>
          <w:kern w:val="0"/>
          <w:sz w:val="32"/>
          <w:szCs w:val="32"/>
        </w:rPr>
        <w:t>本院依法组成合议庭，适用简易程序，公开开庭审理了本案。天津市河西区人民检察院指派代理检察员于菲</w:t>
      </w:r>
      <w:r>
        <w:rPr>
          <w:rFonts w:hint="eastAsia" w:hAnsi="仿宋_GB2312" w:eastAsia="仿宋_GB2312"/>
          <w:kern w:val="0"/>
          <w:sz w:val="32"/>
          <w:szCs w:val="32"/>
        </w:rPr>
        <w:t>、高卓见</w:t>
      </w:r>
      <w:r>
        <w:rPr>
          <w:rFonts w:hAnsi="仿宋_GB2312" w:eastAsia="仿宋_GB2312"/>
          <w:kern w:val="0"/>
          <w:sz w:val="32"/>
          <w:szCs w:val="32"/>
        </w:rPr>
        <w:t>出庭支持公诉。</w:t>
      </w:r>
      <w:r>
        <w:rPr>
          <w:rFonts w:eastAsia="仿宋_GB2312"/>
          <w:kern w:val="0"/>
          <w:sz w:val="32"/>
          <w:szCs w:val="32"/>
        </w:rPr>
        <w:t>被告人郑玉宝到庭参加了诉讼。现已审理终结。</w:t>
      </w:r>
    </w:p>
    <w:p>
      <w:pPr>
        <w:widowControl/>
        <w:snapToGrid w:val="0"/>
        <w:spacing w:line="500" w:lineRule="exact"/>
        <w:ind w:firstLine="645"/>
        <w:rPr>
          <w:rFonts w:eastAsia="仿宋_GB2312"/>
          <w:kern w:val="0"/>
          <w:sz w:val="32"/>
          <w:szCs w:val="32"/>
        </w:rPr>
      </w:pPr>
      <w:r>
        <w:rPr>
          <w:rFonts w:eastAsia="仿宋_GB2312"/>
          <w:kern w:val="0"/>
          <w:sz w:val="32"/>
          <w:szCs w:val="32"/>
        </w:rPr>
        <w:t>经审理查明，2008年4月21日，被告人郑玉宝在中国民生银行股份有限公司天津分行以其个人名义申领信用卡一张（卡号：4218709983783214）。后被告人郑玉宝使用该卡透支消费，于 2008年9月23日归还部分欠款后就不再归还欠款，并更换联系方式及住址躲避银行催收。截至2012年4月20日，被告人郑玉宝恶意透支信用卡本息共计人民币194353.62元，其中本金人民币39997.8元。</w:t>
      </w:r>
    </w:p>
    <w:p>
      <w:pPr>
        <w:widowControl/>
        <w:snapToGrid w:val="0"/>
        <w:spacing w:line="500" w:lineRule="exact"/>
        <w:ind w:firstLine="645"/>
        <w:rPr>
          <w:rFonts w:eastAsia="仿宋_GB2312"/>
          <w:kern w:val="0"/>
          <w:sz w:val="32"/>
          <w:szCs w:val="32"/>
        </w:rPr>
      </w:pPr>
      <w:r>
        <w:rPr>
          <w:rFonts w:eastAsia="仿宋_GB2312"/>
          <w:kern w:val="0"/>
          <w:sz w:val="32"/>
          <w:szCs w:val="32"/>
        </w:rPr>
        <w:t>2007年11月，被告人郑玉宝以其个人名义申领上海浦发银行信用卡一张（卡号：4047380011785428）。后被告人郑玉宝使用该卡透支消费，于 2008年6月17日归还部分欠款后经发卡银行多次催收后未再还款，并更换联系方式及住址躲避银行催收。截至2011年8月14日，被告人郑玉宝恶意透支信用卡本息共计人民币16957.58元，其中本金人民币7766.15元。</w:t>
      </w:r>
    </w:p>
    <w:p>
      <w:pPr>
        <w:widowControl/>
        <w:snapToGrid w:val="0"/>
        <w:spacing w:line="500" w:lineRule="exact"/>
        <w:ind w:firstLine="645"/>
        <w:rPr>
          <w:rFonts w:eastAsia="仿宋_GB2312"/>
          <w:kern w:val="0"/>
          <w:sz w:val="32"/>
          <w:szCs w:val="32"/>
        </w:rPr>
      </w:pPr>
      <w:r>
        <w:rPr>
          <w:rFonts w:eastAsia="仿宋_GB2312"/>
          <w:kern w:val="0"/>
          <w:sz w:val="32"/>
          <w:szCs w:val="32"/>
        </w:rPr>
        <w:t>2007年12月3日，被告人郑玉宝以其个人名义申领招商银行信用卡一张（卡号：4392605110331489）。后被告人郑玉宝使用该卡透支消费，于 2008年9月25日归还部分欠款后经发卡银行多次催收后未再还款，并更换联系方式及住址躲避银行催收。截至2014年6月12日，被告人郑玉宝恶意透支信用卡本息共计人民币23250.29元，其中本金人民币20565. 5元。</w:t>
      </w:r>
    </w:p>
    <w:p>
      <w:pPr>
        <w:widowControl/>
        <w:snapToGrid w:val="0"/>
        <w:spacing w:line="500" w:lineRule="exact"/>
        <w:ind w:firstLine="645"/>
        <w:rPr>
          <w:rFonts w:eastAsia="仿宋_GB2312"/>
          <w:kern w:val="0"/>
          <w:sz w:val="32"/>
          <w:szCs w:val="32"/>
        </w:rPr>
      </w:pPr>
      <w:r>
        <w:rPr>
          <w:rFonts w:eastAsia="仿宋_GB2312"/>
          <w:kern w:val="0"/>
          <w:sz w:val="32"/>
          <w:szCs w:val="32"/>
        </w:rPr>
        <w:t>2014年4月18日，被告人郑玉宝被公安机关抓获。</w:t>
      </w:r>
    </w:p>
    <w:p>
      <w:pPr>
        <w:widowControl/>
        <w:snapToGrid w:val="0"/>
        <w:spacing w:line="500" w:lineRule="exact"/>
        <w:ind w:firstLine="645"/>
        <w:rPr>
          <w:rFonts w:eastAsia="仿宋_GB2312"/>
          <w:kern w:val="0"/>
          <w:sz w:val="32"/>
          <w:szCs w:val="32"/>
        </w:rPr>
      </w:pPr>
      <w:r>
        <w:rPr>
          <w:rFonts w:eastAsia="仿宋_GB2312"/>
          <w:kern w:val="0"/>
          <w:sz w:val="32"/>
          <w:szCs w:val="32"/>
        </w:rPr>
        <w:t>上述事实，被告人郑玉宝在开庭审理过程中亦无异议，</w:t>
      </w:r>
      <w:r>
        <w:rPr>
          <w:rFonts w:hint="eastAsia" w:eastAsia="仿宋_GB2312"/>
          <w:kern w:val="0"/>
          <w:sz w:val="32"/>
          <w:szCs w:val="32"/>
        </w:rPr>
        <w:t>表示认罪，</w:t>
      </w:r>
      <w:r>
        <w:rPr>
          <w:rFonts w:eastAsia="仿宋_GB2312"/>
          <w:kern w:val="0"/>
          <w:sz w:val="32"/>
          <w:szCs w:val="32"/>
        </w:rPr>
        <w:t>并有三被害单位报案记录，证人成某的证言，被告人郑玉宝申领信用卡的相关手续，民生银行、上海浦发银行、招商银行的申请材料，被告人的消费记录及催收记录，信用卡明细查询记录，被告人的户籍材料及违法犯罪记录，公安机关出具的案件来源、抓获经过等证据证实，足以认定。</w:t>
      </w:r>
    </w:p>
    <w:p>
      <w:pPr>
        <w:spacing w:line="500" w:lineRule="exact"/>
        <w:ind w:firstLine="645"/>
        <w:rPr>
          <w:rFonts w:eastAsia="仿宋_GB2312"/>
          <w:sz w:val="32"/>
          <w:szCs w:val="32"/>
        </w:rPr>
      </w:pPr>
      <w:r>
        <w:rPr>
          <w:rFonts w:eastAsia="仿宋_GB2312"/>
          <w:kern w:val="0"/>
          <w:sz w:val="32"/>
          <w:szCs w:val="32"/>
        </w:rPr>
        <w:t>本院认为，被告人郑玉宝目无国家法律，以非法占有为目的，使用信用卡恶意透支共计人民币68000余元，数额较大，经发卡行多次催收，超过规定期限仍不归还，其行为已构成信用卡诈骗罪。</w:t>
      </w:r>
      <w:r>
        <w:rPr>
          <w:rFonts w:eastAsia="仿宋_GB2312"/>
          <w:sz w:val="32"/>
          <w:szCs w:val="32"/>
        </w:rPr>
        <w:t>天津市河西区人民检察院指控被告人郑玉宝犯信用卡诈骗罪，事实清楚，证据充分，罪名成立，本院予以支持。</w:t>
      </w:r>
      <w:r>
        <w:rPr>
          <w:rFonts w:eastAsia="仿宋_GB2312"/>
          <w:kern w:val="0"/>
          <w:sz w:val="32"/>
          <w:szCs w:val="32"/>
          <w:lang w:val="zh-CN"/>
        </w:rPr>
        <w:t>被告人郑玉宝到案后如实供述犯罪事实，依法可从轻处罚</w:t>
      </w:r>
      <w:r>
        <w:rPr>
          <w:rFonts w:eastAsia="仿宋_GB2312"/>
          <w:sz w:val="32"/>
          <w:szCs w:val="32"/>
        </w:rPr>
        <w:t>。为严肃国家法律，维护金融管理秩序，</w:t>
      </w:r>
      <w:r>
        <w:rPr>
          <w:rFonts w:eastAsia="仿宋_GB2312"/>
          <w:bCs/>
          <w:kern w:val="0"/>
          <w:sz w:val="32"/>
          <w:szCs w:val="32"/>
          <w:lang w:val="zh-CN"/>
        </w:rPr>
        <w:t>保护公私财产权利不受侵犯。同时考虑</w:t>
      </w:r>
      <w:r>
        <w:rPr>
          <w:rFonts w:eastAsia="仿宋_GB2312"/>
          <w:kern w:val="0"/>
          <w:sz w:val="32"/>
          <w:szCs w:val="32"/>
        </w:rPr>
        <w:t>被告人郭玉宝的</w:t>
      </w:r>
      <w:r>
        <w:rPr>
          <w:rFonts w:eastAsia="仿宋_GB2312"/>
          <w:bCs/>
          <w:kern w:val="0"/>
          <w:sz w:val="32"/>
          <w:szCs w:val="32"/>
        </w:rPr>
        <w:t>认罪态度，</w:t>
      </w:r>
      <w:r>
        <w:rPr>
          <w:rFonts w:eastAsia="仿宋_GB2312"/>
          <w:bCs/>
          <w:sz w:val="32"/>
          <w:szCs w:val="32"/>
        </w:rPr>
        <w:t>犯罪情节、性质、社会危害程度</w:t>
      </w:r>
      <w:r>
        <w:rPr>
          <w:rFonts w:eastAsia="仿宋_GB2312"/>
          <w:bCs/>
          <w:kern w:val="0"/>
          <w:sz w:val="32"/>
          <w:szCs w:val="32"/>
        </w:rPr>
        <w:t>之情节。</w:t>
      </w:r>
      <w:r>
        <w:rPr>
          <w:rFonts w:eastAsia="仿宋_GB2312"/>
          <w:kern w:val="0"/>
          <w:sz w:val="32"/>
          <w:szCs w:val="32"/>
        </w:rPr>
        <w:t>依照《中华人民共和国刑法》第一百九十六条第一款</w:t>
      </w:r>
      <w:r>
        <w:rPr>
          <w:rFonts w:eastAsia="仿宋_GB2312"/>
          <w:sz w:val="32"/>
          <w:szCs w:val="32"/>
        </w:rPr>
        <w:t>第（四）项</w:t>
      </w:r>
      <w:r>
        <w:rPr>
          <w:rFonts w:eastAsia="仿宋_GB2312"/>
          <w:kern w:val="0"/>
          <w:sz w:val="32"/>
          <w:szCs w:val="32"/>
        </w:rPr>
        <w:t>、第二款、第六十四条、第六十七条第三款之规定，判决如下：</w:t>
      </w:r>
    </w:p>
    <w:p>
      <w:pPr>
        <w:spacing w:line="500" w:lineRule="exact"/>
        <w:ind w:firstLine="640" w:firstLineChars="200"/>
        <w:rPr>
          <w:rFonts w:eastAsia="仿宋_GB2312"/>
          <w:kern w:val="0"/>
          <w:sz w:val="32"/>
          <w:szCs w:val="32"/>
        </w:rPr>
      </w:pPr>
      <w:r>
        <w:rPr>
          <w:rFonts w:eastAsia="仿宋_GB2312"/>
          <w:kern w:val="0"/>
          <w:sz w:val="32"/>
          <w:szCs w:val="32"/>
        </w:rPr>
        <w:t>一、被告人郑玉宝犯信用卡诈骗罪，判处有期徒刑三年</w:t>
      </w:r>
      <w:r>
        <w:rPr>
          <w:rFonts w:eastAsia="仿宋_GB2312"/>
          <w:bCs/>
          <w:kern w:val="0"/>
          <w:sz w:val="32"/>
          <w:szCs w:val="32"/>
          <w:lang w:val="zh-CN"/>
        </w:rPr>
        <w:t>。</w:t>
      </w:r>
      <w:r>
        <w:rPr>
          <w:rFonts w:eastAsia="仿宋_GB2312"/>
          <w:kern w:val="0"/>
          <w:sz w:val="32"/>
          <w:szCs w:val="32"/>
        </w:rPr>
        <w:t>罚金人民币20000元。（刑期从判决执行之日起计算。判决执行以前先行羁押的，羁押一日折抵刑期一日，即自2014年4月18日起至2017年4月17日止。罚金于判决生效后十日缴纳。）</w:t>
      </w:r>
    </w:p>
    <w:p>
      <w:pPr>
        <w:spacing w:line="500" w:lineRule="exact"/>
        <w:ind w:firstLine="640" w:firstLineChars="200"/>
        <w:rPr>
          <w:rFonts w:eastAsia="仿宋_GB2312"/>
          <w:kern w:val="0"/>
          <w:sz w:val="32"/>
          <w:szCs w:val="32"/>
        </w:rPr>
      </w:pPr>
      <w:r>
        <w:rPr>
          <w:rFonts w:eastAsia="仿宋_GB2312"/>
          <w:kern w:val="0"/>
          <w:sz w:val="32"/>
          <w:szCs w:val="32"/>
        </w:rPr>
        <w:t>二、</w:t>
      </w:r>
      <w:r>
        <w:rPr>
          <w:rFonts w:hint="eastAsia" w:eastAsia="仿宋_GB2312"/>
          <w:kern w:val="0"/>
          <w:sz w:val="32"/>
          <w:szCs w:val="32"/>
        </w:rPr>
        <w:t>责令</w:t>
      </w:r>
      <w:r>
        <w:rPr>
          <w:rFonts w:eastAsia="仿宋_GB2312"/>
          <w:kern w:val="0"/>
          <w:sz w:val="32"/>
          <w:szCs w:val="32"/>
        </w:rPr>
        <w:t>被告人郑玉宝所得赃款退赔被害单位。</w:t>
      </w:r>
    </w:p>
    <w:p>
      <w:pPr>
        <w:spacing w:line="500" w:lineRule="exact"/>
        <w:ind w:firstLine="640" w:firstLineChars="20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如不服本判决，可在接到判决书的第二日起十日内，通过本院或者直接向天津市第二中级人民法院提出上诉。书面上诉的，应当提交上诉状正本一份，副本两份。</w:t>
      </w:r>
    </w:p>
    <w:p>
      <w:pPr>
        <w:widowControl/>
        <w:snapToGrid w:val="0"/>
        <w:spacing w:line="500" w:lineRule="exact"/>
        <w:ind w:firstLine="640"/>
        <w:jc w:val="right"/>
        <w:rPr>
          <w:rFonts w:hint="eastAsia" w:eastAsia="仿宋_GB2312"/>
          <w:kern w:val="0"/>
          <w:sz w:val="32"/>
          <w:szCs w:val="32"/>
        </w:rPr>
      </w:pPr>
      <w:r>
        <w:rPr>
          <w:rFonts w:eastAsia="仿宋_GB2312"/>
          <w:kern w:val="0"/>
          <w:sz w:val="32"/>
          <w:szCs w:val="32"/>
        </w:rPr>
        <w:t xml:space="preserve">  </w:t>
      </w:r>
    </w:p>
    <w:p>
      <w:pPr>
        <w:widowControl/>
        <w:snapToGrid w:val="0"/>
        <w:spacing w:line="500" w:lineRule="exact"/>
        <w:ind w:firstLine="640"/>
        <w:jc w:val="right"/>
        <w:rPr>
          <w:rFonts w:hint="eastAsia" w:eastAsia="仿宋_GB2312"/>
          <w:kern w:val="0"/>
          <w:sz w:val="32"/>
          <w:szCs w:val="32"/>
        </w:rPr>
      </w:pPr>
    </w:p>
    <w:p>
      <w:pPr>
        <w:widowControl/>
        <w:snapToGrid w:val="0"/>
        <w:spacing w:line="500" w:lineRule="exact"/>
        <w:ind w:right="640"/>
        <w:rPr>
          <w:rFonts w:eastAsia="仿宋_GB2312"/>
          <w:kern w:val="0"/>
          <w:sz w:val="32"/>
          <w:szCs w:val="32"/>
        </w:rPr>
      </w:pPr>
    </w:p>
    <w:p>
      <w:pPr>
        <w:widowControl/>
        <w:snapToGrid w:val="0"/>
        <w:spacing w:line="500" w:lineRule="exact"/>
        <w:ind w:firstLine="640"/>
        <w:jc w:val="right"/>
        <w:rPr>
          <w:rFonts w:eastAsia="仿宋_GB2312"/>
          <w:sz w:val="32"/>
          <w:szCs w:val="32"/>
        </w:rPr>
      </w:pPr>
      <w:r>
        <w:rPr>
          <w:rFonts w:eastAsia="仿宋_GB2312"/>
          <w:sz w:val="32"/>
          <w:szCs w:val="32"/>
        </w:rPr>
        <w:t>审  判  长  王小江</w:t>
      </w:r>
    </w:p>
    <w:p>
      <w:pPr>
        <w:widowControl/>
        <w:snapToGrid w:val="0"/>
        <w:spacing w:line="500" w:lineRule="exact"/>
        <w:ind w:firstLine="640"/>
        <w:jc w:val="right"/>
        <w:rPr>
          <w:rFonts w:eastAsia="仿宋_GB2312"/>
          <w:sz w:val="32"/>
          <w:szCs w:val="32"/>
        </w:rPr>
      </w:pPr>
      <w:r>
        <w:rPr>
          <w:rFonts w:eastAsia="仿宋_GB2312"/>
          <w:sz w:val="32"/>
          <w:szCs w:val="32"/>
        </w:rPr>
        <w:t>审  判  员  闫  清</w:t>
      </w:r>
    </w:p>
    <w:p>
      <w:pPr>
        <w:wordWrap w:val="0"/>
        <w:spacing w:line="500" w:lineRule="exact"/>
        <w:ind w:firstLine="5398" w:firstLineChars="1687"/>
        <w:jc w:val="right"/>
        <w:rPr>
          <w:rFonts w:hint="eastAsia" w:eastAsia="仿宋_GB2312"/>
          <w:sz w:val="32"/>
          <w:szCs w:val="32"/>
        </w:rPr>
      </w:pPr>
      <w:r>
        <w:rPr>
          <w:rFonts w:eastAsia="仿宋_GB2312"/>
          <w:sz w:val="32"/>
          <w:szCs w:val="32"/>
        </w:rPr>
        <w:t xml:space="preserve">代理审判员  </w:t>
      </w:r>
      <w:r>
        <w:rPr>
          <w:rFonts w:hint="eastAsia" w:eastAsia="仿宋_GB2312"/>
          <w:sz w:val="32"/>
          <w:szCs w:val="32"/>
        </w:rPr>
        <w:t>刘  毅</w:t>
      </w:r>
    </w:p>
    <w:p>
      <w:pPr>
        <w:spacing w:line="500" w:lineRule="exact"/>
        <w:ind w:firstLine="5398" w:firstLineChars="1687"/>
        <w:jc w:val="right"/>
        <w:rPr>
          <w:rFonts w:hint="eastAsia" w:eastAsia="仿宋_GB2312"/>
          <w:sz w:val="32"/>
          <w:szCs w:val="32"/>
        </w:rPr>
      </w:pPr>
    </w:p>
    <w:p>
      <w:pPr>
        <w:pStyle w:val="4"/>
        <w:spacing w:line="500" w:lineRule="exact"/>
        <w:ind w:right="26"/>
        <w:jc w:val="right"/>
        <w:rPr>
          <w:rFonts w:hint="eastAsia" w:eastAsia="仿宋_GB2312"/>
          <w:bCs/>
          <w:sz w:val="32"/>
          <w:szCs w:val="32"/>
        </w:rPr>
      </w:pPr>
      <w:r>
        <w:rPr>
          <w:rFonts w:eastAsia="仿宋_GB2312"/>
          <w:bCs/>
          <w:sz w:val="32"/>
          <w:szCs w:val="32"/>
        </w:rPr>
        <w:t>二</w:t>
      </w:r>
      <w:r>
        <w:rPr>
          <w:bCs/>
          <w:sz w:val="32"/>
          <w:szCs w:val="32"/>
        </w:rPr>
        <w:t>〇</w:t>
      </w:r>
      <w:r>
        <w:rPr>
          <w:rFonts w:eastAsia="仿宋_GB2312"/>
          <w:bCs/>
          <w:sz w:val="32"/>
          <w:szCs w:val="32"/>
        </w:rPr>
        <w:t>一四年</w:t>
      </w:r>
      <w:r>
        <w:rPr>
          <w:rFonts w:hint="eastAsia" w:eastAsia="仿宋_GB2312"/>
          <w:bCs/>
          <w:sz w:val="32"/>
          <w:szCs w:val="32"/>
        </w:rPr>
        <w:t>十二</w:t>
      </w:r>
      <w:r>
        <w:rPr>
          <w:rFonts w:eastAsia="仿宋_GB2312"/>
          <w:bCs/>
          <w:sz w:val="32"/>
          <w:szCs w:val="32"/>
        </w:rPr>
        <w:t>月</w:t>
      </w:r>
      <w:r>
        <w:rPr>
          <w:rFonts w:hint="eastAsia" w:eastAsia="仿宋_GB2312"/>
          <w:bCs/>
          <w:sz w:val="32"/>
          <w:szCs w:val="32"/>
        </w:rPr>
        <w:t>十九</w:t>
      </w:r>
      <w:r>
        <w:rPr>
          <w:rFonts w:eastAsia="仿宋_GB2312"/>
          <w:bCs/>
          <w:sz w:val="32"/>
          <w:szCs w:val="32"/>
        </w:rPr>
        <w:t>日</w:t>
      </w:r>
    </w:p>
    <w:p>
      <w:pPr>
        <w:pStyle w:val="4"/>
        <w:spacing w:line="500" w:lineRule="exact"/>
        <w:ind w:right="26"/>
        <w:jc w:val="right"/>
        <w:rPr>
          <w:rFonts w:hint="eastAsia" w:eastAsia="仿宋_GB2312"/>
          <w:bCs/>
          <w:sz w:val="32"/>
          <w:szCs w:val="32"/>
        </w:rPr>
      </w:pPr>
    </w:p>
    <w:p>
      <w:pPr>
        <w:spacing w:line="500" w:lineRule="exact"/>
        <w:ind w:right="18"/>
        <w:jc w:val="right"/>
        <w:rPr>
          <w:rFonts w:eastAsia="仿宋_GB2312"/>
          <w:sz w:val="32"/>
          <w:szCs w:val="32"/>
        </w:rPr>
      </w:pPr>
      <w:r>
        <w:rPr>
          <w:rFonts w:eastAsia="仿宋_GB2312"/>
          <w:sz w:val="32"/>
          <w:szCs w:val="32"/>
        </w:rPr>
        <w:t>书 记 员    刘丛薇</w:t>
      </w:r>
    </w:p>
    <w:p>
      <w:pPr>
        <w:spacing w:line="500" w:lineRule="exact"/>
        <w:ind w:right="18"/>
        <w:jc w:val="right"/>
        <w:rPr>
          <w:rFonts w:eastAsia="仿宋_GB2312"/>
          <w:sz w:val="32"/>
          <w:szCs w:val="32"/>
        </w:rPr>
      </w:pPr>
      <w:r>
        <w:rPr>
          <w:rFonts w:eastAsia="仿宋_GB2312"/>
          <w:sz w:val="32"/>
          <w:szCs w:val="32"/>
        </w:rPr>
        <w:t>速 录 员    王  欣</w:t>
      </w:r>
    </w:p>
    <w:p>
      <w:pPr>
        <w:spacing w:line="500" w:lineRule="exact"/>
        <w:rPr>
          <w:rFonts w:hint="eastAsia" w:eastAsia="仿宋_GB2312"/>
          <w:sz w:val="32"/>
          <w:szCs w:val="32"/>
        </w:rPr>
      </w:pPr>
      <w:r>
        <w:rPr>
          <w:rFonts w:hint="eastAsia" w:eastAsia="仿宋_GB2312"/>
          <w:sz w:val="32"/>
          <w:szCs w:val="32"/>
        </w:rPr>
        <w:t>（此页无正文）</w:t>
      </w: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szCs w:val="32"/>
        </w:rPr>
      </w:pPr>
      <w:r>
        <w:rPr>
          <w:rFonts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32"/>
        </w:rPr>
      </w:pPr>
      <w:r>
        <w:rPr>
          <w:rFonts w:eastAsia="仿宋_GB2312"/>
          <w:sz w:val="32"/>
          <w:szCs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szCs w:val="32"/>
        </w:rPr>
      </w:pPr>
      <w:r>
        <w:rPr>
          <w:rFonts w:eastAsia="仿宋_GB2312"/>
          <w:sz w:val="32"/>
          <w:szCs w:val="32"/>
        </w:rPr>
        <w:t>（四）恶意透支的。</w:t>
      </w:r>
    </w:p>
    <w:p>
      <w:pPr>
        <w:spacing w:line="500" w:lineRule="exact"/>
        <w:ind w:firstLine="640" w:firstLineChars="200"/>
        <w:rPr>
          <w:rFonts w:hint="eastAsia" w:eastAsia="仿宋_GB2312"/>
          <w:sz w:val="32"/>
          <w:szCs w:val="32"/>
        </w:rPr>
      </w:pPr>
      <w:r>
        <w:rPr>
          <w:rFonts w:eastAsia="仿宋_GB2312"/>
          <w:sz w:val="32"/>
          <w:szCs w:val="32"/>
        </w:rPr>
        <w:t>第一百九十六条第二款   前款所称恶意透支，是指持卡人以非法占有为目的，超过规定限额或者规定期限透支，并且经发卡银行催收后仍不归还的行为。</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3E0"/>
    <w:rsid w:val="00041E4A"/>
    <w:rsid w:val="0005287B"/>
    <w:rsid w:val="00061C55"/>
    <w:rsid w:val="00076FC0"/>
    <w:rsid w:val="00087445"/>
    <w:rsid w:val="0009218A"/>
    <w:rsid w:val="000C651D"/>
    <w:rsid w:val="000F5B6B"/>
    <w:rsid w:val="001250BF"/>
    <w:rsid w:val="00126FBD"/>
    <w:rsid w:val="00132C30"/>
    <w:rsid w:val="00134EB2"/>
    <w:rsid w:val="00142909"/>
    <w:rsid w:val="0014340D"/>
    <w:rsid w:val="00154985"/>
    <w:rsid w:val="00157F5C"/>
    <w:rsid w:val="001838C8"/>
    <w:rsid w:val="001A23A2"/>
    <w:rsid w:val="001B15B6"/>
    <w:rsid w:val="001B7693"/>
    <w:rsid w:val="00203D2B"/>
    <w:rsid w:val="00220F13"/>
    <w:rsid w:val="00222B1C"/>
    <w:rsid w:val="00246E03"/>
    <w:rsid w:val="002478C7"/>
    <w:rsid w:val="00253599"/>
    <w:rsid w:val="002574D0"/>
    <w:rsid w:val="00280615"/>
    <w:rsid w:val="002A4532"/>
    <w:rsid w:val="002B3365"/>
    <w:rsid w:val="002B7BE3"/>
    <w:rsid w:val="002C1FCD"/>
    <w:rsid w:val="002C5F23"/>
    <w:rsid w:val="002C6990"/>
    <w:rsid w:val="002F399F"/>
    <w:rsid w:val="003105DA"/>
    <w:rsid w:val="00317D75"/>
    <w:rsid w:val="003261F9"/>
    <w:rsid w:val="003406E7"/>
    <w:rsid w:val="0034546B"/>
    <w:rsid w:val="00363736"/>
    <w:rsid w:val="00377BBB"/>
    <w:rsid w:val="00382E42"/>
    <w:rsid w:val="003850C1"/>
    <w:rsid w:val="00385B1E"/>
    <w:rsid w:val="00390A70"/>
    <w:rsid w:val="003A1D38"/>
    <w:rsid w:val="003C7F48"/>
    <w:rsid w:val="003D6453"/>
    <w:rsid w:val="003E602E"/>
    <w:rsid w:val="0041227B"/>
    <w:rsid w:val="00422FF4"/>
    <w:rsid w:val="00423AB0"/>
    <w:rsid w:val="00432830"/>
    <w:rsid w:val="004605EE"/>
    <w:rsid w:val="00462C63"/>
    <w:rsid w:val="00464106"/>
    <w:rsid w:val="00465194"/>
    <w:rsid w:val="00465854"/>
    <w:rsid w:val="004768FD"/>
    <w:rsid w:val="004B011D"/>
    <w:rsid w:val="004D603D"/>
    <w:rsid w:val="004D7721"/>
    <w:rsid w:val="004E0116"/>
    <w:rsid w:val="004F5826"/>
    <w:rsid w:val="0050053E"/>
    <w:rsid w:val="00501E57"/>
    <w:rsid w:val="00527221"/>
    <w:rsid w:val="005706D0"/>
    <w:rsid w:val="0059238F"/>
    <w:rsid w:val="005D7A3D"/>
    <w:rsid w:val="005F065C"/>
    <w:rsid w:val="005F2582"/>
    <w:rsid w:val="005F7277"/>
    <w:rsid w:val="0061333C"/>
    <w:rsid w:val="006347E3"/>
    <w:rsid w:val="00642D16"/>
    <w:rsid w:val="00643B5F"/>
    <w:rsid w:val="00673D18"/>
    <w:rsid w:val="006838CA"/>
    <w:rsid w:val="006956D8"/>
    <w:rsid w:val="006B1DFB"/>
    <w:rsid w:val="006B52AB"/>
    <w:rsid w:val="006B6BC4"/>
    <w:rsid w:val="006C6EA7"/>
    <w:rsid w:val="006D095E"/>
    <w:rsid w:val="006D2084"/>
    <w:rsid w:val="006F6355"/>
    <w:rsid w:val="007206C0"/>
    <w:rsid w:val="00726BFE"/>
    <w:rsid w:val="00767CBB"/>
    <w:rsid w:val="00783621"/>
    <w:rsid w:val="007A7A32"/>
    <w:rsid w:val="007D311C"/>
    <w:rsid w:val="008138F7"/>
    <w:rsid w:val="00827609"/>
    <w:rsid w:val="00843583"/>
    <w:rsid w:val="00883EA4"/>
    <w:rsid w:val="00885277"/>
    <w:rsid w:val="008E0F13"/>
    <w:rsid w:val="00914F9F"/>
    <w:rsid w:val="00934B20"/>
    <w:rsid w:val="0094149A"/>
    <w:rsid w:val="00953DC5"/>
    <w:rsid w:val="00990DE8"/>
    <w:rsid w:val="009B3DB2"/>
    <w:rsid w:val="009C6624"/>
    <w:rsid w:val="009D2D0C"/>
    <w:rsid w:val="009E5E31"/>
    <w:rsid w:val="00A07F2A"/>
    <w:rsid w:val="00A51A1E"/>
    <w:rsid w:val="00A55D68"/>
    <w:rsid w:val="00A623AA"/>
    <w:rsid w:val="00A73456"/>
    <w:rsid w:val="00A94680"/>
    <w:rsid w:val="00AA56A1"/>
    <w:rsid w:val="00AC54D4"/>
    <w:rsid w:val="00AC6CE2"/>
    <w:rsid w:val="00AE2C2E"/>
    <w:rsid w:val="00AF5714"/>
    <w:rsid w:val="00AF6668"/>
    <w:rsid w:val="00AF7B14"/>
    <w:rsid w:val="00B01399"/>
    <w:rsid w:val="00B327E1"/>
    <w:rsid w:val="00B36532"/>
    <w:rsid w:val="00B47788"/>
    <w:rsid w:val="00B54791"/>
    <w:rsid w:val="00B57E10"/>
    <w:rsid w:val="00B63DCE"/>
    <w:rsid w:val="00B758D0"/>
    <w:rsid w:val="00B82DE6"/>
    <w:rsid w:val="00BA58A3"/>
    <w:rsid w:val="00BC0172"/>
    <w:rsid w:val="00BC3E5C"/>
    <w:rsid w:val="00BE5D91"/>
    <w:rsid w:val="00BF31BA"/>
    <w:rsid w:val="00BF3A01"/>
    <w:rsid w:val="00BF47B1"/>
    <w:rsid w:val="00BF7213"/>
    <w:rsid w:val="00C12F86"/>
    <w:rsid w:val="00C23890"/>
    <w:rsid w:val="00C700B3"/>
    <w:rsid w:val="00C8101F"/>
    <w:rsid w:val="00C8336E"/>
    <w:rsid w:val="00C92F16"/>
    <w:rsid w:val="00CA357A"/>
    <w:rsid w:val="00CA729C"/>
    <w:rsid w:val="00CF5EBA"/>
    <w:rsid w:val="00D13231"/>
    <w:rsid w:val="00D52618"/>
    <w:rsid w:val="00D60F2F"/>
    <w:rsid w:val="00D844FB"/>
    <w:rsid w:val="00DC22F6"/>
    <w:rsid w:val="00DD4454"/>
    <w:rsid w:val="00DE5493"/>
    <w:rsid w:val="00DF1DA3"/>
    <w:rsid w:val="00DF1EF2"/>
    <w:rsid w:val="00DF33FA"/>
    <w:rsid w:val="00DF7B9A"/>
    <w:rsid w:val="00E16DCA"/>
    <w:rsid w:val="00E26E58"/>
    <w:rsid w:val="00E5240F"/>
    <w:rsid w:val="00E55447"/>
    <w:rsid w:val="00E768A8"/>
    <w:rsid w:val="00E90A05"/>
    <w:rsid w:val="00E91752"/>
    <w:rsid w:val="00EB3AC4"/>
    <w:rsid w:val="00EB54F4"/>
    <w:rsid w:val="00ED7518"/>
    <w:rsid w:val="00ED7B69"/>
    <w:rsid w:val="00EE243F"/>
    <w:rsid w:val="00EF488E"/>
    <w:rsid w:val="00F10BAD"/>
    <w:rsid w:val="00F16507"/>
    <w:rsid w:val="00F2252E"/>
    <w:rsid w:val="00F243D9"/>
    <w:rsid w:val="00F33CD6"/>
    <w:rsid w:val="00F573E7"/>
    <w:rsid w:val="00F6769B"/>
    <w:rsid w:val="00F94F2B"/>
    <w:rsid w:val="00F970E1"/>
    <w:rsid w:val="00FA612F"/>
    <w:rsid w:val="00FB0E7E"/>
    <w:rsid w:val="00FC0215"/>
    <w:rsid w:val="00FC7487"/>
    <w:rsid w:val="00FD28A4"/>
    <w:rsid w:val="2FA670FD"/>
    <w:rsid w:val="3E0B64E4"/>
    <w:rsid w:val="48FD27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uiPriority w:val="0"/>
    <w:rPr>
      <w:sz w:val="24"/>
    </w:rPr>
  </w:style>
  <w:style w:type="paragraph" w:customStyle="1" w:styleId="6">
    <w:name w:val="Char"/>
    <w:basedOn w:val="1"/>
    <w:link w:val="5"/>
    <w:uiPriority w:val="0"/>
    <w:pPr>
      <w:widowControl/>
      <w:spacing w:after="160" w:line="240" w:lineRule="exact"/>
      <w:jc w:val="left"/>
    </w:pPr>
  </w:style>
  <w:style w:type="character" w:styleId="7">
    <w:name w:val="page number"/>
    <w:basedOn w:val="5"/>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332</Words>
  <Characters>1897</Characters>
  <Lines>15</Lines>
  <Paragraphs>4</Paragraphs>
  <TotalTime>0</TotalTime>
  <ScaleCrop>false</ScaleCrop>
  <LinksUpToDate>false</LinksUpToDate>
  <CharactersWithSpaces>2225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2010-01-18T08:47:00Z</dcterms:created>
  <dc:creator>User</dc:creator>
  <cp:lastModifiedBy>TF-PC</cp:lastModifiedBy>
  <dcterms:modified xsi:type="dcterms:W3CDTF">2018-08-27T09:48:06Z</dcterms:modified>
  <dc:title>天津市河西区人民法院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