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rPr>
          <w:rFonts w:hint="eastAsia"/>
          <w:sz w:val="32"/>
          <w:lang w:eastAsia="zh-CN"/>
        </w:rPr>
      </w:pPr>
      <w:bookmarkStart w:id="0" w:name="_GoBack"/>
      <w:bookmarkEnd w:id="0"/>
    </w:p>
    <w:p>
      <w:pPr>
        <w:pStyle w:val="15"/>
        <w:rPr>
          <w:rFonts w:hint="eastAsia"/>
          <w:sz w:val="32"/>
          <w:lang w:eastAsia="zh-CN"/>
        </w:rPr>
      </w:pPr>
    </w:p>
    <w:p>
      <w:pPr>
        <w:pStyle w:val="15"/>
        <w:rPr>
          <w:rFonts w:hint="eastAsia"/>
          <w:lang w:eastAsia="zh-CN"/>
        </w:rPr>
      </w:pPr>
      <w:r>
        <w:rPr>
          <w:rFonts w:hint="eastAsia"/>
          <w:lang w:eastAsia="zh-CN"/>
        </w:rPr>
        <w:t>天津市宁河区人民法院</w:t>
      </w:r>
    </w:p>
    <w:p>
      <w:pPr>
        <w:pStyle w:val="8"/>
        <w:rPr>
          <w:rFonts w:hint="eastAsia"/>
          <w:lang w:eastAsia="zh-CN"/>
        </w:rPr>
      </w:pPr>
      <w:r>
        <w:rPr>
          <w:rFonts w:hint="eastAsia"/>
          <w:lang w:eastAsia="zh-CN"/>
        </w:rPr>
        <w:t>刑事判决书</w:t>
      </w:r>
    </w:p>
    <w:p>
      <w:pPr>
        <w:pStyle w:val="7"/>
        <w:pageBreakBefore w:val="0"/>
        <w:rPr>
          <w:rFonts w:hint="eastAsia"/>
          <w:sz w:val="32"/>
          <w:lang w:eastAsia="zh-CN"/>
        </w:rPr>
      </w:pPr>
    </w:p>
    <w:p>
      <w:pPr>
        <w:pStyle w:val="7"/>
        <w:pageBreakBefore w:val="0"/>
        <w:rPr>
          <w:rFonts w:hint="eastAsia"/>
          <w:lang w:eastAsia="zh-CN"/>
        </w:rPr>
      </w:pPr>
      <w:r>
        <w:rPr>
          <w:rFonts w:hint="eastAsia"/>
          <w:lang w:eastAsia="zh-CN"/>
        </w:rPr>
        <w:t>(2018)津0117刑初257号</w:t>
      </w:r>
    </w:p>
    <w:p>
      <w:pPr>
        <w:keepNext w:val="0"/>
        <w:pageBreakBefore w:val="0"/>
        <w:rPr>
          <w:rFonts w:hint="eastAsia"/>
          <w:sz w:val="32"/>
          <w:lang w:eastAsia="zh-CN"/>
        </w:rPr>
      </w:pPr>
    </w:p>
    <w:p>
      <w:pPr>
        <w:pStyle w:val="16"/>
        <w:rPr>
          <w:rFonts w:hint="eastAsia"/>
          <w:lang w:eastAsia="zh-CN"/>
        </w:rPr>
      </w:pPr>
      <w:r>
        <w:rPr>
          <w:rFonts w:hint="eastAsia"/>
          <w:lang w:eastAsia="zh-CN"/>
        </w:rPr>
        <w:t>公诉机关天津市宁河区人民检察院。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被告人李国占，男，1982年4月22日出生，公民身份号码：120221198204220918，汉族，中专文化，群众，无业，住天津市宁河区芦台镇东大营东升里3排4号。2012年2月23日因犯敲诈勒索罪（未遂）被天津市宁河区人民法院判处有期徒刑二年六个月，缓刑三年。2017年11月22日因涉嫌诈骗罪被天津市公安局宁河分局刑事拘留，同年12月28日因涉嫌诈骗罪、信用卡诈骗罪经天津市宁河区人民检察院批准逮捕。现羁押于天津市宁河区看守所。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天津市宁河区人民检察院以津宁检公诉刑诉[2018]256号起诉书指控被告人李国占犯诈骗、信用卡诈骗罪，于2018年5月24日向本院提起公诉。本院依法适用简易程序，于2018年6月7日依法组成合议庭，公开开庭审理了本案。天津市宁河区人民检察院指派检察员常宁出庭支持公诉，被告人李国占到庭参加诉讼。本案现已审理终结。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天津市宁河区人民检察院起诉书指控，被告人李国占为偿还个人债务，以借他人信用卡交罚款、借信用卡使用以及放贷需要资金为由，骗取多人现金和信用卡进行透支还债。2017年9月至10月份，被告人李国占骗取同事张永的信用卡后，通过POS机套现的方式透支卡内现金7.2万元，用于偿还个人债务。2017年8月至10月初，被告人李国占骗取同事王磊的信用卡后，通过P0S机套现的方式透支卡内现金2.3万元，之后又谎称放贷需要资金，诈骗王磊现金2万元，实际均用于偿还个人债务。2017年9月份，被告人李国占骗取同事李磊信用卡后，通过POS机套现的方式透支卡内现金2万元，实际用于偿还个人债务。2017年10月份，被告人李国占骗取同事张得志的信用卡后，通过POS机套现的方式透支卡内现金2.8万元，实际用于偿还个人债务。2017年10月份，被告人李国占以放贷需要钱为由，诈骗同事杨帆现金共计1.3万元，实际均用于偿还个人债务。2017年10月份，被告人李国占以放贷需要资金为由，诈骗同事刘术超现金3.5万元，实际用于偿还个人债务。2013年至2017年10月份，被告人李国占骗取王明山的平安银行、光大银行、交通银行、建设银行、工商银行信用卡后，通过POS机套现的方式透支卡内现金6万元，并以王明山的名义通过支付宝账号贷款的方式，诈骗王明山2.6万元，实际均用于偿还个人债务。截止案发，被告人李国占诈骗他人现金共计9.4万，冒用他人信用卡诈骗共计20.3万元。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案发后，被告人李国占被抓获到案，到案后能如实供述自己罪行，但尚未赔偿各被害人的损失。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公诉机关认为，被告人李国占犯诈骗罪，建议判处有期徒刑三至四年，并处罚金；犯信用卡诈骗罪，建议判处有期徒刑五至七年，并处罚金。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被告人李国占对指控的罪名、事实及量刑建议均无异议。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经审理查明，被告人李国占为偿还个人债务，骗取多人现金进行还债。2017年8月至10月初，被告人李国占谎称放贷需要资金，诈骗同事王磊现金2万元；2017年10月份，被告人李国占以放贷需要钱为由，诈骗同事杨帆现金共计1.3万元；2017年10月份，被告人李国占以放贷需要资金为由，诈骗同事刘术超现金3.5万元；2013年至2017年10月份，被告人李国占骗取王明山的平安银行、光大银行、交通银行、建设银行、工商银行信用卡后，并以王明山的名义通过支付宝账号贷款的方式，诈骗王明山2.6万元。被告人李国占诈骗他人现金共计9.4万，均用于偿还个人债务。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被告人李国占为偿还个人债务，以借他人信用卡交罚款、借信用卡使用以及放贷需要资金为由，骗取多人信用卡进行透支还债。2017年9月至10月份，被告人李国占骗取同事张永的信用卡后，通过POS机套现的方式透支卡内现金7.2万元；2017年8月至10月初，被告人李国占骗取同事王磊的信用卡后，通过P0S机套现的方式透支卡内现金2.3万元；2017年9月份，被告人李国占骗取同事李磊信用卡后，通过POS机套现的方式透支卡内现金2万元；2017年10月份，被告人李国占骗取同事张得志的信用卡后，通过POS机套现的方式透支卡内现金2.8万元；2013年至2017年10月份，被告人李国占骗取王明山的平安银行、光大银行、交通银行、建设银行、工商银行信用卡后，通过POS机套现的方式透支卡内现金6万元。截止案发，被告人李国占冒用他人信用卡诈骗共计人民币20.3万元，均用于偿还个人债务。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案发后，被告人李国占被抓获到案，到案后能如实供述自己罪行，但尚未赔偿各被害人的损失。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上述事实，有公诉机关提交，并经法庭举证质证的下列证据予以证实：</w:t>
      </w:r>
    </w:p>
    <w:p>
      <w:pPr>
        <w:pStyle w:val="18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案件来源、抓获经过、户籍证明、居民信息表、常住人口数据查询详细信息、天津市宁河区人民法院刑事判决书、在逃人员登记/撤销表等书证；</w:t>
      </w:r>
    </w:p>
    <w:p>
      <w:pPr>
        <w:pStyle w:val="18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信用卡交易明细、银行流水、银行卡等复印件；</w:t>
      </w:r>
    </w:p>
    <w:p>
      <w:pPr>
        <w:pStyle w:val="18"/>
        <w:numPr>
          <w:ilvl w:val="0"/>
          <w:numId w:val="1"/>
        </w:numPr>
        <w:ind w:firstLine="63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被害人张某某、李某、王某、张某、王某某、杨某、刘某某的陈述；</w:t>
      </w:r>
    </w:p>
    <w:p>
      <w:pPr>
        <w:pStyle w:val="18"/>
        <w:numPr>
          <w:ilvl w:val="0"/>
          <w:numId w:val="0"/>
        </w:numPr>
        <w:ind w:firstLine="63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4、证人李某某、王某某等人的证言；</w:t>
      </w:r>
    </w:p>
    <w:p>
      <w:pPr>
        <w:pStyle w:val="18"/>
        <w:ind w:left="0" w:leftChars="0" w:firstLine="63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5、辨认笔录及照片；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6、被告人的供述和辩解。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本院认为，被告人李国占以非法占有为目的，用隐瞒真相的方法骗取他人财物，数额巨大，其行为已构成诈骗罪；被告人李国占以非法占有为目的，冒用他人信用卡，进行信用卡诈骗活动，数额巨大，其行为已构成信用卡诈骗罪。以上犯罪事实清楚，证据确实、充分，罪名成立，本院对公诉机关的指控及量刑建议予以支持。被告人李国占如实供述自己的罪行，是坦白；依法可从轻处罚。依照《中华人民共和国刑法》第二百六十六条、第一百九十六条一款第（三）项、第六十九条、第六十七条三款、第六十四条的规定，判决如下：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一、被告人李国占犯诈骗罪，判处有期徒刑三年六个月，并处罚金40000元；犯信用卡诈骗罪，判处有期徒刑六年六个月，并处罚金60000元；数罪并罚，决定执行有期徒刑九年，并处罚金10万元（刑期自判决执行之日起计算，判决执行以前先行羁押的羁押一日折抵刑期一日，即自2017年11月22日起至2026年11月21日止）。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二、责令被告人李国占退赔被害人张永人民币</w:t>
      </w:r>
      <w:r>
        <w:rPr>
          <w:rFonts w:hint="eastAsia"/>
          <w:lang w:val="en-US" w:eastAsia="zh-CN"/>
        </w:rPr>
        <w:t>7.2万元</w:t>
      </w:r>
      <w:r>
        <w:rPr>
          <w:rFonts w:hint="eastAsia"/>
          <w:lang w:eastAsia="zh-CN"/>
        </w:rPr>
        <w:t>、王磊人民币</w:t>
      </w:r>
      <w:r>
        <w:rPr>
          <w:rFonts w:hint="eastAsia"/>
          <w:lang w:val="en-US" w:eastAsia="zh-CN"/>
        </w:rPr>
        <w:t>4.3万元</w:t>
      </w:r>
      <w:r>
        <w:rPr>
          <w:rFonts w:hint="eastAsia"/>
          <w:lang w:eastAsia="zh-CN"/>
        </w:rPr>
        <w:t>、李磊人民币</w:t>
      </w:r>
      <w:r>
        <w:rPr>
          <w:rFonts w:hint="eastAsia"/>
          <w:lang w:val="en-US" w:eastAsia="zh-CN"/>
        </w:rPr>
        <w:t>2万元</w:t>
      </w:r>
      <w:r>
        <w:rPr>
          <w:rFonts w:hint="eastAsia"/>
          <w:lang w:eastAsia="zh-CN"/>
        </w:rPr>
        <w:t>、张得志人民币</w:t>
      </w:r>
      <w:r>
        <w:rPr>
          <w:rFonts w:hint="eastAsia"/>
          <w:lang w:val="en-US" w:eastAsia="zh-CN"/>
        </w:rPr>
        <w:t>2.8万元</w:t>
      </w:r>
      <w:r>
        <w:rPr>
          <w:rFonts w:hint="eastAsia"/>
          <w:lang w:eastAsia="zh-CN"/>
        </w:rPr>
        <w:t>、杨帆人民币</w:t>
      </w:r>
      <w:r>
        <w:rPr>
          <w:rFonts w:hint="eastAsia"/>
          <w:lang w:val="en-US" w:eastAsia="zh-CN"/>
        </w:rPr>
        <w:t>1.3万元</w:t>
      </w:r>
      <w:r>
        <w:rPr>
          <w:rFonts w:hint="eastAsia"/>
          <w:lang w:eastAsia="zh-CN"/>
        </w:rPr>
        <w:t>、刘术超人民币</w:t>
      </w:r>
      <w:r>
        <w:rPr>
          <w:rFonts w:hint="eastAsia"/>
          <w:lang w:val="en-US" w:eastAsia="zh-CN"/>
        </w:rPr>
        <w:t>3,5万元</w:t>
      </w:r>
      <w:r>
        <w:rPr>
          <w:rFonts w:hint="eastAsia"/>
          <w:lang w:eastAsia="zh-CN"/>
        </w:rPr>
        <w:t>、王明山人民币</w:t>
      </w:r>
      <w:r>
        <w:rPr>
          <w:rFonts w:hint="eastAsia"/>
          <w:lang w:val="en-US" w:eastAsia="zh-CN"/>
        </w:rPr>
        <w:t>8.6万元，</w:t>
      </w:r>
      <w:r>
        <w:rPr>
          <w:rFonts w:hint="eastAsia"/>
          <w:lang w:eastAsia="zh-CN"/>
        </w:rPr>
        <w:t>共计人民币</w:t>
      </w:r>
      <w:r>
        <w:rPr>
          <w:rFonts w:hint="eastAsia"/>
          <w:lang w:val="en-US" w:eastAsia="zh-CN"/>
        </w:rPr>
        <w:t>29.7万</w:t>
      </w:r>
      <w:r>
        <w:rPr>
          <w:rFonts w:hint="eastAsia"/>
          <w:lang w:eastAsia="zh-CN"/>
        </w:rPr>
        <w:t>元。</w:t>
      </w: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上述罚金于判决生效后十日内缴纳。</w:t>
      </w:r>
    </w:p>
    <w:p>
      <w:pPr>
        <w:pStyle w:val="17"/>
        <w:pageBreakBefore w:val="0"/>
        <w:rPr>
          <w:rFonts w:hint="eastAsia"/>
          <w:lang w:eastAsia="zh-CN"/>
        </w:rPr>
      </w:pPr>
      <w:r>
        <w:rPr>
          <w:rFonts w:hint="eastAsia"/>
          <w:lang w:eastAsia="zh-CN"/>
        </w:rPr>
        <w:t>如不服本判决，可在接到本判决书的第二日起十日内，通过本院或者直接向天津市第二中级人民法院提出上诉。书面上诉的，应提交上诉状正本一份，副本一份。</w:t>
      </w:r>
    </w:p>
    <w:p>
      <w:pPr>
        <w:keepNext w:val="0"/>
        <w:pageBreakBefore w:val="0"/>
        <w:rPr>
          <w:rFonts w:hint="eastAsia"/>
          <w:sz w:val="32"/>
          <w:lang w:eastAsia="zh-CN"/>
        </w:rPr>
      </w:pPr>
    </w:p>
    <w:p>
      <w:pPr>
        <w:keepNext w:val="0"/>
        <w:pageBreakBefore w:val="0"/>
        <w:rPr>
          <w:rFonts w:hint="eastAsia"/>
          <w:sz w:val="32"/>
          <w:lang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审　　判　　长　　　于盛乐</w:t>
      </w:r>
    </w:p>
    <w:p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审　　判　　员　　　曹　铁</w:t>
      </w:r>
    </w:p>
    <w:p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审　　判　　员　　　张妮娜</w:t>
      </w:r>
    </w:p>
    <w:p>
      <w:pPr>
        <w:pStyle w:val="12"/>
        <w:pageBreakBefore w:val="0"/>
        <w:rPr>
          <w:rFonts w:hint="eastAsia"/>
          <w:sz w:val="32"/>
          <w:lang w:eastAsia="zh-CN"/>
        </w:rPr>
      </w:pPr>
    </w:p>
    <w:p>
      <w:pPr>
        <w:pStyle w:val="12"/>
        <w:pageBreakBefore w:val="0"/>
        <w:rPr>
          <w:rFonts w:hint="eastAsia"/>
          <w:sz w:val="32"/>
          <w:lang w:eastAsia="zh-CN"/>
        </w:rPr>
      </w:pPr>
    </w:p>
    <w:p>
      <w:pPr>
        <w:pStyle w:val="12"/>
        <w:pageBreakBefore w:val="0"/>
        <w:rPr>
          <w:rFonts w:hint="eastAsia"/>
          <w:sz w:val="32"/>
          <w:lang w:eastAsia="zh-CN"/>
        </w:rPr>
      </w:pPr>
    </w:p>
    <w:p>
      <w:pPr>
        <w:pStyle w:val="12"/>
        <w:pageBreakBefore w:val="0"/>
        <w:rPr>
          <w:rFonts w:hint="eastAsia"/>
          <w:sz w:val="32"/>
          <w:lang w:eastAsia="zh-CN"/>
        </w:rPr>
      </w:pPr>
    </w:p>
    <w:p>
      <w:pPr>
        <w:pStyle w:val="12"/>
        <w:pageBreakBefore w:val="0"/>
        <w:rPr>
          <w:rFonts w:hint="eastAsia"/>
          <w:lang w:eastAsia="zh-CN"/>
        </w:rPr>
      </w:pPr>
      <w:r>
        <w:rPr>
          <w:rFonts w:hint="eastAsia"/>
          <w:lang w:eastAsia="zh-CN"/>
        </w:rPr>
        <w:t>二〇一八年六月十二日</w:t>
      </w:r>
    </w:p>
    <w:p>
      <w:pPr>
        <w:keepNext w:val="0"/>
        <w:pageBreakBefore w:val="0"/>
        <w:rPr>
          <w:rFonts w:hint="eastAsia"/>
          <w:sz w:val="32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书　　记　　员　　　李　朔</w:t>
      </w:r>
    </w:p>
    <w:p>
      <w:pPr>
        <w:pStyle w:val="13"/>
        <w:pageBreakBefore/>
        <w:rPr>
          <w:rFonts w:hint="eastAsia"/>
          <w:lang w:eastAsia="zh-CN"/>
        </w:rPr>
      </w:pPr>
      <w:r>
        <w:rPr>
          <w:rFonts w:hint="eastAsia"/>
          <w:lang w:eastAsia="zh-CN"/>
        </w:rPr>
        <w:t>附：判决引用《中华人民共和国刑法》的相关条款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二百六十六条诈骗公私财物，数额较大的，处三年以下有期徒刑、拘役或者管制，并处或者单处罚金；数额巨大或者有其他严重情节的，处三年以上十年以下有期徒刑，并处罚金；数额特别巨大或者有其他特别严重情节的，处十年以上有期徒刑或者无期徒刑，并处罚金或者没收财产。本法另有规定的，依照规定。</w:t>
      </w:r>
      <w:r>
        <w:rPr>
          <w:rFonts w:hint="eastAsia"/>
          <w:lang w:val="en-US" w:eastAsia="zh-CN"/>
        </w:rPr>
        <w:t xml:space="preserve">  </w:t>
      </w:r>
    </w:p>
    <w:p>
      <w:pPr>
        <w:pStyle w:val="10"/>
        <w:rPr>
          <w:rFonts w:hint="eastAsia" w:ascii="仿宋_GB2312" w:hAnsi="仿宋_GB2312" w:eastAsia="仿宋_GB2312" w:cs="仿宋_GB2312"/>
          <w:color w:val="333333"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333333"/>
          <w:kern w:val="0"/>
          <w:sz w:val="32"/>
          <w:szCs w:val="32"/>
        </w:rPr>
        <w:t xml:space="preserve">第一百九十六条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 </w:t>
      </w:r>
      <w:r>
        <w:rPr>
          <w:rFonts w:hint="eastAsia" w:ascii="仿宋_GB2312" w:hAnsi="仿宋_GB2312" w:eastAsia="仿宋_GB2312" w:cs="仿宋_GB2312"/>
          <w:color w:val="333333"/>
          <w:kern w:val="0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color w:val="333333"/>
          <w:kern w:val="0"/>
          <w:sz w:val="32"/>
          <w:szCs w:val="32"/>
        </w:rPr>
        <w:t xml:space="preserve">　　(一)使用伪造的信用卡，或者使用以虚假的身份证明骗领的信用卡的； </w:t>
      </w:r>
      <w:r>
        <w:rPr>
          <w:rFonts w:hint="eastAsia" w:ascii="仿宋_GB2312" w:hAnsi="仿宋_GB2312" w:eastAsia="仿宋_GB2312" w:cs="仿宋_GB2312"/>
          <w:color w:val="333333"/>
          <w:kern w:val="0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color w:val="333333"/>
          <w:kern w:val="0"/>
          <w:sz w:val="32"/>
          <w:szCs w:val="32"/>
        </w:rPr>
        <w:t xml:space="preserve">　　(二)使用作废的信用卡的； </w:t>
      </w:r>
      <w:r>
        <w:rPr>
          <w:rFonts w:hint="eastAsia" w:ascii="仿宋_GB2312" w:hAnsi="仿宋_GB2312" w:eastAsia="仿宋_GB2312" w:cs="仿宋_GB2312"/>
          <w:color w:val="333333"/>
          <w:kern w:val="0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color w:val="333333"/>
          <w:kern w:val="0"/>
          <w:sz w:val="32"/>
          <w:szCs w:val="32"/>
        </w:rPr>
        <w:t xml:space="preserve">　　(三)冒用他人信用卡的； </w:t>
      </w:r>
      <w:r>
        <w:rPr>
          <w:rFonts w:hint="eastAsia" w:ascii="仿宋_GB2312" w:hAnsi="仿宋_GB2312" w:eastAsia="仿宋_GB2312" w:cs="仿宋_GB2312"/>
          <w:color w:val="333333"/>
          <w:kern w:val="0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color w:val="333333"/>
          <w:kern w:val="0"/>
          <w:sz w:val="32"/>
          <w:szCs w:val="32"/>
        </w:rPr>
        <w:t xml:space="preserve">　　(四)恶意透支的。 </w:t>
      </w:r>
      <w:r>
        <w:rPr>
          <w:rFonts w:hint="eastAsia" w:ascii="仿宋_GB2312" w:hAnsi="仿宋_GB2312" w:eastAsia="仿宋_GB2312" w:cs="仿宋_GB2312"/>
          <w:color w:val="333333"/>
          <w:kern w:val="0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color w:val="333333"/>
          <w:kern w:val="0"/>
          <w:sz w:val="32"/>
          <w:szCs w:val="32"/>
        </w:rPr>
        <w:t xml:space="preserve">　　前款所称恶意透支，是指持卡人以非法占有为目的，超过规定限额或者规定期限透支，并且经发卡银行催收后仍不归还的行为。 </w:t>
      </w:r>
      <w:r>
        <w:rPr>
          <w:rFonts w:hint="eastAsia" w:ascii="仿宋_GB2312" w:hAnsi="仿宋_GB2312" w:eastAsia="仿宋_GB2312" w:cs="仿宋_GB2312"/>
          <w:color w:val="333333"/>
          <w:kern w:val="0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color w:val="333333"/>
          <w:kern w:val="0"/>
          <w:sz w:val="32"/>
          <w:szCs w:val="32"/>
        </w:rPr>
        <w:t>　　盗窃信用卡并使用的，依照本法第二百六十四条的规定定罪处罚。”</w:t>
      </w:r>
    </w:p>
    <w:p>
      <w:pPr>
        <w:pStyle w:val="9"/>
        <w:ind w:left="0" w:leftChars="0" w:firstLine="632" w:firstLineChars="200"/>
        <w:rPr>
          <w:rFonts w:hint="eastAsia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第六十九条判决宣告以前一人犯数罪的</w:t>
      </w:r>
      <w:r>
        <w:rPr>
          <w:rFonts w:hint="eastAsia"/>
          <w:lang w:eastAsia="zh-CN"/>
        </w:rPr>
        <w:t>，除判处死刑和无期徒刑的以外，应当在总和刑期以下、数刑中最高刑期以上，酌情决定执行的刑期，但是管制最高不能超过三年，拘役最高不能超过一年，有期徒刑总和刑期不满三十五年的，最高不能超过二十年，总和刑期在三十五年以上的，最高不能超过二十五年。</w:t>
      </w:r>
    </w:p>
    <w:p>
      <w:pPr>
        <w:pStyle w:val="9"/>
        <w:rPr>
          <w:rFonts w:hint="eastAsia"/>
          <w:lang w:eastAsia="zh-CN"/>
        </w:rPr>
      </w:pPr>
      <w:r>
        <w:rPr>
          <w:rFonts w:hint="eastAsia"/>
          <w:lang w:eastAsia="zh-CN"/>
        </w:rPr>
        <w:t>数罪中有判处附加刑的，附加刑仍须执行，其中附加刑种类相同的，合并执行，种类不同的，分别执行。</w:t>
      </w:r>
    </w:p>
    <w:p>
      <w:pPr>
        <w:pStyle w:val="9"/>
        <w:rPr>
          <w:rFonts w:hint="eastAsia"/>
          <w:lang w:eastAsia="zh-CN"/>
        </w:rPr>
      </w:pPr>
      <w:r>
        <w:rPr>
          <w:rFonts w:hint="eastAsia"/>
          <w:lang w:eastAsia="zh-CN"/>
        </w:rPr>
        <w:t>第六十七条犯罪以后自动投案，如实供述自己的罪行的，是自首。对于自首的犯罪分子，可以从轻或者减轻处罚。其中，犯罪较轻的，可以免除处罚。</w:t>
      </w:r>
    </w:p>
    <w:p>
      <w:pPr>
        <w:pStyle w:val="9"/>
        <w:rPr>
          <w:rFonts w:hint="eastAsia"/>
          <w:lang w:eastAsia="zh-CN"/>
        </w:rPr>
      </w:pPr>
      <w:r>
        <w:rPr>
          <w:rFonts w:hint="eastAsia"/>
          <w:lang w:eastAsia="zh-CN"/>
        </w:rPr>
        <w:t>被采取强制措施的犯罪嫌疑人、被告人和正在服刑的罪犯，如实供述司法机关还未掌握的本人其他罪行的，以自首论。</w:t>
      </w:r>
    </w:p>
    <w:p>
      <w:pPr>
        <w:pStyle w:val="9"/>
        <w:rPr>
          <w:rFonts w:hint="eastAsia"/>
          <w:lang w:eastAsia="zh-CN"/>
        </w:rPr>
      </w:pPr>
      <w:r>
        <w:rPr>
          <w:rFonts w:hint="eastAsia"/>
          <w:lang w:eastAsia="zh-CN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pStyle w:val="9"/>
        <w:rPr>
          <w:rFonts w:hint="eastAsia"/>
          <w:lang w:eastAsia="zh-CN"/>
        </w:rPr>
      </w:pPr>
      <w:r>
        <w:rPr>
          <w:rFonts w:hint="eastAsia"/>
          <w:lang w:eastAsia="zh-CN"/>
        </w:rPr>
        <w:t>第六十四条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</w:p>
    <w:p>
      <w:pPr>
        <w:pStyle w:val="9"/>
        <w:rPr>
          <w:rFonts w:hint="eastAsia"/>
          <w:lang w:eastAsia="zh-CN"/>
        </w:rPr>
      </w:pPr>
      <w:r>
        <w:rPr>
          <w:rFonts w:hint="eastAsia"/>
          <w:lang w:eastAsia="zh-CN"/>
        </w:rPr>
        <w:t>被采取强制措施的犯罪嫌疑人、被告人和正在服刑的罪犯，如实供述司法机关还未掌握的本人其他罪行的，以自首论。</w:t>
      </w:r>
    </w:p>
    <w:p>
      <w:pPr>
        <w:pStyle w:val="9"/>
        <w:rPr>
          <w:rFonts w:hint="eastAsia"/>
          <w:lang w:eastAsia="zh-CN"/>
        </w:rPr>
      </w:pPr>
      <w:r>
        <w:rPr>
          <w:rFonts w:hint="eastAsia"/>
          <w:lang w:eastAsia="zh-CN"/>
        </w:rPr>
        <w:t>犯罪嫌疑人虽不具有前两款规定的自首情节，但是如实供述自己罪行的，可以从轻处罚；因其如实供述自己罪行，避免特别严重后果发生的，可以减轻处罚。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040" w:right="1530" w:bottom="2040" w:left="1530" w:header="794" w:footer="1644" w:gutter="0"/>
      <w:pgNumType w:fmt="numberInDash" w:start="1"/>
      <w:cols w:space="720" w:num="1"/>
      <w:rtlGutter w:val="0"/>
      <w:docGrid w:type="linesAndChars" w:linePitch="579" w:charSpace="-8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S Sans Serif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方正小标宋_GBK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outside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afterLines="0"/>
      <w:ind w:leftChars="0" w:rightChars="0"/>
      <w:jc w:val="left"/>
      <w:rPr>
        <w:rFonts w:hint="eastAsia" w:ascii="宋体" w:hAnsi="宋体" w:eastAsia="宋体" w:cs="宋体"/>
        <w:b w:val="0"/>
        <w:sz w:val="28"/>
        <w:lang w:eastAsia="zh-CN"/>
      </w:rPr>
    </w:pPr>
    <w:r>
      <w:rPr>
        <w:rFonts w:hint="eastAsia" w:ascii="宋体" w:hAnsi="宋体" w:eastAsia="宋体" w:cs="宋体"/>
        <w:b w:val="0"/>
        <w:sz w:val="28"/>
        <w:lang w:eastAsia="zh-CN"/>
      </w:rPr>
      <w:fldChar w:fldCharType="begin"/>
    </w:r>
    <w:r>
      <w:rPr>
        <w:rStyle w:val="5"/>
        <w:rFonts w:hint="eastAsia" w:ascii="宋体" w:hAnsi="宋体" w:eastAsia="宋体" w:cs="宋体"/>
        <w:b w:val="0"/>
        <w:sz w:val="28"/>
        <w:lang w:eastAsia="zh-CN"/>
      </w:rPr>
      <w:instrText xml:space="preserve"> PAGE  </w:instrText>
    </w:r>
    <w:r>
      <w:rPr>
        <w:rFonts w:hint="eastAsia" w:ascii="宋体" w:hAnsi="宋体" w:eastAsia="宋体" w:cs="宋体"/>
        <w:b w:val="0"/>
        <w:sz w:val="28"/>
        <w:lang w:eastAsia="zh-CN"/>
      </w:rPr>
      <w:fldChar w:fldCharType="separate"/>
    </w:r>
    <w:r>
      <w:rPr>
        <w:rStyle w:val="5"/>
        <w:rFonts w:hint="eastAsia" w:ascii="宋体" w:hAnsi="宋体" w:eastAsia="宋体" w:cs="宋体"/>
        <w:b w:val="0"/>
        <w:sz w:val="28"/>
        <w:lang w:eastAsia="zh-CN"/>
      </w:rPr>
      <w:t>- 3 -</w:t>
    </w:r>
    <w:r>
      <w:rPr>
        <w:rFonts w:hint="eastAsia" w:ascii="宋体" w:hAnsi="宋体" w:eastAsia="宋体" w:cs="宋体"/>
        <w:b w:val="0"/>
        <w:sz w:val="28"/>
        <w:lang w:eastAsia="zh-CN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after="0"/>
      <w:ind w:leftChars="0" w:right="360" w:rightChars="0" w:firstLine="360" w:firstLineChars="0"/>
      <w:jc w:val="left"/>
      <w:rPr>
        <w:rFonts w:hint="eastAsia" w:ascii="宋体" w:hAnsi="宋体" w:eastAsia="宋体" w:cs="宋体"/>
        <w:b w:val="0"/>
        <w:sz w:val="28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outside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afterLines="0"/>
      <w:ind w:leftChars="0" w:rightChars="0"/>
      <w:jc w:val="left"/>
      <w:rPr>
        <w:rFonts w:hint="eastAsia" w:ascii="宋体" w:hAnsi="宋体" w:eastAsia="宋体" w:cs="宋体"/>
        <w:b w:val="0"/>
        <w:sz w:val="28"/>
        <w:lang w:eastAsia="zh-CN"/>
      </w:rPr>
    </w:pPr>
    <w:r>
      <w:rPr>
        <w:rFonts w:hint="eastAsia" w:ascii="宋体" w:hAnsi="宋体" w:eastAsia="宋体" w:cs="宋体"/>
        <w:b w:val="0"/>
        <w:sz w:val="28"/>
        <w:lang w:eastAsia="zh-CN"/>
      </w:rPr>
      <w:fldChar w:fldCharType="begin"/>
    </w:r>
    <w:r>
      <w:rPr>
        <w:rStyle w:val="5"/>
        <w:rFonts w:hint="eastAsia" w:ascii="宋体" w:hAnsi="宋体" w:eastAsia="宋体" w:cs="宋体"/>
        <w:b w:val="0"/>
        <w:sz w:val="28"/>
        <w:lang w:eastAsia="zh-CN"/>
      </w:rPr>
      <w:instrText xml:space="preserve"> PAGE  </w:instrText>
    </w:r>
    <w:r>
      <w:rPr>
        <w:rFonts w:hint="eastAsia" w:ascii="宋体" w:hAnsi="宋体" w:eastAsia="宋体" w:cs="宋体"/>
        <w:b w:val="0"/>
        <w:sz w:val="28"/>
        <w:lang w:eastAsia="zh-CN"/>
      </w:rPr>
      <w:fldChar w:fldCharType="separate"/>
    </w:r>
    <w:r>
      <w:rPr>
        <w:rStyle w:val="5"/>
        <w:rFonts w:hint="eastAsia" w:ascii="宋体" w:hAnsi="宋体" w:eastAsia="宋体" w:cs="宋体"/>
        <w:b w:val="0"/>
        <w:sz w:val="28"/>
        <w:lang w:eastAsia="zh-CN"/>
      </w:rPr>
      <w:t>- 2 -</w:t>
    </w:r>
    <w:r>
      <w:rPr>
        <w:rFonts w:hint="eastAsia" w:ascii="宋体" w:hAnsi="宋体" w:eastAsia="宋体" w:cs="宋体"/>
        <w:b w:val="0"/>
        <w:sz w:val="28"/>
        <w:lang w:eastAsia="zh-CN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after="0"/>
      <w:ind w:leftChars="0" w:right="360" w:rightChars="0" w:firstLine="360" w:firstLineChars="0"/>
      <w:jc w:val="left"/>
      <w:rPr>
        <w:rFonts w:hint="eastAsia" w:ascii="宋体" w:hAnsi="宋体" w:eastAsia="宋体" w:cs="宋体"/>
        <w:b w:val="0"/>
        <w:sz w:val="28"/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eastAsia="zh-C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8F5DE"/>
    <w:multiLevelType w:val="singleLevel"/>
    <w:tmpl w:val="5B18F5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58"/>
  <w:drawingGridVerticalSpacing w:val="29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7BBF"/>
    <w:rsid w:val="00092556"/>
    <w:rsid w:val="00115C79"/>
    <w:rsid w:val="00123E69"/>
    <w:rsid w:val="001309B7"/>
    <w:rsid w:val="00131411"/>
    <w:rsid w:val="001A29FC"/>
    <w:rsid w:val="001B6BEA"/>
    <w:rsid w:val="001C5613"/>
    <w:rsid w:val="001D4CD7"/>
    <w:rsid w:val="002725E1"/>
    <w:rsid w:val="0027673A"/>
    <w:rsid w:val="00326D58"/>
    <w:rsid w:val="003C23B8"/>
    <w:rsid w:val="003C76CC"/>
    <w:rsid w:val="003F1423"/>
    <w:rsid w:val="00441797"/>
    <w:rsid w:val="00480F82"/>
    <w:rsid w:val="005659F7"/>
    <w:rsid w:val="005863B2"/>
    <w:rsid w:val="00590C50"/>
    <w:rsid w:val="005A3FE4"/>
    <w:rsid w:val="005A4D78"/>
    <w:rsid w:val="00612D2B"/>
    <w:rsid w:val="0066164E"/>
    <w:rsid w:val="00672C25"/>
    <w:rsid w:val="006D383D"/>
    <w:rsid w:val="006F5CBA"/>
    <w:rsid w:val="007834D5"/>
    <w:rsid w:val="007F0FF2"/>
    <w:rsid w:val="008128CA"/>
    <w:rsid w:val="00861A4E"/>
    <w:rsid w:val="008A7A0F"/>
    <w:rsid w:val="008B35C4"/>
    <w:rsid w:val="008E43C5"/>
    <w:rsid w:val="009632C7"/>
    <w:rsid w:val="00981828"/>
    <w:rsid w:val="009961A6"/>
    <w:rsid w:val="009D6ED1"/>
    <w:rsid w:val="009E5735"/>
    <w:rsid w:val="00A2507A"/>
    <w:rsid w:val="00A425E3"/>
    <w:rsid w:val="00A82105"/>
    <w:rsid w:val="00AA1DF3"/>
    <w:rsid w:val="00BC1F9D"/>
    <w:rsid w:val="00BD1634"/>
    <w:rsid w:val="00C54901"/>
    <w:rsid w:val="00C65A73"/>
    <w:rsid w:val="00C73C14"/>
    <w:rsid w:val="00D26999"/>
    <w:rsid w:val="00DA01A7"/>
    <w:rsid w:val="00DA4F21"/>
    <w:rsid w:val="00E82828"/>
    <w:rsid w:val="00ED500C"/>
    <w:rsid w:val="00F171B1"/>
    <w:rsid w:val="00FA7260"/>
    <w:rsid w:val="00FA7BBF"/>
    <w:rsid w:val="00FD740C"/>
    <w:rsid w:val="029A781E"/>
    <w:rsid w:val="03194BCE"/>
    <w:rsid w:val="03D46387"/>
    <w:rsid w:val="04B773F8"/>
    <w:rsid w:val="05CD55A3"/>
    <w:rsid w:val="068649BE"/>
    <w:rsid w:val="06D451C8"/>
    <w:rsid w:val="089B7117"/>
    <w:rsid w:val="0B4311BF"/>
    <w:rsid w:val="0C744FAC"/>
    <w:rsid w:val="0E373DDA"/>
    <w:rsid w:val="0FE2490D"/>
    <w:rsid w:val="10AE249D"/>
    <w:rsid w:val="12C05F01"/>
    <w:rsid w:val="13EB607C"/>
    <w:rsid w:val="14260B30"/>
    <w:rsid w:val="15D57529"/>
    <w:rsid w:val="18BB668F"/>
    <w:rsid w:val="199E0D87"/>
    <w:rsid w:val="19B05F63"/>
    <w:rsid w:val="19B57F35"/>
    <w:rsid w:val="19BB5537"/>
    <w:rsid w:val="1ABE563E"/>
    <w:rsid w:val="1AD8397D"/>
    <w:rsid w:val="1C1E5817"/>
    <w:rsid w:val="1C5518F3"/>
    <w:rsid w:val="1CA1253B"/>
    <w:rsid w:val="1D9F6CF1"/>
    <w:rsid w:val="1DA2054B"/>
    <w:rsid w:val="1E3B180B"/>
    <w:rsid w:val="1E825DEA"/>
    <w:rsid w:val="1F6724C4"/>
    <w:rsid w:val="212106C4"/>
    <w:rsid w:val="213F55EE"/>
    <w:rsid w:val="21D47C35"/>
    <w:rsid w:val="21DB7ACC"/>
    <w:rsid w:val="21F11070"/>
    <w:rsid w:val="22016D6F"/>
    <w:rsid w:val="22455590"/>
    <w:rsid w:val="2263334E"/>
    <w:rsid w:val="2381437A"/>
    <w:rsid w:val="26DB21DD"/>
    <w:rsid w:val="27101D3F"/>
    <w:rsid w:val="272F4D22"/>
    <w:rsid w:val="28095384"/>
    <w:rsid w:val="295A38B5"/>
    <w:rsid w:val="29852F36"/>
    <w:rsid w:val="2A7B7807"/>
    <w:rsid w:val="2B262A69"/>
    <w:rsid w:val="2C972872"/>
    <w:rsid w:val="2D4A5AF0"/>
    <w:rsid w:val="2D8A46E6"/>
    <w:rsid w:val="3015371E"/>
    <w:rsid w:val="31B8084F"/>
    <w:rsid w:val="31BE374B"/>
    <w:rsid w:val="327D7E33"/>
    <w:rsid w:val="32FA39BA"/>
    <w:rsid w:val="33533EFF"/>
    <w:rsid w:val="336359A1"/>
    <w:rsid w:val="3379359C"/>
    <w:rsid w:val="337B03BD"/>
    <w:rsid w:val="3B0142BC"/>
    <w:rsid w:val="3B05631A"/>
    <w:rsid w:val="3BF15782"/>
    <w:rsid w:val="3D005899"/>
    <w:rsid w:val="3D144860"/>
    <w:rsid w:val="3D20763B"/>
    <w:rsid w:val="42051918"/>
    <w:rsid w:val="43025CE7"/>
    <w:rsid w:val="43837A79"/>
    <w:rsid w:val="439672AB"/>
    <w:rsid w:val="439D676D"/>
    <w:rsid w:val="46361CBB"/>
    <w:rsid w:val="465934EC"/>
    <w:rsid w:val="46C80165"/>
    <w:rsid w:val="47103ADD"/>
    <w:rsid w:val="471341A1"/>
    <w:rsid w:val="47A82741"/>
    <w:rsid w:val="4B2B5698"/>
    <w:rsid w:val="4BDA44CF"/>
    <w:rsid w:val="4D5F5769"/>
    <w:rsid w:val="4E3549B2"/>
    <w:rsid w:val="4E644771"/>
    <w:rsid w:val="4F6C632B"/>
    <w:rsid w:val="4F912CE7"/>
    <w:rsid w:val="50B86C55"/>
    <w:rsid w:val="518575C4"/>
    <w:rsid w:val="53BD0040"/>
    <w:rsid w:val="53F02BB8"/>
    <w:rsid w:val="556657AD"/>
    <w:rsid w:val="56134C2D"/>
    <w:rsid w:val="567D6608"/>
    <w:rsid w:val="58350FC8"/>
    <w:rsid w:val="596C7C01"/>
    <w:rsid w:val="5D6F0DDC"/>
    <w:rsid w:val="5DCA2BA0"/>
    <w:rsid w:val="5E5E36FC"/>
    <w:rsid w:val="5E713222"/>
    <w:rsid w:val="5E9C0D46"/>
    <w:rsid w:val="5F80497B"/>
    <w:rsid w:val="5F8A4191"/>
    <w:rsid w:val="6043117E"/>
    <w:rsid w:val="61624084"/>
    <w:rsid w:val="6390181F"/>
    <w:rsid w:val="63B05413"/>
    <w:rsid w:val="63E72155"/>
    <w:rsid w:val="64097282"/>
    <w:rsid w:val="65982F73"/>
    <w:rsid w:val="668F567D"/>
    <w:rsid w:val="67276B35"/>
    <w:rsid w:val="67B51B4F"/>
    <w:rsid w:val="68311221"/>
    <w:rsid w:val="68FC3B4A"/>
    <w:rsid w:val="6F587C2C"/>
    <w:rsid w:val="70526401"/>
    <w:rsid w:val="711E32FB"/>
    <w:rsid w:val="72530D3C"/>
    <w:rsid w:val="725C6C89"/>
    <w:rsid w:val="725C7B26"/>
    <w:rsid w:val="731448E5"/>
    <w:rsid w:val="73FA4AA4"/>
    <w:rsid w:val="746E2596"/>
    <w:rsid w:val="755916DA"/>
    <w:rsid w:val="783A3C1D"/>
    <w:rsid w:val="78B34511"/>
    <w:rsid w:val="7C013CA1"/>
    <w:rsid w:val="7C67662E"/>
    <w:rsid w:val="7CFB4D32"/>
    <w:rsid w:val="7DF44F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MS Sans Serif" w:eastAsia="仿宋_GB2312" w:cs="Times New Roman"/>
      <w:sz w:val="32"/>
      <w:szCs w:val="3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V"/>
    </w:tcPr>
  </w:style>
  <w:style w:type="paragraph" w:styleId="2">
    <w:name w:val="footer"/>
    <w:basedOn w:val="1"/>
    <w:link w:val="2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2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  <w:style w:type="paragraph" w:customStyle="1" w:styleId="7">
    <w:name w:val="lawyeeCaseNum1"/>
    <w:basedOn w:val="1"/>
    <w:uiPriority w:val="0"/>
    <w:pPr>
      <w:ind w:right="632" w:rightChars="200"/>
      <w:jc w:val="right"/>
    </w:pPr>
    <w:rPr>
      <w:rFonts w:hint="eastAsia" w:hAnsi="仿宋_GB2312" w:cs="仿宋_GB2312"/>
      <w:kern w:val="2"/>
    </w:rPr>
  </w:style>
  <w:style w:type="paragraph" w:customStyle="1" w:styleId="8">
    <w:name w:val="lawyeeWritName1"/>
    <w:basedOn w:val="1"/>
    <w:qFormat/>
    <w:uiPriority w:val="0"/>
    <w:pPr>
      <w:spacing w:line="720" w:lineRule="exact"/>
      <w:jc w:val="center"/>
    </w:pPr>
    <w:rPr>
      <w:rFonts w:hint="eastAsia" w:ascii="方正小标宋_GBK" w:hAnsi="方正小标宋_GBK" w:eastAsia="方正小标宋_GBK" w:cs="方正小标宋_GBK"/>
      <w:kern w:val="2"/>
      <w:sz w:val="44"/>
    </w:rPr>
  </w:style>
  <w:style w:type="paragraph" w:customStyle="1" w:styleId="9">
    <w:name w:val="lawyeeAttachContent0"/>
    <w:basedOn w:val="1"/>
    <w:uiPriority w:val="0"/>
    <w:pPr>
      <w:spacing w:line="520" w:lineRule="exact"/>
      <w:ind w:firstLine="632" w:firstLineChars="200"/>
      <w:jc w:val="left"/>
    </w:pPr>
    <w:rPr>
      <w:rFonts w:hint="eastAsia" w:hAnsi="仿宋_GB2312" w:cs="仿宋_GB2312"/>
      <w:kern w:val="2"/>
    </w:rPr>
  </w:style>
  <w:style w:type="paragraph" w:customStyle="1" w:styleId="10">
    <w:name w:val="lawyeeAttachContent1"/>
    <w:basedOn w:val="1"/>
    <w:uiPriority w:val="0"/>
    <w:pPr>
      <w:spacing w:line="520" w:lineRule="exact"/>
      <w:ind w:firstLine="632" w:firstLineChars="200"/>
      <w:jc w:val="left"/>
    </w:pPr>
    <w:rPr>
      <w:rFonts w:hint="eastAsia" w:hAnsi="仿宋_GB2312" w:cs="仿宋_GB2312"/>
      <w:kern w:val="2"/>
    </w:rPr>
  </w:style>
  <w:style w:type="paragraph" w:customStyle="1" w:styleId="11">
    <w:name w:val="lawyeeJudge0"/>
    <w:basedOn w:val="1"/>
    <w:uiPriority w:val="0"/>
    <w:pPr>
      <w:spacing w:line="520" w:lineRule="exact"/>
      <w:ind w:right="632" w:rightChars="200"/>
      <w:jc w:val="right"/>
    </w:pPr>
    <w:rPr>
      <w:rFonts w:hint="eastAsia" w:hAnsi="仿宋_GB2312" w:cs="仿宋_GB2312"/>
      <w:kern w:val="2"/>
    </w:rPr>
  </w:style>
  <w:style w:type="paragraph" w:customStyle="1" w:styleId="12">
    <w:name w:val="lawyeeDate1"/>
    <w:basedOn w:val="1"/>
    <w:qFormat/>
    <w:uiPriority w:val="0"/>
    <w:pPr>
      <w:ind w:right="632" w:rightChars="200"/>
      <w:jc w:val="right"/>
    </w:pPr>
    <w:rPr>
      <w:rFonts w:hint="eastAsia" w:hAnsi="仿宋_GB2312" w:cs="仿宋_GB2312"/>
      <w:kern w:val="2"/>
    </w:rPr>
  </w:style>
  <w:style w:type="paragraph" w:customStyle="1" w:styleId="13">
    <w:name w:val="lawyeeAttach1"/>
    <w:basedOn w:val="1"/>
    <w:uiPriority w:val="0"/>
    <w:pPr>
      <w:spacing w:line="520" w:lineRule="exact"/>
      <w:ind w:firstLine="632" w:firstLineChars="200"/>
      <w:jc w:val="left"/>
    </w:pPr>
    <w:rPr>
      <w:rFonts w:hint="eastAsia" w:hAnsi="仿宋_GB2312" w:cs="仿宋_GB2312"/>
      <w:kern w:val="2"/>
    </w:rPr>
  </w:style>
  <w:style w:type="paragraph" w:customStyle="1" w:styleId="14">
    <w:name w:val="lawyeeJudge2"/>
    <w:basedOn w:val="1"/>
    <w:qFormat/>
    <w:uiPriority w:val="0"/>
    <w:pPr>
      <w:spacing w:line="520" w:lineRule="exact"/>
      <w:ind w:right="632" w:rightChars="200"/>
      <w:jc w:val="right"/>
    </w:pPr>
    <w:rPr>
      <w:rFonts w:hint="eastAsia" w:hAnsi="仿宋_GB2312" w:cs="仿宋_GB2312"/>
      <w:kern w:val="2"/>
    </w:rPr>
  </w:style>
  <w:style w:type="paragraph" w:customStyle="1" w:styleId="15">
    <w:name w:val="lawyeeCourtName1"/>
    <w:basedOn w:val="1"/>
    <w:qFormat/>
    <w:uiPriority w:val="0"/>
    <w:pPr>
      <w:spacing w:line="720" w:lineRule="exact"/>
      <w:jc w:val="center"/>
    </w:pPr>
    <w:rPr>
      <w:rFonts w:hint="eastAsia" w:ascii="方正小标宋_GBK" w:hAnsi="方正小标宋_GBK" w:eastAsia="方正小标宋_GBK" w:cs="方正小标宋_GBK"/>
      <w:kern w:val="2"/>
      <w:sz w:val="44"/>
    </w:rPr>
  </w:style>
  <w:style w:type="paragraph" w:customStyle="1" w:styleId="16">
    <w:name w:val="lawyeeWritContent1"/>
    <w:basedOn w:val="1"/>
    <w:qFormat/>
    <w:uiPriority w:val="0"/>
    <w:pPr>
      <w:ind w:firstLine="632" w:firstLineChars="200"/>
    </w:pPr>
    <w:rPr>
      <w:rFonts w:hint="eastAsia" w:hAnsi="仿宋_GB2312" w:cs="仿宋_GB2312"/>
      <w:kern w:val="2"/>
    </w:rPr>
  </w:style>
  <w:style w:type="paragraph" w:customStyle="1" w:styleId="17">
    <w:name w:val="lawyeeWritContent2"/>
    <w:basedOn w:val="1"/>
    <w:qFormat/>
    <w:uiPriority w:val="0"/>
    <w:pPr>
      <w:ind w:firstLine="632" w:firstLineChars="200"/>
    </w:pPr>
    <w:rPr>
      <w:rFonts w:hint="eastAsia" w:hAnsi="仿宋_GB2312" w:cs="仿宋_GB2312"/>
      <w:kern w:val="2"/>
    </w:rPr>
  </w:style>
  <w:style w:type="paragraph" w:customStyle="1" w:styleId="18">
    <w:name w:val="lawyeeWritContent0"/>
    <w:basedOn w:val="1"/>
    <w:uiPriority w:val="0"/>
    <w:pPr>
      <w:ind w:firstLine="632" w:firstLineChars="200"/>
    </w:pPr>
    <w:rPr>
      <w:rFonts w:hint="eastAsia" w:hAnsi="仿宋_GB2312" w:cs="仿宋_GB2312"/>
      <w:kern w:val="2"/>
    </w:rPr>
  </w:style>
  <w:style w:type="paragraph" w:customStyle="1" w:styleId="19">
    <w:name w:val="lawyeeAttachContent2"/>
    <w:basedOn w:val="1"/>
    <w:qFormat/>
    <w:uiPriority w:val="0"/>
    <w:pPr>
      <w:spacing w:line="520" w:lineRule="exact"/>
      <w:ind w:firstLine="632" w:firstLineChars="200"/>
      <w:jc w:val="left"/>
    </w:pPr>
    <w:rPr>
      <w:rFonts w:hint="eastAsia" w:hAnsi="仿宋_GB2312" w:cs="仿宋_GB2312"/>
      <w:kern w:val="2"/>
    </w:rPr>
  </w:style>
  <w:style w:type="paragraph" w:customStyle="1" w:styleId="20">
    <w:name w:val="lawyeeJudge1"/>
    <w:basedOn w:val="1"/>
    <w:qFormat/>
    <w:uiPriority w:val="0"/>
    <w:pPr>
      <w:spacing w:line="520" w:lineRule="exact"/>
      <w:ind w:right="632" w:rightChars="200"/>
      <w:jc w:val="right"/>
    </w:pPr>
    <w:rPr>
      <w:rFonts w:hint="eastAsia" w:hAnsi="仿宋_GB2312" w:cs="仿宋_GB2312"/>
      <w:kern w:val="2"/>
    </w:rPr>
  </w:style>
  <w:style w:type="character" w:customStyle="1" w:styleId="21">
    <w:name w:val="页脚 Char"/>
    <w:basedOn w:val="4"/>
    <w:link w:val="2"/>
    <w:uiPriority w:val="0"/>
    <w:rPr>
      <w:rFonts w:ascii="仿宋_GB2312" w:hAnsi="MS Sans Serif" w:eastAsia="仿宋_GB2312"/>
      <w:sz w:val="18"/>
      <w:szCs w:val="18"/>
    </w:rPr>
  </w:style>
  <w:style w:type="character" w:customStyle="1" w:styleId="22">
    <w:name w:val="页眉 Char"/>
    <w:basedOn w:val="4"/>
    <w:link w:val="3"/>
    <w:uiPriority w:val="0"/>
    <w:rPr>
      <w:rFonts w:ascii="仿宋_GB2312" w:hAnsi="MS Sans Serif" w:eastAsia="仿宋_GB231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289</Words>
  <Characters>1649</Characters>
  <Lines>13</Lines>
  <Paragraphs>3</Paragraphs>
  <TotalTime>0</TotalTime>
  <ScaleCrop>false</ScaleCrop>
  <LinksUpToDate>false</LinksUpToDate>
  <CharactersWithSpaces>1935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2017-03-01T02:36:00Z</dcterms:created>
  <dc:creator>Administrator</dc:creator>
  <cp:lastModifiedBy>TF-PC</cp:lastModifiedBy>
  <dcterms:modified xsi:type="dcterms:W3CDTF">2018-08-27T09:48:10Z</dcterms:modified>
  <dc:title>院长批示</dc:title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