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楷体_GB2312"/>
          <w:sz w:val="44"/>
          <w:szCs w:val="44"/>
        </w:rPr>
      </w:pPr>
      <w:bookmarkStart w:id="0" w:name="_GoBack"/>
      <w:bookmarkEnd w:id="0"/>
    </w:p>
    <w:p>
      <w:pPr>
        <w:spacing w:line="360" w:lineRule="auto"/>
        <w:jc w:val="center"/>
        <w:rPr>
          <w:rFonts w:eastAsia="楷体_GB2312"/>
          <w:sz w:val="44"/>
          <w:szCs w:val="44"/>
        </w:rPr>
      </w:pPr>
      <w:r>
        <w:rPr>
          <w:rFonts w:hint="eastAsia" w:eastAsia="楷体_GB2312"/>
          <w:sz w:val="44"/>
          <w:szCs w:val="44"/>
        </w:rPr>
        <w:t>天津市河西区人民法院</w:t>
      </w:r>
    </w:p>
    <w:p>
      <w:pPr>
        <w:pStyle w:val="2"/>
        <w:spacing w:line="360" w:lineRule="auto"/>
        <w:ind w:firstLine="2584" w:firstLineChars="497"/>
        <w:rPr>
          <w:b w:val="0"/>
        </w:rPr>
      </w:pPr>
      <w:r>
        <w:rPr>
          <w:rFonts w:hint="eastAsia" w:eastAsia="黑体"/>
          <w:b w:val="0"/>
          <w:sz w:val="52"/>
          <w:szCs w:val="52"/>
        </w:rPr>
        <w:t>刑</w:t>
      </w:r>
      <w:r>
        <w:rPr>
          <w:rFonts w:eastAsia="黑体"/>
          <w:b w:val="0"/>
          <w:sz w:val="52"/>
          <w:szCs w:val="52"/>
        </w:rPr>
        <w:t xml:space="preserve"> </w:t>
      </w:r>
      <w:r>
        <w:rPr>
          <w:rFonts w:hint="eastAsia" w:eastAsia="黑体"/>
          <w:b w:val="0"/>
          <w:sz w:val="52"/>
          <w:szCs w:val="52"/>
        </w:rPr>
        <w:t>事</w:t>
      </w:r>
      <w:r>
        <w:rPr>
          <w:rFonts w:eastAsia="黑体"/>
          <w:b w:val="0"/>
          <w:sz w:val="52"/>
          <w:szCs w:val="52"/>
        </w:rPr>
        <w:t xml:space="preserve"> </w:t>
      </w:r>
      <w:r>
        <w:rPr>
          <w:rFonts w:hint="eastAsia" w:eastAsia="黑体"/>
          <w:b w:val="0"/>
          <w:sz w:val="52"/>
          <w:szCs w:val="52"/>
        </w:rPr>
        <w:t>判</w:t>
      </w:r>
      <w:r>
        <w:rPr>
          <w:rFonts w:eastAsia="黑体"/>
          <w:b w:val="0"/>
          <w:sz w:val="52"/>
          <w:szCs w:val="52"/>
        </w:rPr>
        <w:t xml:space="preserve"> </w:t>
      </w:r>
      <w:r>
        <w:rPr>
          <w:rFonts w:hint="eastAsia" w:eastAsia="黑体"/>
          <w:b w:val="0"/>
          <w:sz w:val="52"/>
          <w:szCs w:val="52"/>
        </w:rPr>
        <w:t>决</w:t>
      </w:r>
      <w:r>
        <w:rPr>
          <w:rFonts w:eastAsia="黑体"/>
          <w:b w:val="0"/>
          <w:sz w:val="52"/>
          <w:szCs w:val="52"/>
        </w:rPr>
        <w:t xml:space="preserve"> </w:t>
      </w:r>
      <w:r>
        <w:rPr>
          <w:rFonts w:hint="eastAsia" w:eastAsia="黑体"/>
          <w:b w:val="0"/>
          <w:sz w:val="52"/>
          <w:szCs w:val="52"/>
        </w:rPr>
        <w:t>书</w:t>
      </w:r>
    </w:p>
    <w:p>
      <w:pPr>
        <w:pStyle w:val="3"/>
        <w:spacing w:line="500" w:lineRule="exact"/>
        <w:ind w:left="-2" w:firstLine="526"/>
        <w:jc w:val="right"/>
        <w:rPr>
          <w:rFonts w:hint="default" w:ascii="Times New Roman" w:hAnsi="Times New Roman" w:eastAsia="仿宋_GB2312"/>
          <w:bCs/>
          <w:sz w:val="32"/>
          <w:szCs w:val="32"/>
        </w:rPr>
      </w:pPr>
      <w:r>
        <w:rPr>
          <w:rFonts w:hint="default" w:ascii="Times New Roman" w:hAnsi="Times New Roman" w:eastAsia="仿宋_GB2312"/>
          <w:bCs/>
          <w:sz w:val="32"/>
          <w:szCs w:val="32"/>
        </w:rPr>
        <w:t>（2015）西刑初字第419号</w:t>
      </w:r>
    </w:p>
    <w:p>
      <w:pPr>
        <w:spacing w:line="500" w:lineRule="exact"/>
        <w:ind w:firstLine="640" w:firstLineChars="200"/>
        <w:rPr>
          <w:rFonts w:eastAsia="仿宋_GB2312"/>
          <w:bCs/>
          <w:sz w:val="32"/>
          <w:szCs w:val="32"/>
        </w:rPr>
      </w:pPr>
    </w:p>
    <w:p>
      <w:pPr>
        <w:spacing w:line="500" w:lineRule="exact"/>
        <w:ind w:firstLine="640" w:firstLineChars="200"/>
        <w:rPr>
          <w:rFonts w:eastAsia="仿宋_GB2312"/>
          <w:bCs/>
          <w:sz w:val="32"/>
          <w:szCs w:val="32"/>
        </w:rPr>
      </w:pPr>
      <w:r>
        <w:rPr>
          <w:rFonts w:eastAsia="仿宋_GB2312"/>
          <w:bCs/>
          <w:sz w:val="32"/>
          <w:szCs w:val="32"/>
        </w:rPr>
        <w:t>公诉机关天津市河西区人民检察院。</w:t>
      </w:r>
    </w:p>
    <w:p>
      <w:pPr>
        <w:spacing w:line="500" w:lineRule="exact"/>
        <w:ind w:firstLine="640" w:firstLineChars="200"/>
        <w:rPr>
          <w:rFonts w:eastAsia="仿宋_GB2312"/>
          <w:bCs/>
          <w:sz w:val="32"/>
          <w:szCs w:val="32"/>
        </w:rPr>
      </w:pPr>
      <w:r>
        <w:rPr>
          <w:rFonts w:eastAsia="仿宋_GB2312"/>
          <w:bCs/>
          <w:sz w:val="32"/>
          <w:szCs w:val="32"/>
        </w:rPr>
        <w:t>被告人何宇龙，男，1976年6月5日出生，公民身份号码</w:t>
      </w:r>
      <w:r>
        <w:rPr>
          <w:rFonts w:hint="eastAsia" w:eastAsia="仿宋_GB2312"/>
          <w:bCs/>
          <w:sz w:val="32"/>
          <w:szCs w:val="32"/>
        </w:rPr>
        <w:t>：</w:t>
      </w:r>
      <w:r>
        <w:rPr>
          <w:rFonts w:eastAsia="仿宋_GB2312"/>
          <w:bCs/>
          <w:sz w:val="32"/>
          <w:szCs w:val="32"/>
        </w:rPr>
        <w:t>120104197606051831，汉族，高中文化，北京铁路局天津动车客车段检车员，住天津市河西区气象台路气象里，户籍地天津市南开区南开三马路胜利二条7号。2015年7月28日被刑事拘留，2015年8月11日因涉嫌犯有信用卡诈骗罪被依法逮捕。现羁押于天津市河西区看守所。</w:t>
      </w:r>
    </w:p>
    <w:p>
      <w:pPr>
        <w:spacing w:line="500" w:lineRule="exact"/>
        <w:ind w:firstLine="640" w:firstLineChars="200"/>
        <w:rPr>
          <w:rFonts w:eastAsia="仿宋_GB2312"/>
          <w:bCs/>
          <w:sz w:val="32"/>
          <w:szCs w:val="32"/>
        </w:rPr>
      </w:pPr>
      <w:r>
        <w:rPr>
          <w:rFonts w:eastAsia="仿宋_GB2312"/>
          <w:bCs/>
          <w:sz w:val="32"/>
          <w:szCs w:val="32"/>
        </w:rPr>
        <w:t>天津市河西区人民检察院以津西检</w:t>
      </w:r>
      <w:r>
        <w:rPr>
          <w:rFonts w:eastAsia="仿宋_GB2312"/>
          <w:bCs/>
          <w:kern w:val="0"/>
          <w:sz w:val="32"/>
          <w:szCs w:val="32"/>
        </w:rPr>
        <w:t>公诉刑诉[2015]   386号起诉书</w:t>
      </w:r>
      <w:r>
        <w:rPr>
          <w:rFonts w:eastAsia="仿宋_GB2312"/>
          <w:bCs/>
          <w:sz w:val="32"/>
          <w:szCs w:val="32"/>
        </w:rPr>
        <w:t>指控被告人</w:t>
      </w:r>
      <w:r>
        <w:rPr>
          <w:rFonts w:eastAsia="仿宋_GB2312"/>
          <w:kern w:val="0"/>
          <w:sz w:val="32"/>
          <w:szCs w:val="32"/>
          <w:lang w:val="zh-CN"/>
        </w:rPr>
        <w:t>何宇龙</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罪，于2015年11月3日向本院提起公诉，并提出量刑建议。本院依法组成合议庭，公开开庭审理了本案。天津市河西区人民检察院指派代理检察员</w:t>
      </w:r>
      <w:r>
        <w:rPr>
          <w:rFonts w:eastAsia="仿宋_GB2312"/>
          <w:kern w:val="0"/>
          <w:sz w:val="32"/>
          <w:szCs w:val="32"/>
          <w:lang w:val="zh-CN"/>
        </w:rPr>
        <w:t>于菲</w:t>
      </w:r>
      <w:r>
        <w:rPr>
          <w:rFonts w:eastAsia="仿宋_GB2312"/>
          <w:bCs/>
          <w:sz w:val="32"/>
          <w:szCs w:val="32"/>
        </w:rPr>
        <w:t>出庭支持公诉，被告人</w:t>
      </w:r>
      <w:r>
        <w:rPr>
          <w:rFonts w:eastAsia="仿宋_GB2312"/>
          <w:kern w:val="0"/>
          <w:sz w:val="32"/>
          <w:szCs w:val="32"/>
          <w:lang w:val="zh-CN"/>
        </w:rPr>
        <w:t>何宇龙</w:t>
      </w:r>
      <w:r>
        <w:rPr>
          <w:rFonts w:eastAsia="仿宋_GB2312"/>
          <w:bCs/>
          <w:sz w:val="32"/>
          <w:szCs w:val="32"/>
        </w:rPr>
        <w:t>到庭参加了诉讼，现已审理终结。</w:t>
      </w:r>
    </w:p>
    <w:p>
      <w:pPr>
        <w:spacing w:line="500" w:lineRule="exact"/>
        <w:ind w:firstLine="640" w:firstLineChars="200"/>
        <w:rPr>
          <w:rFonts w:eastAsia="仿宋_GB2312"/>
          <w:bCs/>
          <w:sz w:val="32"/>
          <w:szCs w:val="32"/>
        </w:rPr>
      </w:pPr>
      <w:r>
        <w:rPr>
          <w:rFonts w:eastAsia="仿宋_GB2312"/>
          <w:bCs/>
          <w:sz w:val="32"/>
          <w:szCs w:val="32"/>
        </w:rPr>
        <w:t>经审理查明，2013年8月5日，被告人何宇龙向中国建设银行股份有限公司天津市分行申办信用卡一张（卡号： 6259656010263782），后自2013年8月25日开卡使用透支消费且从未归还。经建设银行多次电话催要，其仍未归还欠款。截至立案时，被告人何宇龙透支本息合计人民币19910.63元，其中本金人民币14988.53元。</w:t>
      </w:r>
    </w:p>
    <w:p>
      <w:pPr>
        <w:spacing w:line="500" w:lineRule="exact"/>
        <w:ind w:firstLine="640" w:firstLineChars="200"/>
        <w:rPr>
          <w:rFonts w:eastAsia="仿宋_GB2312"/>
          <w:bCs/>
          <w:sz w:val="32"/>
          <w:szCs w:val="32"/>
        </w:rPr>
      </w:pPr>
      <w:r>
        <w:rPr>
          <w:rFonts w:eastAsia="仿宋_GB2312"/>
          <w:bCs/>
          <w:sz w:val="32"/>
          <w:szCs w:val="32"/>
        </w:rPr>
        <w:t>2013年9月8日，被告人何宇龙向天津银行申办信用卡一张（卡号：6224264037195103），后自2013年10月14日开卡使用透支消费且从未归还。经天津银行多次电话催收，其仍未归还欠款。截至立案时，被告人何宇龙透支本息合计人民币41810.55元，其中本金为人民币14892元。</w:t>
      </w:r>
    </w:p>
    <w:p>
      <w:pPr>
        <w:spacing w:line="500" w:lineRule="exact"/>
        <w:ind w:firstLine="640" w:firstLineChars="200"/>
        <w:rPr>
          <w:rFonts w:eastAsia="仿宋_GB2312"/>
          <w:bCs/>
          <w:sz w:val="32"/>
          <w:szCs w:val="32"/>
        </w:rPr>
      </w:pPr>
      <w:r>
        <w:rPr>
          <w:rFonts w:eastAsia="仿宋_GB2312"/>
          <w:bCs/>
          <w:sz w:val="32"/>
          <w:szCs w:val="32"/>
        </w:rPr>
        <w:t>2013年9月22日，被告人何宇龙向广发银行股份有限公司天津分行申办信用卡一张（卡号：6225551420538983），后自2013年10月12日开卡使用透支消费且从未归还。经广发银行多次电话催收，其仍未归还欠款。截至立案时，被告人何宇龙透支本息合计人民币123450.87元，其中本金为人民币49752元。</w:t>
      </w:r>
    </w:p>
    <w:p>
      <w:pPr>
        <w:spacing w:line="500" w:lineRule="exact"/>
        <w:ind w:firstLine="640" w:firstLineChars="200"/>
        <w:rPr>
          <w:rFonts w:eastAsia="仿宋_GB2312"/>
          <w:bCs/>
          <w:sz w:val="32"/>
          <w:szCs w:val="32"/>
        </w:rPr>
      </w:pPr>
      <w:r>
        <w:rPr>
          <w:rFonts w:eastAsia="仿宋_GB2312"/>
          <w:bCs/>
          <w:sz w:val="32"/>
          <w:szCs w:val="32"/>
        </w:rPr>
        <w:t>2013年10月8日，被告人何宇龙向天津农商银行申办信用卡一张（卡号：6228290010099406），后自2013年10月22日开卡使用透支消费且从未归还。经天津农商银行多次电话催收，其仍未归还欠款。截至立案时，被告人何宇龙透支本息合计人民币23185.52元，其中本金为人民币14995.6元。</w:t>
      </w:r>
    </w:p>
    <w:p>
      <w:pPr>
        <w:spacing w:line="500" w:lineRule="exact"/>
        <w:ind w:firstLine="640" w:firstLineChars="200"/>
        <w:rPr>
          <w:rFonts w:eastAsia="仿宋_GB2312"/>
          <w:bCs/>
          <w:sz w:val="32"/>
          <w:szCs w:val="32"/>
        </w:rPr>
      </w:pPr>
      <w:r>
        <w:rPr>
          <w:rFonts w:eastAsia="仿宋_GB2312"/>
          <w:bCs/>
          <w:sz w:val="32"/>
          <w:szCs w:val="32"/>
        </w:rPr>
        <w:t>被告人何宇龙使用信用卡恶意透支，金额总计人民币208357.57元，其中本金为人民币94628.13元。透支的钱款用于日常消费和偿还各种债务，部分钱款用于吸食毒品。后各受害单位相继报警，2015年7月28日，被告人何宇龙被公安机关抓获归案。案发后，被告人何宇龙没有退还所透支款项。</w:t>
      </w:r>
    </w:p>
    <w:p>
      <w:pPr>
        <w:spacing w:line="500" w:lineRule="exact"/>
        <w:ind w:firstLine="640" w:firstLineChars="200"/>
        <w:rPr>
          <w:rFonts w:eastAsia="仿宋_GB2312"/>
          <w:bCs/>
          <w:sz w:val="32"/>
          <w:szCs w:val="32"/>
        </w:rPr>
      </w:pPr>
      <w:r>
        <w:rPr>
          <w:rFonts w:eastAsia="仿宋_GB2312"/>
          <w:sz w:val="32"/>
          <w:szCs w:val="32"/>
        </w:rPr>
        <w:t>上述事实，被告人何宇龙在开庭审理过程中亦无异议，表示认罪。</w:t>
      </w:r>
      <w:r>
        <w:rPr>
          <w:rFonts w:eastAsia="仿宋_GB2312"/>
          <w:bCs/>
          <w:sz w:val="32"/>
          <w:szCs w:val="32"/>
        </w:rPr>
        <w:t>且有四被害单位报案记录、营业执照、委托书、被告人何宇龙的信用卡申请表、个人信用报告、信用卡交易记录、收入证明、信用卡催收记录、通话记录等书证材料，公安机关出具的案件来源、抓获经过等证据证实，足以认定。</w:t>
      </w:r>
    </w:p>
    <w:p>
      <w:pPr>
        <w:spacing w:line="500" w:lineRule="exact"/>
        <w:ind w:firstLine="640" w:firstLineChars="200"/>
        <w:rPr>
          <w:rFonts w:eastAsia="仿宋_GB2312"/>
          <w:bCs/>
          <w:sz w:val="32"/>
          <w:szCs w:val="32"/>
        </w:rPr>
      </w:pPr>
      <w:r>
        <w:rPr>
          <w:rFonts w:eastAsia="仿宋_GB2312"/>
          <w:bCs/>
          <w:sz w:val="32"/>
          <w:szCs w:val="32"/>
        </w:rPr>
        <w:t>本院认为，被告人何宇龙以非法占有为目的，使用信用卡透支消费，</w:t>
      </w:r>
      <w:r>
        <w:rPr>
          <w:rFonts w:eastAsia="仿宋_GB2312"/>
          <w:sz w:val="32"/>
          <w:szCs w:val="32"/>
        </w:rPr>
        <w:t>超过规定期限，并经发卡银行多次催收后超过三个月仍不归还，透支本金人民币</w:t>
      </w:r>
      <w:r>
        <w:rPr>
          <w:rFonts w:eastAsia="仿宋_GB2312"/>
          <w:bCs/>
          <w:sz w:val="32"/>
          <w:szCs w:val="32"/>
        </w:rPr>
        <w:t>94628.13元，其行为构成信用卡诈骗罪。被告人何宇龙到案后，没有归还四被害单位欠款，给被害单位造成经济损失，应酌情从重处罚。为严肃国家法律，</w:t>
      </w:r>
      <w:r>
        <w:rPr>
          <w:rFonts w:eastAsia="仿宋_GB2312"/>
          <w:sz w:val="32"/>
          <w:szCs w:val="32"/>
        </w:rPr>
        <w:t>维护金融管理秩序，保护公司财产权利不受侵犯，</w:t>
      </w:r>
      <w:r>
        <w:rPr>
          <w:rFonts w:eastAsia="仿宋_GB2312"/>
          <w:bCs/>
          <w:sz w:val="32"/>
          <w:szCs w:val="32"/>
        </w:rPr>
        <w:t>同时考虑到被告人何宇龙如实供述犯罪罪行，认罪态度较好的情节，依照《中华人民共和国刑法》第一百九十六条第一款</w:t>
      </w:r>
      <w:r>
        <w:rPr>
          <w:rFonts w:eastAsia="仿宋_GB2312"/>
          <w:sz w:val="32"/>
        </w:rPr>
        <w:t>第（四）项</w:t>
      </w:r>
      <w:r>
        <w:rPr>
          <w:rFonts w:eastAsia="仿宋_GB2312"/>
          <w:sz w:val="32"/>
          <w:szCs w:val="32"/>
        </w:rPr>
        <w:t>、第二款，第六十七条第三款</w:t>
      </w:r>
      <w:r>
        <w:rPr>
          <w:rFonts w:eastAsia="仿宋_GB2312"/>
          <w:bCs/>
          <w:sz w:val="32"/>
          <w:szCs w:val="32"/>
        </w:rPr>
        <w:t>，第六十四条之规定，判决如下：</w:t>
      </w:r>
    </w:p>
    <w:p>
      <w:pPr>
        <w:spacing w:line="500" w:lineRule="exact"/>
        <w:ind w:firstLine="640" w:firstLineChars="200"/>
        <w:rPr>
          <w:rFonts w:eastAsia="仿宋_GB2312"/>
          <w:bCs/>
          <w:sz w:val="32"/>
          <w:szCs w:val="32"/>
        </w:rPr>
      </w:pPr>
      <w:r>
        <w:rPr>
          <w:rFonts w:eastAsia="仿宋_GB2312"/>
          <w:bCs/>
          <w:sz w:val="32"/>
          <w:szCs w:val="32"/>
        </w:rPr>
        <w:t>一、被告人何宇龙犯信用卡诈骗罪，判处有期徒刑四年，并处罚金人民币100000元。</w:t>
      </w:r>
    </w:p>
    <w:p>
      <w:pPr>
        <w:spacing w:line="500" w:lineRule="exact"/>
        <w:ind w:firstLine="713" w:firstLineChars="223"/>
        <w:rPr>
          <w:rFonts w:eastAsia="仿宋_GB2312"/>
          <w:bCs/>
          <w:sz w:val="32"/>
          <w:szCs w:val="32"/>
        </w:rPr>
      </w:pPr>
      <w:r>
        <w:rPr>
          <w:rFonts w:eastAsia="仿宋_GB2312"/>
          <w:bCs/>
          <w:sz w:val="32"/>
          <w:szCs w:val="32"/>
        </w:rPr>
        <w:t>（刑期从判决执行之日起计算。判决执行以前先行羁押的，羁押一日折抵刑期一日，即自2015年7月28日起至2019年7月27日止</w:t>
      </w:r>
      <w:r>
        <w:rPr>
          <w:rFonts w:eastAsia="仿宋_GB2312"/>
          <w:color w:val="000000"/>
          <w:sz w:val="32"/>
          <w:szCs w:val="32"/>
        </w:rPr>
        <w:t>。</w:t>
      </w:r>
      <w:r>
        <w:rPr>
          <w:rFonts w:eastAsia="仿宋_GB2312"/>
          <w:bCs/>
          <w:sz w:val="32"/>
          <w:szCs w:val="32"/>
        </w:rPr>
        <w:t>）</w:t>
      </w:r>
    </w:p>
    <w:p>
      <w:pPr>
        <w:widowControl/>
        <w:snapToGrid w:val="0"/>
        <w:spacing w:line="500" w:lineRule="exact"/>
        <w:ind w:firstLine="643"/>
        <w:rPr>
          <w:rFonts w:eastAsia="仿宋_GB2312"/>
          <w:bCs/>
          <w:sz w:val="32"/>
          <w:szCs w:val="32"/>
        </w:rPr>
      </w:pPr>
      <w:r>
        <w:rPr>
          <w:rFonts w:eastAsia="仿宋_GB2312"/>
          <w:bCs/>
          <w:sz w:val="32"/>
          <w:szCs w:val="32"/>
        </w:rPr>
        <w:t>二、责令</w:t>
      </w:r>
      <w:r>
        <w:rPr>
          <w:rFonts w:eastAsia="仿宋_GB2312"/>
          <w:kern w:val="0"/>
          <w:sz w:val="32"/>
          <w:szCs w:val="32"/>
        </w:rPr>
        <w:t>被告人何宇龙退还</w:t>
      </w:r>
      <w:r>
        <w:rPr>
          <w:rFonts w:eastAsia="仿宋_GB2312"/>
          <w:bCs/>
          <w:sz w:val="32"/>
          <w:szCs w:val="32"/>
        </w:rPr>
        <w:t>中国建设银行天津分行</w:t>
      </w:r>
      <w:r>
        <w:rPr>
          <w:rFonts w:eastAsia="仿宋_GB2312"/>
          <w:kern w:val="0"/>
          <w:sz w:val="32"/>
          <w:szCs w:val="32"/>
        </w:rPr>
        <w:t>透支款</w:t>
      </w:r>
      <w:r>
        <w:rPr>
          <w:rFonts w:eastAsia="仿宋_GB2312"/>
          <w:bCs/>
          <w:sz w:val="32"/>
          <w:szCs w:val="32"/>
        </w:rPr>
        <w:t>人民币14988.53元，退还天津银行透支款人民币14892元，退还广发银行天津分行透支款人民币49752元，退还天津农商银行透支款人民币14995.6元。</w:t>
      </w:r>
    </w:p>
    <w:p>
      <w:pPr>
        <w:pStyle w:val="3"/>
        <w:spacing w:line="500" w:lineRule="exact"/>
        <w:ind w:firstLine="640" w:firstLineChars="200"/>
        <w:rPr>
          <w:rFonts w:hint="default" w:ascii="Times New Roman" w:hAnsi="Times New Roman" w:eastAsia="仿宋_GB2312"/>
          <w:bCs/>
          <w:sz w:val="32"/>
          <w:szCs w:val="32"/>
        </w:rPr>
      </w:pPr>
      <w:r>
        <w:rPr>
          <w:rFonts w:hint="default" w:ascii="Times New Roman" w:hAnsi="Times New Roman" w:eastAsia="仿宋_GB2312"/>
          <w:bCs/>
          <w:sz w:val="32"/>
          <w:szCs w:val="32"/>
        </w:rPr>
        <w:t>如不服本判决，可在接到判决书的第二日起十日内，通过本院或者直接向天津市第二中级人民法院提出上诉。书面上诉的，应交上诉状正本一份，副本两份。</w:t>
      </w:r>
    </w:p>
    <w:p>
      <w:pPr>
        <w:spacing w:line="500" w:lineRule="exact"/>
        <w:jc w:val="right"/>
        <w:rPr>
          <w:rFonts w:eastAsia="仿宋_GB2312"/>
          <w:sz w:val="32"/>
          <w:szCs w:val="32"/>
        </w:rPr>
      </w:pPr>
      <w:r>
        <w:rPr>
          <w:rFonts w:eastAsia="仿宋_GB2312"/>
          <w:sz w:val="32"/>
          <w:szCs w:val="32"/>
        </w:rPr>
        <w:t>审  判  长   张宇明</w:t>
      </w:r>
    </w:p>
    <w:p>
      <w:pPr>
        <w:spacing w:line="500" w:lineRule="exact"/>
        <w:ind w:firstLine="630"/>
        <w:jc w:val="right"/>
        <w:rPr>
          <w:rFonts w:eastAsia="仿宋_GB2312"/>
          <w:sz w:val="32"/>
          <w:szCs w:val="32"/>
        </w:rPr>
      </w:pPr>
      <w:r>
        <w:rPr>
          <w:rFonts w:eastAsia="仿宋_GB2312"/>
          <w:sz w:val="32"/>
          <w:szCs w:val="32"/>
        </w:rPr>
        <w:t>审  判  员   果  健</w:t>
      </w:r>
    </w:p>
    <w:p>
      <w:pPr>
        <w:spacing w:line="500" w:lineRule="exact"/>
        <w:ind w:firstLine="630"/>
        <w:jc w:val="right"/>
        <w:rPr>
          <w:rFonts w:eastAsia="仿宋_GB2312"/>
          <w:sz w:val="32"/>
          <w:szCs w:val="32"/>
        </w:rPr>
      </w:pPr>
      <w:r>
        <w:rPr>
          <w:rFonts w:eastAsia="仿宋_GB2312"/>
          <w:sz w:val="32"/>
          <w:szCs w:val="32"/>
        </w:rPr>
        <w:t>人民陪审员   褚惠敏</w:t>
      </w:r>
    </w:p>
    <w:p>
      <w:pPr>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一五年十二月</w:t>
      </w:r>
      <w:r>
        <w:rPr>
          <w:rFonts w:eastAsia="仿宋_GB2312"/>
          <w:color w:val="000000"/>
          <w:sz w:val="32"/>
          <w:szCs w:val="32"/>
        </w:rPr>
        <w:t>三</w:t>
      </w:r>
      <w:r>
        <w:rPr>
          <w:rFonts w:eastAsia="仿宋_GB2312"/>
          <w:sz w:val="32"/>
          <w:szCs w:val="32"/>
        </w:rPr>
        <w:t>日</w:t>
      </w:r>
    </w:p>
    <w:p>
      <w:pPr>
        <w:spacing w:line="500" w:lineRule="exact"/>
        <w:jc w:val="right"/>
        <w:rPr>
          <w:rFonts w:eastAsia="仿宋_GB2312"/>
          <w:sz w:val="32"/>
          <w:szCs w:val="32"/>
        </w:rPr>
      </w:pPr>
      <w:r>
        <w:rPr>
          <w:rFonts w:eastAsia="仿宋_GB2312"/>
          <w:sz w:val="32"/>
          <w:szCs w:val="32"/>
        </w:rPr>
        <w:t xml:space="preserve">书  记  员   刘丛薇  </w:t>
      </w:r>
    </w:p>
    <w:p>
      <w:pPr>
        <w:spacing w:line="500" w:lineRule="exact"/>
        <w:ind w:firstLine="630"/>
        <w:jc w:val="right"/>
        <w:rPr>
          <w:rFonts w:hint="eastAsia" w:eastAsia="仿宋_GB2312"/>
          <w:sz w:val="32"/>
          <w:szCs w:val="32"/>
        </w:rPr>
      </w:pPr>
      <w:r>
        <w:rPr>
          <w:rFonts w:eastAsia="仿宋_GB2312"/>
          <w:sz w:val="32"/>
          <w:szCs w:val="32"/>
        </w:rPr>
        <w:t xml:space="preserve">速  录  员   杨梦萱                           </w:t>
      </w:r>
    </w:p>
    <w:p>
      <w:pPr>
        <w:spacing w:line="500" w:lineRule="exact"/>
        <w:ind w:firstLine="630"/>
        <w:jc w:val="left"/>
        <w:rPr>
          <w:rFonts w:eastAsia="仿宋_GB2312"/>
          <w:sz w:val="32"/>
          <w:szCs w:val="32"/>
        </w:rPr>
      </w:pPr>
      <w:r>
        <w:rPr>
          <w:rFonts w:hint="eastAsia" w:eastAsia="仿宋_GB2312"/>
          <w:sz w:val="32"/>
          <w:szCs w:val="32"/>
        </w:rPr>
        <w:t>（此页无正文）</w:t>
      </w: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rPr>
      </w:pPr>
      <w:r>
        <w:rPr>
          <w:rFonts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eastAsia="仿宋_GB2312"/>
          <w:sz w:val="32"/>
        </w:rPr>
      </w:pPr>
      <w:r>
        <w:rPr>
          <w:rFonts w:eastAsia="仿宋_GB2312"/>
          <w:sz w:val="32"/>
        </w:rPr>
        <w:t>第一百九十六条第二款   前款所称恶意透支，是指持卡人以非法占有为目的，超过规定限额或者规定期限透支，并且经发卡银行催收后仍不归还的行为。</w:t>
      </w:r>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9409A"/>
    <w:rsid w:val="000032DF"/>
    <w:rsid w:val="000B60D8"/>
    <w:rsid w:val="000F4AAA"/>
    <w:rsid w:val="000F7B28"/>
    <w:rsid w:val="00166177"/>
    <w:rsid w:val="001A791B"/>
    <w:rsid w:val="001E2718"/>
    <w:rsid w:val="00231D6D"/>
    <w:rsid w:val="002348CA"/>
    <w:rsid w:val="00235F0E"/>
    <w:rsid w:val="00243E04"/>
    <w:rsid w:val="002513D3"/>
    <w:rsid w:val="00297860"/>
    <w:rsid w:val="002E65B1"/>
    <w:rsid w:val="002F386A"/>
    <w:rsid w:val="002F7771"/>
    <w:rsid w:val="003129AA"/>
    <w:rsid w:val="0034636A"/>
    <w:rsid w:val="00377C09"/>
    <w:rsid w:val="0039066D"/>
    <w:rsid w:val="0039409A"/>
    <w:rsid w:val="003B6781"/>
    <w:rsid w:val="003C3596"/>
    <w:rsid w:val="003F1E67"/>
    <w:rsid w:val="004344AB"/>
    <w:rsid w:val="004B78CA"/>
    <w:rsid w:val="004D0773"/>
    <w:rsid w:val="004F3C05"/>
    <w:rsid w:val="004F5803"/>
    <w:rsid w:val="004F5996"/>
    <w:rsid w:val="00523A41"/>
    <w:rsid w:val="0052599D"/>
    <w:rsid w:val="005375B0"/>
    <w:rsid w:val="00555004"/>
    <w:rsid w:val="00566EC0"/>
    <w:rsid w:val="005A4EC3"/>
    <w:rsid w:val="005E13A5"/>
    <w:rsid w:val="00616B3E"/>
    <w:rsid w:val="006213E0"/>
    <w:rsid w:val="006457E8"/>
    <w:rsid w:val="00671B91"/>
    <w:rsid w:val="0068025E"/>
    <w:rsid w:val="006805EC"/>
    <w:rsid w:val="00693564"/>
    <w:rsid w:val="006A174C"/>
    <w:rsid w:val="006D2408"/>
    <w:rsid w:val="00731684"/>
    <w:rsid w:val="00752F6B"/>
    <w:rsid w:val="00794BE8"/>
    <w:rsid w:val="007B3211"/>
    <w:rsid w:val="007C65DF"/>
    <w:rsid w:val="007E577D"/>
    <w:rsid w:val="008376F9"/>
    <w:rsid w:val="00846BD5"/>
    <w:rsid w:val="008763CC"/>
    <w:rsid w:val="00881268"/>
    <w:rsid w:val="008D7D22"/>
    <w:rsid w:val="0090546E"/>
    <w:rsid w:val="00951453"/>
    <w:rsid w:val="00960B5F"/>
    <w:rsid w:val="00961681"/>
    <w:rsid w:val="009B5341"/>
    <w:rsid w:val="009C7F43"/>
    <w:rsid w:val="009D36F6"/>
    <w:rsid w:val="00A16B84"/>
    <w:rsid w:val="00A648A1"/>
    <w:rsid w:val="00AA51DE"/>
    <w:rsid w:val="00AA5CDA"/>
    <w:rsid w:val="00AD0D21"/>
    <w:rsid w:val="00AE2743"/>
    <w:rsid w:val="00B06FDA"/>
    <w:rsid w:val="00B3720F"/>
    <w:rsid w:val="00B534B9"/>
    <w:rsid w:val="00BB04E5"/>
    <w:rsid w:val="00BB35E8"/>
    <w:rsid w:val="00C40331"/>
    <w:rsid w:val="00C4727B"/>
    <w:rsid w:val="00C51998"/>
    <w:rsid w:val="00C90C7B"/>
    <w:rsid w:val="00CB2D92"/>
    <w:rsid w:val="00CE13F4"/>
    <w:rsid w:val="00D11C36"/>
    <w:rsid w:val="00D42629"/>
    <w:rsid w:val="00D472DA"/>
    <w:rsid w:val="00D81FAF"/>
    <w:rsid w:val="00D92B95"/>
    <w:rsid w:val="00DA4FC1"/>
    <w:rsid w:val="00DA6BC3"/>
    <w:rsid w:val="00DD170A"/>
    <w:rsid w:val="00DD2F9B"/>
    <w:rsid w:val="00DD5EF4"/>
    <w:rsid w:val="00DE3E25"/>
    <w:rsid w:val="00DE55C9"/>
    <w:rsid w:val="00DE63CB"/>
    <w:rsid w:val="00E25090"/>
    <w:rsid w:val="00E91EFD"/>
    <w:rsid w:val="00EC147C"/>
    <w:rsid w:val="00EC3C54"/>
    <w:rsid w:val="00EC49DD"/>
    <w:rsid w:val="00EF5E58"/>
    <w:rsid w:val="00F02C1B"/>
    <w:rsid w:val="00F21B20"/>
    <w:rsid w:val="00F32AF5"/>
    <w:rsid w:val="00F7624E"/>
    <w:rsid w:val="00F80CBD"/>
    <w:rsid w:val="00FA2988"/>
    <w:rsid w:val="00FB037F"/>
    <w:rsid w:val="00FE58E0"/>
    <w:rsid w:val="259B433E"/>
    <w:rsid w:val="34CB37F8"/>
    <w:rsid w:val="395900F4"/>
    <w:rsid w:val="6480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4"/>
    <w:uiPriority w:val="0"/>
    <w:rPr>
      <w:rFonts w:hint="eastAsia" w:ascii="宋体" w:hAnsi="Courier New"/>
      <w:szCs w:val="20"/>
    </w:rPr>
  </w:style>
  <w:style w:type="paragraph" w:styleId="4">
    <w:name w:val="Date"/>
    <w:basedOn w:val="1"/>
    <w:next w:val="1"/>
    <w:link w:val="15"/>
    <w:semiHidden/>
    <w:unhideWhenUsed/>
    <w:uiPriority w:val="99"/>
    <w:pPr>
      <w:ind w:left="100" w:leftChars="2500"/>
    </w:pPr>
  </w:style>
  <w:style w:type="paragraph" w:styleId="5">
    <w:name w:val="footer"/>
    <w:basedOn w:val="1"/>
    <w:link w:val="12"/>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qFormat/>
    <w:uiPriority w:val="0"/>
  </w:style>
  <w:style w:type="table" w:styleId="10">
    <w:name w:val="Table Grid"/>
    <w:basedOn w:val="9"/>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6"/>
    <w:semiHidden/>
    <w:qFormat/>
    <w:uiPriority w:val="99"/>
    <w:rPr>
      <w:sz w:val="18"/>
      <w:szCs w:val="18"/>
    </w:rPr>
  </w:style>
  <w:style w:type="character" w:customStyle="1" w:styleId="12">
    <w:name w:val="页脚 Char"/>
    <w:basedOn w:val="7"/>
    <w:link w:val="5"/>
    <w:qFormat/>
    <w:uiPriority w:val="0"/>
    <w:rPr>
      <w:sz w:val="18"/>
      <w:szCs w:val="18"/>
    </w:rPr>
  </w:style>
  <w:style w:type="character" w:customStyle="1" w:styleId="13">
    <w:name w:val="标题 1 Char"/>
    <w:basedOn w:val="7"/>
    <w:link w:val="2"/>
    <w:qFormat/>
    <w:uiPriority w:val="0"/>
    <w:rPr>
      <w:rFonts w:ascii="Times New Roman" w:hAnsi="Times New Roman" w:eastAsia="宋体" w:cs="Times New Roman"/>
      <w:b/>
      <w:bCs/>
      <w:kern w:val="44"/>
      <w:sz w:val="44"/>
      <w:szCs w:val="44"/>
    </w:rPr>
  </w:style>
  <w:style w:type="character" w:customStyle="1" w:styleId="14">
    <w:name w:val="纯文本 Char"/>
    <w:basedOn w:val="7"/>
    <w:link w:val="3"/>
    <w:qFormat/>
    <w:uiPriority w:val="0"/>
    <w:rPr>
      <w:rFonts w:ascii="宋体" w:hAnsi="Courier New" w:eastAsia="宋体" w:cs="Times New Roman"/>
      <w:szCs w:val="20"/>
    </w:rPr>
  </w:style>
  <w:style w:type="character" w:customStyle="1" w:styleId="15">
    <w:name w:val="日期 Char"/>
    <w:basedOn w:val="7"/>
    <w:link w:val="4"/>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C0B1F9-918E-40EC-9E92-A10A2A280F30}">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351</Words>
  <Characters>2006</Characters>
  <Lines>16</Lines>
  <Paragraphs>4</Paragraphs>
  <TotalTime>558</TotalTime>
  <ScaleCrop>false</ScaleCrop>
  <LinksUpToDate>false</LinksUpToDate>
  <CharactersWithSpaces>2353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2015-10-22T08:24:00Z</dcterms:created>
  <dc:creator>USER</dc:creator>
  <cp:lastModifiedBy>TF-PC</cp:lastModifiedBy>
  <dcterms:modified xsi:type="dcterms:W3CDTF">2018-08-27T09:48:13Z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