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eastAsia="宋体"/>
          <w:sz w:val="44"/>
        </w:rPr>
      </w:pPr>
      <w:bookmarkStart w:id="0" w:name="_GoBack"/>
      <w:bookmarkEnd w:id="0"/>
      <w:r>
        <w:rPr>
          <w:rFonts w:hint="eastAsia" w:eastAsia="宋体"/>
          <w:sz w:val="44"/>
        </w:rPr>
        <w:t>天津市东丽区人民法院</w:t>
      </w:r>
    </w:p>
    <w:p>
      <w:pPr>
        <w:spacing w:line="800" w:lineRule="exact"/>
        <w:jc w:val="center"/>
        <w:rPr>
          <w:rFonts w:hint="eastAsia" w:eastAsia="黑体"/>
          <w:sz w:val="52"/>
        </w:rPr>
      </w:pPr>
      <w:r>
        <w:rPr>
          <w:rFonts w:hint="eastAsia" w:eastAsia="宋体"/>
          <w:spacing w:val="50"/>
          <w:sz w:val="52"/>
        </w:rPr>
        <w:t>刑 事 判 决 书</w:t>
      </w:r>
    </w:p>
    <w:p>
      <w:pPr>
        <w:spacing w:line="800" w:lineRule="exact"/>
        <w:jc w:val="right"/>
        <w:rPr>
          <w:rFonts w:hint="eastAsia"/>
          <w:spacing w:val="-20"/>
        </w:rPr>
      </w:pPr>
      <w:r>
        <w:rPr>
          <w:rFonts w:hint="eastAsia"/>
          <w:spacing w:val="-20"/>
        </w:rPr>
        <w:t xml:space="preserve">                                          </w:t>
      </w:r>
      <w:r>
        <w:rPr>
          <w:rFonts w:hint="eastAsia" w:ascii="仿宋_GB2312"/>
          <w:spacing w:val="-20"/>
        </w:rPr>
        <w:t>（2015）</w:t>
      </w:r>
      <w:r>
        <w:rPr>
          <w:rFonts w:hint="eastAsia"/>
          <w:spacing w:val="-20"/>
        </w:rPr>
        <w:t>丽刑初字第721号</w:t>
      </w:r>
    </w:p>
    <w:p>
      <w:pPr>
        <w:spacing w:line="500" w:lineRule="exact"/>
        <w:rPr>
          <w:rFonts w:hint="eastAsia" w:ascii="仿宋_GB2312"/>
          <w:spacing w:val="-20"/>
        </w:rPr>
      </w:pPr>
    </w:p>
    <w:p>
      <w:pPr>
        <w:spacing w:line="520" w:lineRule="exact"/>
        <w:ind w:firstLine="646"/>
        <w:rPr>
          <w:rFonts w:hint="eastAsia" w:ascii="仿宋_GB2312"/>
        </w:rPr>
      </w:pPr>
      <w:r>
        <w:rPr>
          <w:rFonts w:hint="eastAsia" w:ascii="仿宋_GB2312"/>
        </w:rPr>
        <w:t>公诉机关天津市东丽区人民检察院。</w:t>
      </w:r>
    </w:p>
    <w:p>
      <w:pPr>
        <w:ind w:firstLine="642" w:firstLineChars="198"/>
        <w:rPr>
          <w:rFonts w:hint="eastAsia" w:ascii="宋体" w:hAnsi="宋体"/>
        </w:rPr>
      </w:pPr>
      <w:r>
        <w:rPr>
          <w:rFonts w:hint="eastAsia" w:ascii="宋体" w:hAnsi="宋体"/>
        </w:rPr>
        <w:t>被告人林云波（身份证号码35220119861210363X），男，1986年12月10日出生于福建省宁德市，汉族，个体经营者，初中文化，住福建省宁德市蕉城区霍童镇湖头村洋中村10号。2015年5月10日因涉嫌犯信用卡诈骗罪被刑事拘留，同年5月22日被依法逮捕，现羁押于天津市东丽区看守所。</w:t>
      </w:r>
    </w:p>
    <w:p>
      <w:pPr>
        <w:ind w:firstLine="642" w:firstLineChars="198"/>
        <w:rPr>
          <w:rFonts w:ascii="宋体" w:hAnsi="宋体"/>
        </w:rPr>
      </w:pPr>
      <w:r>
        <w:rPr>
          <w:rFonts w:hint="eastAsia" w:ascii="宋体" w:hAnsi="宋体"/>
        </w:rPr>
        <w:t>辩护人韩美琳，北京中洲（天津）律师事务所律师。</w:t>
      </w:r>
    </w:p>
    <w:p>
      <w:pPr>
        <w:spacing w:line="520" w:lineRule="exact"/>
        <w:ind w:firstLine="650" w:firstLineChars="200"/>
        <w:rPr>
          <w:rFonts w:hint="eastAsia" w:ascii="仿宋_GB2312" w:hAnsi="宋体"/>
          <w:szCs w:val="32"/>
        </w:rPr>
      </w:pPr>
      <w:r>
        <w:rPr>
          <w:rFonts w:hint="eastAsia" w:ascii="仿宋_GB2312" w:hAnsi="宋体"/>
          <w:szCs w:val="32"/>
        </w:rPr>
        <w:t>天津市东丽区人民检察院以津丽检公诉刑诉（2015）661号起诉书指控被告人林云波犯</w:t>
      </w:r>
      <w:r>
        <w:rPr>
          <w:rFonts w:hint="eastAsia" w:ascii="宋体" w:hAnsi="宋体"/>
        </w:rPr>
        <w:t>信用卡诈骗</w:t>
      </w:r>
      <w:r>
        <w:rPr>
          <w:rFonts w:hint="eastAsia" w:ascii="仿宋_GB2312" w:hAnsi="宋体"/>
          <w:szCs w:val="32"/>
        </w:rPr>
        <w:t>罪，于2015年8月14日向本院提起公诉。本院</w:t>
      </w:r>
      <w:r>
        <w:rPr>
          <w:rFonts w:hint="eastAsia" w:ascii="宋体" w:hAnsi="宋体"/>
        </w:rPr>
        <w:t>依法组成合议庭，公开开庭审理了本案。天津市东丽区人民检察院指派</w:t>
      </w:r>
      <w:r>
        <w:rPr>
          <w:rFonts w:hint="eastAsia" w:ascii="仿宋_GB2312" w:hAnsi="宋体"/>
          <w:szCs w:val="32"/>
        </w:rPr>
        <w:t>代理检察员代号菊出庭支持公诉，被告人</w:t>
      </w:r>
      <w:r>
        <w:rPr>
          <w:rFonts w:hint="eastAsia" w:ascii="宋体" w:hAnsi="宋体"/>
        </w:rPr>
        <w:t>林云波及辩护人韩美琳</w:t>
      </w:r>
      <w:r>
        <w:rPr>
          <w:rFonts w:hint="eastAsia" w:ascii="仿宋_GB2312" w:hAnsi="宋体"/>
          <w:szCs w:val="32"/>
        </w:rPr>
        <w:t>到庭参加诉讼。现已审理终结。</w:t>
      </w:r>
    </w:p>
    <w:p>
      <w:pPr>
        <w:snapToGrid w:val="0"/>
        <w:spacing w:line="520" w:lineRule="exact"/>
        <w:ind w:firstLine="650" w:firstLineChars="200"/>
        <w:rPr>
          <w:rFonts w:hint="eastAsia" w:ascii="仿宋_GB2312" w:hAnsi="宋体"/>
          <w:szCs w:val="32"/>
        </w:rPr>
      </w:pPr>
      <w:r>
        <w:rPr>
          <w:rFonts w:hint="eastAsia" w:ascii="仿宋_GB2312" w:hAnsi="宋体"/>
          <w:szCs w:val="32"/>
        </w:rPr>
        <w:t>经审理查明，2011年3月7日，被告人林云波在中国农业银行股份有限公司天津东丽支行申领了金穗信用卡一张（户名：林云波，卡号：4637580002604423），后补办信用卡一张，卡号变更为：4637580005001106信用卡，信用额度为人民币50万元。被告林云波从2011年4月25日开始透支消费，用于日常生活以及购买生意用的钢材，截止到2014年12月2日透支本金共计人民币499739.65元，至2014年2月15日最后一次还款后，经发卡银行多次催收仍未还款，并变更联系方式及地址等手段逃避银行催收，使银行多次电话、信件、上门查找均无果而终，已超过三个月仍未还款。</w:t>
      </w:r>
    </w:p>
    <w:p>
      <w:pPr>
        <w:snapToGrid w:val="0"/>
        <w:spacing w:line="520" w:lineRule="exact"/>
        <w:ind w:firstLine="650" w:firstLineChars="200"/>
        <w:rPr>
          <w:rFonts w:hint="eastAsia" w:ascii="仿宋_GB2312" w:hAnsi="宋体"/>
          <w:szCs w:val="32"/>
        </w:rPr>
      </w:pPr>
      <w:r>
        <w:rPr>
          <w:rFonts w:hint="eastAsia" w:ascii="仿宋_GB2312" w:hAnsi="宋体"/>
          <w:szCs w:val="32"/>
        </w:rPr>
        <w:t>2015年5月10日22时许，被告人林云波在福州市被当地公安机关抓获归案。</w:t>
      </w:r>
    </w:p>
    <w:p>
      <w:pPr>
        <w:overflowPunct w:val="0"/>
        <w:spacing w:line="520" w:lineRule="exact"/>
        <w:ind w:firstLine="650" w:firstLineChars="200"/>
        <w:rPr>
          <w:rFonts w:hint="eastAsia" w:ascii="仿宋_GB2312" w:hAnsi="宋体"/>
          <w:szCs w:val="32"/>
        </w:rPr>
      </w:pPr>
      <w:r>
        <w:rPr>
          <w:rFonts w:hint="eastAsia" w:ascii="仿宋_GB2312"/>
        </w:rPr>
        <w:t>上述案件事实，被告人林云波在开庭审理过程中未表异议，且有</w:t>
      </w:r>
      <w:r>
        <w:rPr>
          <w:rFonts w:hint="eastAsia" w:ascii="仿宋_GB2312" w:hAnsi="宋体"/>
          <w:szCs w:val="32"/>
        </w:rPr>
        <w:t>林云波在公安机关的供述，被害单位的举报材料及陈述，申办信用卡的相关手续，农业银行信用卡交易明细表，银行催收账户交易记录及催收函，林云波所留经营地的照片，卡号为4637580005001106的信用卡一张，公安机关出具的案件来源及抓获经过、情况说明，身份证明材料等证据</w:t>
      </w:r>
      <w:r>
        <w:rPr>
          <w:rFonts w:hint="eastAsia" w:ascii="仿宋_GB2312"/>
        </w:rPr>
        <w:t>予以证明，足以认定。</w:t>
      </w:r>
    </w:p>
    <w:p>
      <w:pPr>
        <w:spacing w:line="520" w:lineRule="exact"/>
        <w:ind w:firstLine="650" w:firstLineChars="200"/>
        <w:rPr>
          <w:rFonts w:hint="eastAsia"/>
        </w:rPr>
      </w:pPr>
      <w:r>
        <w:rPr>
          <w:rFonts w:hint="eastAsia"/>
        </w:rPr>
        <w:t>本院认为，</w:t>
      </w:r>
      <w:r>
        <w:rPr>
          <w:rFonts w:hint="eastAsia" w:ascii="仿宋_GB2312" w:hAnsi="宋体"/>
          <w:szCs w:val="32"/>
        </w:rPr>
        <w:t>被告人林云波以非法占有为目的，使用信用卡超过规定期限透支本金共计49余万元，并经发卡银行多次催收后超过三个月仍不归还，系恶意透支，数额巨大，其行为已构成信用卡诈骗罪，依法应予处罚。公诉机关指控的罪名成立，本院予以采纳。鉴于林云波归案后能如实供认所犯罪行，认罪态度较好，依法可对其从轻处罚。林云波的辩护人认为其主观恶性不深，认罪较好，系初犯、偶犯等情节，请求从从轻的辩护意见，予以采纳。</w:t>
      </w:r>
      <w:r>
        <w:rPr>
          <w:rFonts w:hint="eastAsia" w:ascii="仿宋_GB2312"/>
        </w:rPr>
        <w:t>综上，本院依据《中华人民共和国刑法》第一百九十六条第一款（四）项、第六十七条第三款、第六十四条之规定，判决如下：</w:t>
      </w:r>
    </w:p>
    <w:p>
      <w:pPr>
        <w:spacing w:line="500" w:lineRule="exact"/>
        <w:ind w:firstLine="812" w:firstLineChars="250"/>
        <w:rPr>
          <w:rFonts w:hint="eastAsia" w:ascii="仿宋_GB2312"/>
        </w:rPr>
      </w:pPr>
      <w:r>
        <w:rPr>
          <w:rFonts w:hint="eastAsia" w:ascii="仿宋_GB2312"/>
        </w:rPr>
        <w:t>一、被告人</w:t>
      </w:r>
      <w:r>
        <w:rPr>
          <w:rFonts w:hint="eastAsia" w:ascii="仿宋_GB2312" w:hAnsi="宋体"/>
          <w:szCs w:val="32"/>
        </w:rPr>
        <w:t>林云波</w:t>
      </w:r>
      <w:r>
        <w:rPr>
          <w:rFonts w:hint="eastAsia" w:ascii="仿宋_GB2312"/>
        </w:rPr>
        <w:t>犯</w:t>
      </w:r>
      <w:r>
        <w:rPr>
          <w:rFonts w:hint="eastAsia" w:ascii="仿宋_GB2312" w:hAnsi="宋体"/>
          <w:szCs w:val="32"/>
        </w:rPr>
        <w:t>信用卡诈骗</w:t>
      </w:r>
      <w:r>
        <w:rPr>
          <w:rFonts w:hint="eastAsia" w:ascii="仿宋_GB2312"/>
        </w:rPr>
        <w:t>罪，判处有期徒刑六年，并处罚金人民币50000元（刑期自判决执行之日起计算。判决执行以前先行羁押的羁押一日折抵刑期一日，即自2015年5月10日起至2021年5月9日止）。</w:t>
      </w:r>
    </w:p>
    <w:p>
      <w:pPr>
        <w:ind w:firstLine="646"/>
        <w:rPr>
          <w:rFonts w:hint="eastAsia" w:ascii="仿宋_GB2312"/>
          <w:kern w:val="10"/>
        </w:rPr>
      </w:pPr>
      <w:r>
        <w:rPr>
          <w:rFonts w:hint="eastAsia" w:ascii="仿宋_GB2312"/>
          <w:kern w:val="10"/>
        </w:rPr>
        <w:t>以上罚金于判决书生效后十日内交付本院。</w:t>
      </w:r>
    </w:p>
    <w:p>
      <w:pPr>
        <w:ind w:firstLine="646"/>
        <w:rPr>
          <w:rFonts w:hint="eastAsia" w:ascii="仿宋_GB2312"/>
          <w:kern w:val="10"/>
        </w:rPr>
      </w:pPr>
      <w:r>
        <w:rPr>
          <w:rFonts w:hint="eastAsia" w:ascii="仿宋_GB2312"/>
          <w:kern w:val="10"/>
        </w:rPr>
        <w:t>二、责令被告人林云波退赔中国</w:t>
      </w:r>
      <w:r>
        <w:rPr>
          <w:rFonts w:hint="eastAsia" w:ascii="仿宋_GB2312" w:hAnsi="宋体"/>
          <w:szCs w:val="32"/>
        </w:rPr>
        <w:t>农业银行股份有限公司天津东丽支行人民币本金499739.65元。</w:t>
      </w:r>
    </w:p>
    <w:p>
      <w:pPr>
        <w:spacing w:line="520" w:lineRule="exact"/>
        <w:ind w:firstLine="650" w:firstLineChars="200"/>
        <w:rPr>
          <w:rFonts w:hint="eastAsia" w:ascii="仿宋_GB2312"/>
        </w:rPr>
      </w:pPr>
      <w:r>
        <w:rPr>
          <w:rFonts w:hint="eastAsia" w:ascii="仿宋_GB2312"/>
        </w:rPr>
        <w:t>如不服本判决，可于接到判决书的第二日起十日内，通过本院或直接向天津市第二中级人民法院提出上诉，书面上诉的，应交上诉状正本一份，副本二份。</w:t>
      </w:r>
    </w:p>
    <w:p>
      <w:pPr>
        <w:spacing w:line="520" w:lineRule="exact"/>
        <w:ind w:left="5768" w:leftChars="1775"/>
        <w:rPr>
          <w:rFonts w:hint="eastAsia" w:ascii="仿宋_GB2312"/>
        </w:rPr>
      </w:pPr>
    </w:p>
    <w:p>
      <w:pPr>
        <w:spacing w:line="520" w:lineRule="exact"/>
        <w:ind w:left="5768" w:leftChars="1775"/>
        <w:rPr>
          <w:rFonts w:hint="eastAsia" w:ascii="仿宋_GB2312"/>
        </w:rPr>
      </w:pPr>
      <w:r>
        <w:rPr>
          <w:rFonts w:hint="eastAsia" w:ascii="仿宋_GB2312"/>
        </w:rPr>
        <w:t xml:space="preserve">审  判  长  张亚玲   </w:t>
      </w:r>
    </w:p>
    <w:p>
      <w:pPr>
        <w:spacing w:line="520" w:lineRule="exact"/>
        <w:ind w:firstLine="5771" w:firstLineChars="1776"/>
        <w:rPr>
          <w:rFonts w:hint="eastAsia" w:ascii="宋体" w:hAnsi="宋体" w:eastAsia="宋体" w:cs="宋体"/>
        </w:rPr>
      </w:pPr>
      <w:r>
        <w:rPr>
          <w:rFonts w:hint="eastAsia" w:ascii="仿宋_GB2312"/>
        </w:rPr>
        <w:t xml:space="preserve">代理审判员  张  </w:t>
      </w:r>
      <w:r>
        <w:rPr>
          <w:rFonts w:hint="eastAsia" w:ascii="宋体" w:hAnsi="宋体" w:eastAsia="宋体" w:cs="宋体"/>
        </w:rPr>
        <w:t>喆</w:t>
      </w:r>
    </w:p>
    <w:p>
      <w:pPr>
        <w:spacing w:line="520" w:lineRule="exact"/>
        <w:ind w:firstLine="5602" w:firstLineChars="1724"/>
        <w:rPr>
          <w:rFonts w:hint="eastAsia" w:ascii="仿宋_GB2312" w:hAnsi="宋体" w:cs="宋体"/>
        </w:rPr>
      </w:pPr>
      <w:r>
        <w:rPr>
          <w:rFonts w:hint="eastAsia" w:ascii="宋体" w:hAnsi="宋体" w:eastAsia="宋体" w:cs="宋体"/>
        </w:rPr>
        <w:t xml:space="preserve"> </w:t>
      </w:r>
      <w:r>
        <w:rPr>
          <w:rFonts w:hint="eastAsia" w:ascii="仿宋_GB2312" w:hAnsi="宋体" w:cs="宋体"/>
        </w:rPr>
        <w:t>人民陪审员  李  芸</w:t>
      </w:r>
    </w:p>
    <w:p>
      <w:pPr>
        <w:spacing w:line="520" w:lineRule="exact"/>
        <w:ind w:firstLine="5602" w:firstLineChars="1724"/>
        <w:rPr>
          <w:rFonts w:hint="eastAsia" w:ascii="仿宋_GB2312" w:hAnsi="宋体" w:cs="宋体"/>
        </w:rPr>
      </w:pPr>
    </w:p>
    <w:p>
      <w:pPr>
        <w:spacing w:line="520" w:lineRule="exact"/>
        <w:ind w:left="4160" w:firstLine="645"/>
        <w:jc w:val="right"/>
        <w:rPr>
          <w:rFonts w:ascii="仿宋_GB2312"/>
        </w:rPr>
      </w:pPr>
      <w:r>
        <w:rPr>
          <w:rFonts w:hint="eastAsia" w:ascii="仿宋_GB2312"/>
        </w:rPr>
        <w:t>二</w:t>
      </w:r>
      <w:r>
        <w:rPr>
          <w:rFonts w:hint="eastAsia" w:ascii="宋体" w:hAnsi="宋体" w:eastAsia="宋体" w:cs="宋体"/>
        </w:rPr>
        <w:t>〇</w:t>
      </w:r>
      <w:r>
        <w:rPr>
          <w:rFonts w:hint="eastAsia" w:ascii="仿宋_GB2312" w:hAnsi="仿宋_GB2312" w:cs="仿宋_GB2312"/>
        </w:rPr>
        <w:t>一五年九月一日</w:t>
      </w:r>
    </w:p>
    <w:p>
      <w:pPr>
        <w:spacing w:line="520" w:lineRule="exact"/>
        <w:ind w:firstLine="162" w:firstLineChars="50"/>
        <w:rPr>
          <w:rFonts w:hint="eastAsia" w:ascii="仿宋_GB2312"/>
        </w:rPr>
      </w:pPr>
    </w:p>
    <w:p>
      <w:pPr>
        <w:spacing w:line="520" w:lineRule="exact"/>
        <w:ind w:firstLine="5785" w:firstLineChars="1780"/>
        <w:rPr>
          <w:rFonts w:hint="eastAsia" w:ascii="仿宋_GB2312"/>
        </w:rPr>
      </w:pPr>
      <w:r>
        <w:rPr>
          <w:rFonts w:hint="eastAsia" w:ascii="仿宋_GB2312"/>
        </w:rPr>
        <w:t>书</w:t>
      </w:r>
      <w:r>
        <w:rPr>
          <w:rFonts w:ascii="仿宋_GB2312"/>
        </w:rPr>
        <w:t xml:space="preserve">  </w:t>
      </w:r>
      <w:r>
        <w:rPr>
          <w:rFonts w:hint="eastAsia" w:ascii="仿宋_GB2312"/>
        </w:rPr>
        <w:t>记</w:t>
      </w:r>
      <w:r>
        <w:rPr>
          <w:rFonts w:ascii="仿宋_GB2312"/>
        </w:rPr>
        <w:t xml:space="preserve">  </w:t>
      </w:r>
      <w:r>
        <w:rPr>
          <w:rFonts w:hint="eastAsia" w:ascii="仿宋_GB2312"/>
        </w:rPr>
        <w:t>员</w:t>
      </w:r>
      <w:r>
        <w:rPr>
          <w:rFonts w:ascii="仿宋_GB2312"/>
        </w:rPr>
        <w:t xml:space="preserve">  </w:t>
      </w:r>
      <w:r>
        <w:rPr>
          <w:rFonts w:hint="eastAsia" w:ascii="仿宋_GB2312"/>
        </w:rPr>
        <w:t>李  陆</w:t>
      </w:r>
    </w:p>
    <w:p>
      <w:pPr>
        <w:ind w:firstLine="5785" w:firstLineChars="1780"/>
        <w:rPr>
          <w:rFonts w:hint="eastAsia" w:ascii="仿宋_GB2312"/>
          <w:szCs w:val="32"/>
        </w:rPr>
      </w:pPr>
      <w:r>
        <w:rPr>
          <w:rFonts w:hint="eastAsia" w:ascii="仿宋_GB2312"/>
          <w:szCs w:val="32"/>
        </w:rPr>
        <w:t>速  录  员  吴  伟</w:t>
      </w: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60" w:firstLineChars="400"/>
        <w:jc w:val="center"/>
        <w:rPr>
          <w:rFonts w:hint="eastAsia" w:ascii="黑体" w:eastAsia="黑体"/>
          <w:sz w:val="36"/>
          <w:szCs w:val="36"/>
        </w:rPr>
      </w:pPr>
    </w:p>
    <w:p>
      <w:pPr>
        <w:tabs>
          <w:tab w:val="left" w:pos="1884"/>
        </w:tabs>
        <w:spacing w:line="500" w:lineRule="exact"/>
        <w:ind w:right="628" w:firstLine="1444" w:firstLineChars="396"/>
        <w:rPr>
          <w:rFonts w:hint="eastAsia" w:ascii="黑体" w:eastAsia="黑体"/>
          <w:sz w:val="36"/>
          <w:szCs w:val="36"/>
        </w:rPr>
      </w:pPr>
      <w:r>
        <w:rPr>
          <w:rFonts w:hint="eastAsia" w:ascii="黑体" w:eastAsia="黑体"/>
          <w:sz w:val="36"/>
          <w:szCs w:val="36"/>
        </w:rPr>
        <w:t>本判决所依据的相关法律、法规</w:t>
      </w:r>
    </w:p>
    <w:p>
      <w:pPr>
        <w:tabs>
          <w:tab w:val="left" w:pos="1884"/>
        </w:tabs>
        <w:spacing w:line="500" w:lineRule="exact"/>
        <w:ind w:right="628" w:firstLine="1460" w:firstLineChars="400"/>
        <w:jc w:val="center"/>
        <w:rPr>
          <w:rFonts w:hint="eastAsia" w:ascii="黑体" w:eastAsia="黑体"/>
          <w:sz w:val="36"/>
          <w:szCs w:val="36"/>
        </w:rPr>
      </w:pPr>
    </w:p>
    <w:p>
      <w:pPr>
        <w:ind w:firstLine="805" w:firstLineChars="248"/>
        <w:rPr>
          <w:rFonts w:hint="eastAsia" w:ascii="仿宋_GB2312"/>
          <w:szCs w:val="21"/>
        </w:rPr>
      </w:pPr>
      <w:r>
        <w:rPr>
          <w:rFonts w:hint="eastAsia"/>
        </w:rPr>
        <w:t>一、《中华人民共和国刑法》第一百九十六条：</w:t>
      </w:r>
      <w:r>
        <w:rPr>
          <w:rFonts w:hint="eastAsia" w:ascii="仿宋_GB2312"/>
          <w:szCs w:val="21"/>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_GB2312"/>
          <w:szCs w:val="21"/>
        </w:rPr>
      </w:pPr>
      <w:r>
        <w:rPr>
          <w:rFonts w:hint="eastAsia" w:ascii="仿宋_GB2312"/>
          <w:szCs w:val="21"/>
        </w:rPr>
        <w:t>　　（一）使用伪造的信用卡，或者使用以虚假的身份证明骗领的信用卡的；</w:t>
      </w:r>
    </w:p>
    <w:p>
      <w:pPr>
        <w:rPr>
          <w:rFonts w:hint="eastAsia" w:ascii="仿宋_GB2312"/>
          <w:szCs w:val="21"/>
        </w:rPr>
      </w:pPr>
      <w:r>
        <w:rPr>
          <w:rFonts w:hint="eastAsia" w:ascii="仿宋_GB2312"/>
          <w:szCs w:val="21"/>
        </w:rPr>
        <w:t>　　（二）使用作废的信用卡的；</w:t>
      </w:r>
    </w:p>
    <w:p>
      <w:pPr>
        <w:rPr>
          <w:rFonts w:hint="eastAsia" w:ascii="仿宋_GB2312"/>
          <w:szCs w:val="21"/>
        </w:rPr>
      </w:pPr>
      <w:r>
        <w:rPr>
          <w:rFonts w:hint="eastAsia" w:ascii="仿宋_GB2312"/>
          <w:szCs w:val="21"/>
        </w:rPr>
        <w:t>　　（三）冒用他人信用卡的；</w:t>
      </w:r>
    </w:p>
    <w:p>
      <w:pPr>
        <w:rPr>
          <w:rFonts w:hint="eastAsia" w:ascii="仿宋_GB2312"/>
          <w:szCs w:val="21"/>
        </w:rPr>
      </w:pPr>
      <w:r>
        <w:rPr>
          <w:rFonts w:hint="eastAsia" w:ascii="仿宋_GB2312"/>
          <w:szCs w:val="21"/>
        </w:rPr>
        <w:t>　　（四）恶意透支的。</w:t>
      </w:r>
    </w:p>
    <w:p>
      <w:pPr>
        <w:rPr>
          <w:rFonts w:hint="eastAsia" w:ascii="仿宋_GB2312"/>
          <w:szCs w:val="21"/>
        </w:rPr>
      </w:pPr>
      <w:r>
        <w:rPr>
          <w:rFonts w:hint="eastAsia" w:ascii="仿宋_GB2312"/>
          <w:szCs w:val="21"/>
        </w:rPr>
        <w:t>　　前款所称恶意透支，是指持卡人以非法占有为目的，超过规定限额或者规定期限透支，并且经发卡银行催收后仍不归还的行为。</w:t>
      </w:r>
    </w:p>
    <w:p>
      <w:pPr>
        <w:rPr>
          <w:rFonts w:hint="eastAsia" w:ascii="仿宋_GB2312"/>
          <w:szCs w:val="21"/>
        </w:rPr>
      </w:pPr>
      <w:r>
        <w:rPr>
          <w:rFonts w:hint="eastAsia" w:ascii="仿宋_GB2312"/>
          <w:szCs w:val="21"/>
        </w:rPr>
        <w:t>　　盗窃信用卡并使用的，依照本法第二百六十四条的规定定罪处罚。</w:t>
      </w:r>
    </w:p>
    <w:p>
      <w:pPr>
        <w:spacing w:line="520" w:lineRule="exact"/>
        <w:ind w:firstLine="642" w:firstLineChars="198"/>
        <w:rPr>
          <w:rFonts w:hint="eastAsia" w:ascii="仿宋_GB2312"/>
          <w:szCs w:val="21"/>
        </w:rPr>
      </w:pPr>
      <w:r>
        <w:rPr>
          <w:rFonts w:hint="eastAsia" w:ascii="仿宋_GB2312"/>
          <w:szCs w:val="21"/>
        </w:rPr>
        <w:t>二</w:t>
      </w:r>
      <w:r>
        <w:rPr>
          <w:rFonts w:hint="eastAsia"/>
          <w:szCs w:val="18"/>
        </w:rPr>
        <w:t>、</w:t>
      </w:r>
      <w:r>
        <w:rPr>
          <w:rFonts w:hint="eastAsia" w:ascii="仿宋_GB2312"/>
          <w:szCs w:val="32"/>
        </w:rPr>
        <w:t>《中华人民共和国刑法》第六十七条：犯罪以后自动投案，如实供述自己的罪行的，是自首。对于自首的犯罪分子，可以从轻或者减轻处罚。其中，犯罪较轻的，可以免除处罚。</w:t>
      </w:r>
    </w:p>
    <w:p>
      <w:pPr>
        <w:spacing w:line="520" w:lineRule="exact"/>
        <w:ind w:firstLine="650" w:firstLineChars="200"/>
        <w:rPr>
          <w:rFonts w:hint="eastAsia" w:ascii="仿宋_GB2312"/>
          <w:szCs w:val="32"/>
        </w:rPr>
      </w:pPr>
      <w:r>
        <w:rPr>
          <w:rFonts w:hint="eastAsia" w:ascii="仿宋_GB2312"/>
          <w:szCs w:val="32"/>
        </w:rPr>
        <w:t>被采取强制措施的犯罪嫌疑人、被告人和正在服刑的罪犯，如实供述司法机关还未掌握的本人其他罪行的，以自首论。</w:t>
      </w:r>
    </w:p>
    <w:p>
      <w:pPr>
        <w:spacing w:line="520" w:lineRule="exact"/>
        <w:ind w:firstLine="650" w:firstLineChars="200"/>
        <w:rPr>
          <w:rFonts w:hint="eastAsia" w:ascii="仿宋_GB2312"/>
          <w:szCs w:val="32"/>
        </w:rPr>
      </w:pPr>
      <w:r>
        <w:rPr>
          <w:rFonts w:hint="eastAsia" w:ascii="仿宋_GB2312"/>
          <w:szCs w:val="32"/>
        </w:rPr>
        <w:t>犯罪嫌疑人虽不具有前两款规定的自首情节，但是如实供述自己罪行的，可以从轻处罚；因其如实供述自己罪行，避免特别严重后果发生的，可以减轻处罚。</w:t>
      </w:r>
    </w:p>
    <w:p>
      <w:pPr>
        <w:ind w:firstLine="642" w:firstLineChars="198"/>
        <w:rPr>
          <w:rFonts w:hint="eastAsia" w:ascii="仿宋_GB2312"/>
          <w:szCs w:val="21"/>
        </w:rPr>
      </w:pPr>
      <w:r>
        <w:rPr>
          <w:rFonts w:hint="eastAsia"/>
        </w:rPr>
        <w:t>三、《中华人民共和国刑法》</w:t>
      </w:r>
      <w:r>
        <w:rPr>
          <w:rFonts w:hint="eastAsia"/>
          <w:kern w:val="10"/>
        </w:rPr>
        <w:t>第六十四条：</w:t>
      </w:r>
      <w:r>
        <w:rPr>
          <w:rFonts w:hint="eastAsia" w:ascii="仿宋_GB2312"/>
          <w:szCs w:val="21"/>
        </w:rPr>
        <w:t>犯罪分子违法所得的一切财物，应当予以追缴或者责令退赔；对被害人的合法财产，应当及时返还；违禁品和供犯罪所用的本人财物，应当予以没收。没收的财物和罚金，一律上缴国库，不得挪用和自行处理。</w:t>
      </w:r>
    </w:p>
    <w:p>
      <w:pPr>
        <w:tabs>
          <w:tab w:val="left" w:pos="1884"/>
        </w:tabs>
        <w:spacing w:line="500" w:lineRule="exact"/>
        <w:ind w:right="628" w:firstLine="1460" w:firstLineChars="400"/>
        <w:jc w:val="center"/>
        <w:rPr>
          <w:rFonts w:hint="eastAsia" w:ascii="黑体" w:eastAsia="黑体"/>
          <w:sz w:val="36"/>
          <w:szCs w:val="36"/>
        </w:rPr>
      </w:pPr>
    </w:p>
    <w:sectPr>
      <w:footerReference r:id="rId3" w:type="default"/>
      <w:footerReference r:id="rId4" w:type="even"/>
      <w:pgSz w:w="11907" w:h="16840"/>
      <w:pgMar w:top="1701" w:right="1418" w:bottom="1701" w:left="1701" w:header="851" w:footer="992" w:gutter="0"/>
      <w:cols w:space="425" w:num="1"/>
      <w:docGrid w:type="linesAndChars" w:linePitch="537"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3993"/>
    <w:rsid w:val="000001E2"/>
    <w:rsid w:val="000008D2"/>
    <w:rsid w:val="00003DA4"/>
    <w:rsid w:val="00004C2B"/>
    <w:rsid w:val="00006C2C"/>
    <w:rsid w:val="00011F0A"/>
    <w:rsid w:val="00011F75"/>
    <w:rsid w:val="0001687A"/>
    <w:rsid w:val="00016E81"/>
    <w:rsid w:val="00022F05"/>
    <w:rsid w:val="00030368"/>
    <w:rsid w:val="000303FE"/>
    <w:rsid w:val="00031277"/>
    <w:rsid w:val="000314D4"/>
    <w:rsid w:val="00032A37"/>
    <w:rsid w:val="00032D6D"/>
    <w:rsid w:val="00034C76"/>
    <w:rsid w:val="0003686E"/>
    <w:rsid w:val="00037E74"/>
    <w:rsid w:val="000450EB"/>
    <w:rsid w:val="00047265"/>
    <w:rsid w:val="00053113"/>
    <w:rsid w:val="00060367"/>
    <w:rsid w:val="00060DD0"/>
    <w:rsid w:val="00064379"/>
    <w:rsid w:val="000710DF"/>
    <w:rsid w:val="0007132E"/>
    <w:rsid w:val="00073BBB"/>
    <w:rsid w:val="0007513D"/>
    <w:rsid w:val="00075824"/>
    <w:rsid w:val="00075D58"/>
    <w:rsid w:val="000760C0"/>
    <w:rsid w:val="000762FD"/>
    <w:rsid w:val="000776E4"/>
    <w:rsid w:val="000825C6"/>
    <w:rsid w:val="000829BF"/>
    <w:rsid w:val="00091F35"/>
    <w:rsid w:val="000A07CF"/>
    <w:rsid w:val="000A23A2"/>
    <w:rsid w:val="000A32B4"/>
    <w:rsid w:val="000A3E47"/>
    <w:rsid w:val="000B025A"/>
    <w:rsid w:val="000B236C"/>
    <w:rsid w:val="000B2423"/>
    <w:rsid w:val="000B2F0A"/>
    <w:rsid w:val="000B3F2E"/>
    <w:rsid w:val="000C20FB"/>
    <w:rsid w:val="000C39E4"/>
    <w:rsid w:val="000C3C4F"/>
    <w:rsid w:val="000C417A"/>
    <w:rsid w:val="000C512A"/>
    <w:rsid w:val="000C6C5F"/>
    <w:rsid w:val="000C7C33"/>
    <w:rsid w:val="000D009D"/>
    <w:rsid w:val="000D17BB"/>
    <w:rsid w:val="000D4648"/>
    <w:rsid w:val="000D5365"/>
    <w:rsid w:val="000E0E51"/>
    <w:rsid w:val="000E3A24"/>
    <w:rsid w:val="000F0E8D"/>
    <w:rsid w:val="000F7810"/>
    <w:rsid w:val="0010243C"/>
    <w:rsid w:val="001122A7"/>
    <w:rsid w:val="001124D9"/>
    <w:rsid w:val="0011391F"/>
    <w:rsid w:val="00113B5A"/>
    <w:rsid w:val="00114D67"/>
    <w:rsid w:val="00116BD5"/>
    <w:rsid w:val="0011765E"/>
    <w:rsid w:val="00121229"/>
    <w:rsid w:val="00125148"/>
    <w:rsid w:val="0012581D"/>
    <w:rsid w:val="00130951"/>
    <w:rsid w:val="00131056"/>
    <w:rsid w:val="001323CD"/>
    <w:rsid w:val="00132407"/>
    <w:rsid w:val="00137F64"/>
    <w:rsid w:val="00140D0D"/>
    <w:rsid w:val="00140E9C"/>
    <w:rsid w:val="001450CE"/>
    <w:rsid w:val="00146DA2"/>
    <w:rsid w:val="00150163"/>
    <w:rsid w:val="00150D99"/>
    <w:rsid w:val="001520E8"/>
    <w:rsid w:val="00160B4A"/>
    <w:rsid w:val="00160DC8"/>
    <w:rsid w:val="00161DAC"/>
    <w:rsid w:val="001634A4"/>
    <w:rsid w:val="001653AD"/>
    <w:rsid w:val="00166188"/>
    <w:rsid w:val="001673DC"/>
    <w:rsid w:val="00171860"/>
    <w:rsid w:val="00171C1C"/>
    <w:rsid w:val="00173E4E"/>
    <w:rsid w:val="00183E6A"/>
    <w:rsid w:val="001848A0"/>
    <w:rsid w:val="00186C4B"/>
    <w:rsid w:val="00192A11"/>
    <w:rsid w:val="00193742"/>
    <w:rsid w:val="0019672A"/>
    <w:rsid w:val="00197CB2"/>
    <w:rsid w:val="001A109B"/>
    <w:rsid w:val="001A196C"/>
    <w:rsid w:val="001A31EA"/>
    <w:rsid w:val="001A658B"/>
    <w:rsid w:val="001B2D79"/>
    <w:rsid w:val="001B510F"/>
    <w:rsid w:val="001C00E1"/>
    <w:rsid w:val="001C19C0"/>
    <w:rsid w:val="001C1DE3"/>
    <w:rsid w:val="001D0E27"/>
    <w:rsid w:val="001D21AE"/>
    <w:rsid w:val="001D2738"/>
    <w:rsid w:val="001D4058"/>
    <w:rsid w:val="001D4097"/>
    <w:rsid w:val="001D6AB0"/>
    <w:rsid w:val="001E3E8F"/>
    <w:rsid w:val="001E61A9"/>
    <w:rsid w:val="001F0CF1"/>
    <w:rsid w:val="001F14A8"/>
    <w:rsid w:val="001F1569"/>
    <w:rsid w:val="001F602C"/>
    <w:rsid w:val="00200F13"/>
    <w:rsid w:val="00204931"/>
    <w:rsid w:val="002050A8"/>
    <w:rsid w:val="00207D10"/>
    <w:rsid w:val="002115BF"/>
    <w:rsid w:val="00213B7C"/>
    <w:rsid w:val="00215F42"/>
    <w:rsid w:val="0021642D"/>
    <w:rsid w:val="00221E7D"/>
    <w:rsid w:val="0022266E"/>
    <w:rsid w:val="00224370"/>
    <w:rsid w:val="00233E88"/>
    <w:rsid w:val="00241AF3"/>
    <w:rsid w:val="00246BB4"/>
    <w:rsid w:val="00247E1D"/>
    <w:rsid w:val="0025262E"/>
    <w:rsid w:val="00253F83"/>
    <w:rsid w:val="00256A24"/>
    <w:rsid w:val="00260BCA"/>
    <w:rsid w:val="00264405"/>
    <w:rsid w:val="00271013"/>
    <w:rsid w:val="00272E2E"/>
    <w:rsid w:val="0027316A"/>
    <w:rsid w:val="00276262"/>
    <w:rsid w:val="00281A04"/>
    <w:rsid w:val="00283438"/>
    <w:rsid w:val="00283D64"/>
    <w:rsid w:val="00284FC6"/>
    <w:rsid w:val="00286A59"/>
    <w:rsid w:val="002945D5"/>
    <w:rsid w:val="002947A4"/>
    <w:rsid w:val="002951E7"/>
    <w:rsid w:val="00295544"/>
    <w:rsid w:val="00297681"/>
    <w:rsid w:val="002A5B91"/>
    <w:rsid w:val="002A6E1E"/>
    <w:rsid w:val="002B2013"/>
    <w:rsid w:val="002B27EB"/>
    <w:rsid w:val="002B30F4"/>
    <w:rsid w:val="002C1F22"/>
    <w:rsid w:val="002C214C"/>
    <w:rsid w:val="002C26A3"/>
    <w:rsid w:val="002C3FE9"/>
    <w:rsid w:val="002C6E52"/>
    <w:rsid w:val="002D00E1"/>
    <w:rsid w:val="002D21F5"/>
    <w:rsid w:val="002D440A"/>
    <w:rsid w:val="002D6599"/>
    <w:rsid w:val="002D6CDB"/>
    <w:rsid w:val="002E10BB"/>
    <w:rsid w:val="002E3299"/>
    <w:rsid w:val="002E6781"/>
    <w:rsid w:val="002F175F"/>
    <w:rsid w:val="002F4F64"/>
    <w:rsid w:val="00305AA3"/>
    <w:rsid w:val="003100B9"/>
    <w:rsid w:val="003107EC"/>
    <w:rsid w:val="0031430A"/>
    <w:rsid w:val="00316FF7"/>
    <w:rsid w:val="00322227"/>
    <w:rsid w:val="003256C8"/>
    <w:rsid w:val="00334387"/>
    <w:rsid w:val="003409C1"/>
    <w:rsid w:val="00344402"/>
    <w:rsid w:val="00345B85"/>
    <w:rsid w:val="00346FA6"/>
    <w:rsid w:val="0035096B"/>
    <w:rsid w:val="00351254"/>
    <w:rsid w:val="00356662"/>
    <w:rsid w:val="00365A90"/>
    <w:rsid w:val="00370A81"/>
    <w:rsid w:val="003739E6"/>
    <w:rsid w:val="00383278"/>
    <w:rsid w:val="003837AB"/>
    <w:rsid w:val="00384E09"/>
    <w:rsid w:val="00385006"/>
    <w:rsid w:val="00385776"/>
    <w:rsid w:val="003863F5"/>
    <w:rsid w:val="003947A2"/>
    <w:rsid w:val="00396FEF"/>
    <w:rsid w:val="00397173"/>
    <w:rsid w:val="003A0FB4"/>
    <w:rsid w:val="003A315D"/>
    <w:rsid w:val="003A53A8"/>
    <w:rsid w:val="003B00D1"/>
    <w:rsid w:val="003B560F"/>
    <w:rsid w:val="003B7361"/>
    <w:rsid w:val="003C0027"/>
    <w:rsid w:val="003C28CD"/>
    <w:rsid w:val="003C3FAF"/>
    <w:rsid w:val="003C5F74"/>
    <w:rsid w:val="003C7027"/>
    <w:rsid w:val="003D2FC4"/>
    <w:rsid w:val="003D48E5"/>
    <w:rsid w:val="003D4D1C"/>
    <w:rsid w:val="003E26DC"/>
    <w:rsid w:val="003E6E6D"/>
    <w:rsid w:val="003F144A"/>
    <w:rsid w:val="003F38B4"/>
    <w:rsid w:val="003F6058"/>
    <w:rsid w:val="004060D8"/>
    <w:rsid w:val="00406F62"/>
    <w:rsid w:val="0040714A"/>
    <w:rsid w:val="00415075"/>
    <w:rsid w:val="00416E83"/>
    <w:rsid w:val="00423F92"/>
    <w:rsid w:val="004241FE"/>
    <w:rsid w:val="00431589"/>
    <w:rsid w:val="00434257"/>
    <w:rsid w:val="00434DC6"/>
    <w:rsid w:val="00441145"/>
    <w:rsid w:val="00442B77"/>
    <w:rsid w:val="004435C2"/>
    <w:rsid w:val="0045397A"/>
    <w:rsid w:val="00457917"/>
    <w:rsid w:val="00466424"/>
    <w:rsid w:val="00467163"/>
    <w:rsid w:val="00474D71"/>
    <w:rsid w:val="0048011B"/>
    <w:rsid w:val="004840D4"/>
    <w:rsid w:val="00495F8B"/>
    <w:rsid w:val="00497111"/>
    <w:rsid w:val="004A7628"/>
    <w:rsid w:val="004B156C"/>
    <w:rsid w:val="004C0149"/>
    <w:rsid w:val="004C18AC"/>
    <w:rsid w:val="004D0266"/>
    <w:rsid w:val="004D4FF2"/>
    <w:rsid w:val="004D6AB3"/>
    <w:rsid w:val="004E0DC8"/>
    <w:rsid w:val="004E6B8B"/>
    <w:rsid w:val="004E6BB3"/>
    <w:rsid w:val="004F2AD2"/>
    <w:rsid w:val="00501389"/>
    <w:rsid w:val="00501B67"/>
    <w:rsid w:val="005121DD"/>
    <w:rsid w:val="0051245E"/>
    <w:rsid w:val="00514C6F"/>
    <w:rsid w:val="00515767"/>
    <w:rsid w:val="00515A08"/>
    <w:rsid w:val="00515B98"/>
    <w:rsid w:val="00517917"/>
    <w:rsid w:val="005179E5"/>
    <w:rsid w:val="00521384"/>
    <w:rsid w:val="005213E8"/>
    <w:rsid w:val="00522C3D"/>
    <w:rsid w:val="00523A72"/>
    <w:rsid w:val="00524813"/>
    <w:rsid w:val="005344CA"/>
    <w:rsid w:val="005350E9"/>
    <w:rsid w:val="00537E6A"/>
    <w:rsid w:val="0054151E"/>
    <w:rsid w:val="00550BFE"/>
    <w:rsid w:val="0055502E"/>
    <w:rsid w:val="0055799D"/>
    <w:rsid w:val="00557B48"/>
    <w:rsid w:val="005621AA"/>
    <w:rsid w:val="005638FF"/>
    <w:rsid w:val="00564F80"/>
    <w:rsid w:val="00570995"/>
    <w:rsid w:val="00581CF8"/>
    <w:rsid w:val="00590868"/>
    <w:rsid w:val="00596238"/>
    <w:rsid w:val="00596B2D"/>
    <w:rsid w:val="005B10E2"/>
    <w:rsid w:val="005B2AD0"/>
    <w:rsid w:val="005B514B"/>
    <w:rsid w:val="005B5D16"/>
    <w:rsid w:val="005C3209"/>
    <w:rsid w:val="005C4AC9"/>
    <w:rsid w:val="005C721C"/>
    <w:rsid w:val="005C748D"/>
    <w:rsid w:val="005D1E3A"/>
    <w:rsid w:val="005D32C1"/>
    <w:rsid w:val="005D415D"/>
    <w:rsid w:val="005D5214"/>
    <w:rsid w:val="005E096D"/>
    <w:rsid w:val="005E3D02"/>
    <w:rsid w:val="005E5EAE"/>
    <w:rsid w:val="005F1098"/>
    <w:rsid w:val="005F3820"/>
    <w:rsid w:val="005F3FDF"/>
    <w:rsid w:val="005F41AE"/>
    <w:rsid w:val="005F6908"/>
    <w:rsid w:val="0060008D"/>
    <w:rsid w:val="00600158"/>
    <w:rsid w:val="00601ABA"/>
    <w:rsid w:val="006104D3"/>
    <w:rsid w:val="006137B8"/>
    <w:rsid w:val="00613BE2"/>
    <w:rsid w:val="00615AF1"/>
    <w:rsid w:val="00622FDE"/>
    <w:rsid w:val="0063052D"/>
    <w:rsid w:val="006307DF"/>
    <w:rsid w:val="00631DDC"/>
    <w:rsid w:val="00637AEC"/>
    <w:rsid w:val="00640159"/>
    <w:rsid w:val="0064148A"/>
    <w:rsid w:val="00641B3D"/>
    <w:rsid w:val="0064278B"/>
    <w:rsid w:val="006435C3"/>
    <w:rsid w:val="006544C9"/>
    <w:rsid w:val="006554CC"/>
    <w:rsid w:val="006565DE"/>
    <w:rsid w:val="00657585"/>
    <w:rsid w:val="00662706"/>
    <w:rsid w:val="00666BF2"/>
    <w:rsid w:val="0067015B"/>
    <w:rsid w:val="00670382"/>
    <w:rsid w:val="0067068B"/>
    <w:rsid w:val="006717DF"/>
    <w:rsid w:val="0067385F"/>
    <w:rsid w:val="00675221"/>
    <w:rsid w:val="00676B11"/>
    <w:rsid w:val="006822C6"/>
    <w:rsid w:val="00683746"/>
    <w:rsid w:val="006860D0"/>
    <w:rsid w:val="006952A9"/>
    <w:rsid w:val="006A734C"/>
    <w:rsid w:val="006B48C0"/>
    <w:rsid w:val="006B782C"/>
    <w:rsid w:val="006D7976"/>
    <w:rsid w:val="006E1632"/>
    <w:rsid w:val="006E207F"/>
    <w:rsid w:val="006E2CEF"/>
    <w:rsid w:val="006E36A6"/>
    <w:rsid w:val="006E5202"/>
    <w:rsid w:val="006E620F"/>
    <w:rsid w:val="00700882"/>
    <w:rsid w:val="00703144"/>
    <w:rsid w:val="007031C9"/>
    <w:rsid w:val="00703C45"/>
    <w:rsid w:val="0070466A"/>
    <w:rsid w:val="00704811"/>
    <w:rsid w:val="007125A9"/>
    <w:rsid w:val="007163AD"/>
    <w:rsid w:val="00716643"/>
    <w:rsid w:val="0072217E"/>
    <w:rsid w:val="00724AC2"/>
    <w:rsid w:val="007269C7"/>
    <w:rsid w:val="00734761"/>
    <w:rsid w:val="00735C1F"/>
    <w:rsid w:val="007408D9"/>
    <w:rsid w:val="00743370"/>
    <w:rsid w:val="00743B84"/>
    <w:rsid w:val="00750529"/>
    <w:rsid w:val="00751AC1"/>
    <w:rsid w:val="00761C59"/>
    <w:rsid w:val="00764692"/>
    <w:rsid w:val="00764863"/>
    <w:rsid w:val="00765DA2"/>
    <w:rsid w:val="0076741D"/>
    <w:rsid w:val="0076795F"/>
    <w:rsid w:val="0077030E"/>
    <w:rsid w:val="0077209C"/>
    <w:rsid w:val="00772B7F"/>
    <w:rsid w:val="00773993"/>
    <w:rsid w:val="00775291"/>
    <w:rsid w:val="00776891"/>
    <w:rsid w:val="00776C0B"/>
    <w:rsid w:val="00780AB5"/>
    <w:rsid w:val="00781750"/>
    <w:rsid w:val="00783076"/>
    <w:rsid w:val="007841EB"/>
    <w:rsid w:val="00785CEB"/>
    <w:rsid w:val="0078735B"/>
    <w:rsid w:val="00792FAE"/>
    <w:rsid w:val="007A2F1B"/>
    <w:rsid w:val="007A5EBA"/>
    <w:rsid w:val="007B170E"/>
    <w:rsid w:val="007B1BC4"/>
    <w:rsid w:val="007B59A2"/>
    <w:rsid w:val="007C3722"/>
    <w:rsid w:val="007C4E36"/>
    <w:rsid w:val="007D01D0"/>
    <w:rsid w:val="007D0871"/>
    <w:rsid w:val="007E1360"/>
    <w:rsid w:val="007E53AE"/>
    <w:rsid w:val="007E5697"/>
    <w:rsid w:val="007E6F7E"/>
    <w:rsid w:val="007F105E"/>
    <w:rsid w:val="007F76CF"/>
    <w:rsid w:val="00804D18"/>
    <w:rsid w:val="008069E0"/>
    <w:rsid w:val="008079D8"/>
    <w:rsid w:val="0081576E"/>
    <w:rsid w:val="00821167"/>
    <w:rsid w:val="00823AB9"/>
    <w:rsid w:val="00823BFE"/>
    <w:rsid w:val="00825116"/>
    <w:rsid w:val="00825FAD"/>
    <w:rsid w:val="00830EB1"/>
    <w:rsid w:val="00835093"/>
    <w:rsid w:val="00835A13"/>
    <w:rsid w:val="008468E1"/>
    <w:rsid w:val="00856C6E"/>
    <w:rsid w:val="00862525"/>
    <w:rsid w:val="00865EEF"/>
    <w:rsid w:val="0086664A"/>
    <w:rsid w:val="0087776D"/>
    <w:rsid w:val="00880E7F"/>
    <w:rsid w:val="00885EB6"/>
    <w:rsid w:val="0088718D"/>
    <w:rsid w:val="00887471"/>
    <w:rsid w:val="008878D3"/>
    <w:rsid w:val="008919DB"/>
    <w:rsid w:val="00893D61"/>
    <w:rsid w:val="0089471E"/>
    <w:rsid w:val="00896ECF"/>
    <w:rsid w:val="008A06C4"/>
    <w:rsid w:val="008A124E"/>
    <w:rsid w:val="008A1B0B"/>
    <w:rsid w:val="008A6C44"/>
    <w:rsid w:val="008B1F96"/>
    <w:rsid w:val="008C28DB"/>
    <w:rsid w:val="008C2CA8"/>
    <w:rsid w:val="008C74A3"/>
    <w:rsid w:val="008D00B6"/>
    <w:rsid w:val="008D3A9E"/>
    <w:rsid w:val="008D6F35"/>
    <w:rsid w:val="008D72B6"/>
    <w:rsid w:val="008E17DF"/>
    <w:rsid w:val="008E566B"/>
    <w:rsid w:val="008E6001"/>
    <w:rsid w:val="008E60EA"/>
    <w:rsid w:val="008E6D29"/>
    <w:rsid w:val="008F1A75"/>
    <w:rsid w:val="008F4411"/>
    <w:rsid w:val="008F69B3"/>
    <w:rsid w:val="008F78D1"/>
    <w:rsid w:val="0090177A"/>
    <w:rsid w:val="009028DB"/>
    <w:rsid w:val="00902DF0"/>
    <w:rsid w:val="00904CC5"/>
    <w:rsid w:val="009063CD"/>
    <w:rsid w:val="00911FBC"/>
    <w:rsid w:val="00915400"/>
    <w:rsid w:val="009174D8"/>
    <w:rsid w:val="009204FD"/>
    <w:rsid w:val="00925566"/>
    <w:rsid w:val="00927724"/>
    <w:rsid w:val="00927A80"/>
    <w:rsid w:val="009322BD"/>
    <w:rsid w:val="0093776E"/>
    <w:rsid w:val="009409C9"/>
    <w:rsid w:val="00946BC0"/>
    <w:rsid w:val="009518E3"/>
    <w:rsid w:val="009529BA"/>
    <w:rsid w:val="009539C1"/>
    <w:rsid w:val="00963C85"/>
    <w:rsid w:val="00974636"/>
    <w:rsid w:val="0099035F"/>
    <w:rsid w:val="009935A8"/>
    <w:rsid w:val="0099637A"/>
    <w:rsid w:val="009A5AA1"/>
    <w:rsid w:val="009A7B9C"/>
    <w:rsid w:val="009B03D0"/>
    <w:rsid w:val="009B4DB1"/>
    <w:rsid w:val="009C65FA"/>
    <w:rsid w:val="009D244B"/>
    <w:rsid w:val="009D2B3C"/>
    <w:rsid w:val="009D347F"/>
    <w:rsid w:val="009E224D"/>
    <w:rsid w:val="009E2461"/>
    <w:rsid w:val="009F390B"/>
    <w:rsid w:val="009F52E3"/>
    <w:rsid w:val="009F5B86"/>
    <w:rsid w:val="009F65CB"/>
    <w:rsid w:val="00A0693F"/>
    <w:rsid w:val="00A142D4"/>
    <w:rsid w:val="00A1465B"/>
    <w:rsid w:val="00A14F74"/>
    <w:rsid w:val="00A15178"/>
    <w:rsid w:val="00A16461"/>
    <w:rsid w:val="00A20FCF"/>
    <w:rsid w:val="00A23D44"/>
    <w:rsid w:val="00A312E8"/>
    <w:rsid w:val="00A408A0"/>
    <w:rsid w:val="00A4269D"/>
    <w:rsid w:val="00A44AEC"/>
    <w:rsid w:val="00A46A9B"/>
    <w:rsid w:val="00A50C95"/>
    <w:rsid w:val="00A53315"/>
    <w:rsid w:val="00A54284"/>
    <w:rsid w:val="00A55B5F"/>
    <w:rsid w:val="00A56665"/>
    <w:rsid w:val="00A61018"/>
    <w:rsid w:val="00A621B3"/>
    <w:rsid w:val="00A6224C"/>
    <w:rsid w:val="00A65B2E"/>
    <w:rsid w:val="00A662D6"/>
    <w:rsid w:val="00A71B9A"/>
    <w:rsid w:val="00A750D1"/>
    <w:rsid w:val="00A82E4E"/>
    <w:rsid w:val="00A8390F"/>
    <w:rsid w:val="00A8540F"/>
    <w:rsid w:val="00A94E43"/>
    <w:rsid w:val="00A96761"/>
    <w:rsid w:val="00AA581C"/>
    <w:rsid w:val="00AA6C83"/>
    <w:rsid w:val="00AB4713"/>
    <w:rsid w:val="00AB7387"/>
    <w:rsid w:val="00AC005E"/>
    <w:rsid w:val="00AC1CD7"/>
    <w:rsid w:val="00AC58B0"/>
    <w:rsid w:val="00AC6BCC"/>
    <w:rsid w:val="00AD2590"/>
    <w:rsid w:val="00AD261D"/>
    <w:rsid w:val="00AD463B"/>
    <w:rsid w:val="00AD7FD8"/>
    <w:rsid w:val="00AE0C6C"/>
    <w:rsid w:val="00AE1609"/>
    <w:rsid w:val="00AE19E4"/>
    <w:rsid w:val="00AE3D7B"/>
    <w:rsid w:val="00AE7F53"/>
    <w:rsid w:val="00AF0B63"/>
    <w:rsid w:val="00AF4CE3"/>
    <w:rsid w:val="00AF5A35"/>
    <w:rsid w:val="00B019F2"/>
    <w:rsid w:val="00B0235F"/>
    <w:rsid w:val="00B03995"/>
    <w:rsid w:val="00B050F6"/>
    <w:rsid w:val="00B113B0"/>
    <w:rsid w:val="00B12450"/>
    <w:rsid w:val="00B14B32"/>
    <w:rsid w:val="00B22300"/>
    <w:rsid w:val="00B2315A"/>
    <w:rsid w:val="00B2415D"/>
    <w:rsid w:val="00B305AE"/>
    <w:rsid w:val="00B334AC"/>
    <w:rsid w:val="00B33D1B"/>
    <w:rsid w:val="00B348DB"/>
    <w:rsid w:val="00B40131"/>
    <w:rsid w:val="00B44700"/>
    <w:rsid w:val="00B46A06"/>
    <w:rsid w:val="00B56A5D"/>
    <w:rsid w:val="00B61251"/>
    <w:rsid w:val="00B63447"/>
    <w:rsid w:val="00B65150"/>
    <w:rsid w:val="00B66282"/>
    <w:rsid w:val="00B67130"/>
    <w:rsid w:val="00B763F2"/>
    <w:rsid w:val="00B81C44"/>
    <w:rsid w:val="00B85F6D"/>
    <w:rsid w:val="00B863F3"/>
    <w:rsid w:val="00B91D49"/>
    <w:rsid w:val="00B922D4"/>
    <w:rsid w:val="00BA01F1"/>
    <w:rsid w:val="00BA2B2A"/>
    <w:rsid w:val="00BA3CBC"/>
    <w:rsid w:val="00BA3E6C"/>
    <w:rsid w:val="00BA42E6"/>
    <w:rsid w:val="00BB0E04"/>
    <w:rsid w:val="00BB2511"/>
    <w:rsid w:val="00BB26F1"/>
    <w:rsid w:val="00BB2E17"/>
    <w:rsid w:val="00BB7607"/>
    <w:rsid w:val="00BC06A3"/>
    <w:rsid w:val="00BC51CA"/>
    <w:rsid w:val="00BC656A"/>
    <w:rsid w:val="00BE0525"/>
    <w:rsid w:val="00BE2592"/>
    <w:rsid w:val="00BE56CF"/>
    <w:rsid w:val="00BE5950"/>
    <w:rsid w:val="00BE7C66"/>
    <w:rsid w:val="00BF17DC"/>
    <w:rsid w:val="00BF252D"/>
    <w:rsid w:val="00BF573E"/>
    <w:rsid w:val="00BF7686"/>
    <w:rsid w:val="00C00D67"/>
    <w:rsid w:val="00C1369C"/>
    <w:rsid w:val="00C16D40"/>
    <w:rsid w:val="00C214BC"/>
    <w:rsid w:val="00C22B45"/>
    <w:rsid w:val="00C27BA9"/>
    <w:rsid w:val="00C27FF7"/>
    <w:rsid w:val="00C31E1C"/>
    <w:rsid w:val="00C43B69"/>
    <w:rsid w:val="00C47A5A"/>
    <w:rsid w:val="00C50FD5"/>
    <w:rsid w:val="00C549B4"/>
    <w:rsid w:val="00C54FEE"/>
    <w:rsid w:val="00C550FC"/>
    <w:rsid w:val="00C614F3"/>
    <w:rsid w:val="00C61ED6"/>
    <w:rsid w:val="00C62EC9"/>
    <w:rsid w:val="00C72078"/>
    <w:rsid w:val="00C731E0"/>
    <w:rsid w:val="00C731F7"/>
    <w:rsid w:val="00C74128"/>
    <w:rsid w:val="00C81C83"/>
    <w:rsid w:val="00C82D07"/>
    <w:rsid w:val="00C831E9"/>
    <w:rsid w:val="00C8544B"/>
    <w:rsid w:val="00C87F7D"/>
    <w:rsid w:val="00C94B43"/>
    <w:rsid w:val="00C96106"/>
    <w:rsid w:val="00C9794D"/>
    <w:rsid w:val="00CA128F"/>
    <w:rsid w:val="00CB0CDC"/>
    <w:rsid w:val="00CB3930"/>
    <w:rsid w:val="00CB4DB4"/>
    <w:rsid w:val="00CB6622"/>
    <w:rsid w:val="00CB6A12"/>
    <w:rsid w:val="00CC1973"/>
    <w:rsid w:val="00CC39D9"/>
    <w:rsid w:val="00CC63FD"/>
    <w:rsid w:val="00CC6DA9"/>
    <w:rsid w:val="00CD0050"/>
    <w:rsid w:val="00CD5688"/>
    <w:rsid w:val="00CE0141"/>
    <w:rsid w:val="00CE1FBA"/>
    <w:rsid w:val="00CE3A2E"/>
    <w:rsid w:val="00CE43D9"/>
    <w:rsid w:val="00CF3A5B"/>
    <w:rsid w:val="00CF3E28"/>
    <w:rsid w:val="00CF5043"/>
    <w:rsid w:val="00CF5E37"/>
    <w:rsid w:val="00CF6970"/>
    <w:rsid w:val="00D004E9"/>
    <w:rsid w:val="00D02DFB"/>
    <w:rsid w:val="00D038DF"/>
    <w:rsid w:val="00D051C2"/>
    <w:rsid w:val="00D1607B"/>
    <w:rsid w:val="00D16FA9"/>
    <w:rsid w:val="00D23C97"/>
    <w:rsid w:val="00D31EE4"/>
    <w:rsid w:val="00D32A50"/>
    <w:rsid w:val="00D34A5D"/>
    <w:rsid w:val="00D36004"/>
    <w:rsid w:val="00D37844"/>
    <w:rsid w:val="00D400C1"/>
    <w:rsid w:val="00D400F8"/>
    <w:rsid w:val="00D449AA"/>
    <w:rsid w:val="00D44B8D"/>
    <w:rsid w:val="00D45681"/>
    <w:rsid w:val="00D47631"/>
    <w:rsid w:val="00D50DCD"/>
    <w:rsid w:val="00D57F4B"/>
    <w:rsid w:val="00D61208"/>
    <w:rsid w:val="00D63490"/>
    <w:rsid w:val="00D64AD7"/>
    <w:rsid w:val="00D653A6"/>
    <w:rsid w:val="00D66C5E"/>
    <w:rsid w:val="00D7052D"/>
    <w:rsid w:val="00D74F93"/>
    <w:rsid w:val="00D77885"/>
    <w:rsid w:val="00D843E4"/>
    <w:rsid w:val="00D86FC0"/>
    <w:rsid w:val="00D87E41"/>
    <w:rsid w:val="00D904FB"/>
    <w:rsid w:val="00D91801"/>
    <w:rsid w:val="00D91826"/>
    <w:rsid w:val="00D945EE"/>
    <w:rsid w:val="00DA1B7A"/>
    <w:rsid w:val="00DA3304"/>
    <w:rsid w:val="00DA3CDF"/>
    <w:rsid w:val="00DA455A"/>
    <w:rsid w:val="00DA4F81"/>
    <w:rsid w:val="00DA4FEE"/>
    <w:rsid w:val="00DA7125"/>
    <w:rsid w:val="00DA74E7"/>
    <w:rsid w:val="00DB53BF"/>
    <w:rsid w:val="00DC2C57"/>
    <w:rsid w:val="00DC6B07"/>
    <w:rsid w:val="00DD1B3B"/>
    <w:rsid w:val="00DD6E56"/>
    <w:rsid w:val="00DE21C9"/>
    <w:rsid w:val="00DE720E"/>
    <w:rsid w:val="00DF2587"/>
    <w:rsid w:val="00DF2C18"/>
    <w:rsid w:val="00DF3D47"/>
    <w:rsid w:val="00DF5A2B"/>
    <w:rsid w:val="00DF7715"/>
    <w:rsid w:val="00E00564"/>
    <w:rsid w:val="00E0088E"/>
    <w:rsid w:val="00E00E67"/>
    <w:rsid w:val="00E03FAA"/>
    <w:rsid w:val="00E04ADD"/>
    <w:rsid w:val="00E05B51"/>
    <w:rsid w:val="00E0623E"/>
    <w:rsid w:val="00E0783D"/>
    <w:rsid w:val="00E10072"/>
    <w:rsid w:val="00E1045B"/>
    <w:rsid w:val="00E12611"/>
    <w:rsid w:val="00E139D1"/>
    <w:rsid w:val="00E17C35"/>
    <w:rsid w:val="00E20192"/>
    <w:rsid w:val="00E21807"/>
    <w:rsid w:val="00E22F79"/>
    <w:rsid w:val="00E24411"/>
    <w:rsid w:val="00E25C7F"/>
    <w:rsid w:val="00E31E46"/>
    <w:rsid w:val="00E32862"/>
    <w:rsid w:val="00E402E0"/>
    <w:rsid w:val="00E40FA8"/>
    <w:rsid w:val="00E41811"/>
    <w:rsid w:val="00E42559"/>
    <w:rsid w:val="00E4294B"/>
    <w:rsid w:val="00E42CBC"/>
    <w:rsid w:val="00E45E31"/>
    <w:rsid w:val="00E51AE2"/>
    <w:rsid w:val="00E51F77"/>
    <w:rsid w:val="00E5293A"/>
    <w:rsid w:val="00E562C9"/>
    <w:rsid w:val="00E576C6"/>
    <w:rsid w:val="00E63513"/>
    <w:rsid w:val="00E63FBC"/>
    <w:rsid w:val="00E67193"/>
    <w:rsid w:val="00E7265C"/>
    <w:rsid w:val="00E75800"/>
    <w:rsid w:val="00E76A5D"/>
    <w:rsid w:val="00E76F05"/>
    <w:rsid w:val="00E81194"/>
    <w:rsid w:val="00E82161"/>
    <w:rsid w:val="00E8231E"/>
    <w:rsid w:val="00E831DC"/>
    <w:rsid w:val="00E83B50"/>
    <w:rsid w:val="00E9048F"/>
    <w:rsid w:val="00E90D45"/>
    <w:rsid w:val="00E9358B"/>
    <w:rsid w:val="00E94C20"/>
    <w:rsid w:val="00E959CD"/>
    <w:rsid w:val="00EA1D8F"/>
    <w:rsid w:val="00EB2F0E"/>
    <w:rsid w:val="00EC2964"/>
    <w:rsid w:val="00EC2A22"/>
    <w:rsid w:val="00EC7D19"/>
    <w:rsid w:val="00ED118C"/>
    <w:rsid w:val="00ED5AB8"/>
    <w:rsid w:val="00ED76C8"/>
    <w:rsid w:val="00ED7F35"/>
    <w:rsid w:val="00EE1738"/>
    <w:rsid w:val="00EE1FF3"/>
    <w:rsid w:val="00EE36D7"/>
    <w:rsid w:val="00EE60B5"/>
    <w:rsid w:val="00EE6546"/>
    <w:rsid w:val="00EE6912"/>
    <w:rsid w:val="00EE714A"/>
    <w:rsid w:val="00EE76F0"/>
    <w:rsid w:val="00EF08C6"/>
    <w:rsid w:val="00F02092"/>
    <w:rsid w:val="00F029A9"/>
    <w:rsid w:val="00F238D4"/>
    <w:rsid w:val="00F23C8D"/>
    <w:rsid w:val="00F31592"/>
    <w:rsid w:val="00F36857"/>
    <w:rsid w:val="00F37471"/>
    <w:rsid w:val="00F44FD9"/>
    <w:rsid w:val="00F455EE"/>
    <w:rsid w:val="00F45A87"/>
    <w:rsid w:val="00F4610A"/>
    <w:rsid w:val="00F50EB9"/>
    <w:rsid w:val="00F545EB"/>
    <w:rsid w:val="00F558DC"/>
    <w:rsid w:val="00F558F8"/>
    <w:rsid w:val="00F55B36"/>
    <w:rsid w:val="00F56B45"/>
    <w:rsid w:val="00F56E4F"/>
    <w:rsid w:val="00F61A82"/>
    <w:rsid w:val="00F65935"/>
    <w:rsid w:val="00F6661F"/>
    <w:rsid w:val="00F87FD1"/>
    <w:rsid w:val="00F90200"/>
    <w:rsid w:val="00F90B7E"/>
    <w:rsid w:val="00F9383A"/>
    <w:rsid w:val="00F93F70"/>
    <w:rsid w:val="00F9510D"/>
    <w:rsid w:val="00FA31B7"/>
    <w:rsid w:val="00FA51B8"/>
    <w:rsid w:val="00FA696F"/>
    <w:rsid w:val="00FA69E5"/>
    <w:rsid w:val="00FA6F34"/>
    <w:rsid w:val="00FB16E0"/>
    <w:rsid w:val="00FB2FB8"/>
    <w:rsid w:val="00FC1157"/>
    <w:rsid w:val="00FC2346"/>
    <w:rsid w:val="00FC3965"/>
    <w:rsid w:val="00FC54C7"/>
    <w:rsid w:val="00FC62DC"/>
    <w:rsid w:val="00FD0363"/>
    <w:rsid w:val="00FD04E7"/>
    <w:rsid w:val="00FD49BE"/>
    <w:rsid w:val="00FD4F28"/>
    <w:rsid w:val="00FD5C7C"/>
    <w:rsid w:val="00FD79B0"/>
    <w:rsid w:val="00FE39E9"/>
    <w:rsid w:val="00FE4E01"/>
    <w:rsid w:val="00FE5190"/>
    <w:rsid w:val="00FE75F7"/>
    <w:rsid w:val="00FF428A"/>
    <w:rsid w:val="00FF4322"/>
    <w:rsid w:val="00FF4B65"/>
    <w:rsid w:val="00FF5629"/>
    <w:rsid w:val="00FF6632"/>
    <w:rsid w:val="00FF7406"/>
    <w:rsid w:val="5FA22412"/>
    <w:rsid w:val="651F0BB0"/>
    <w:rsid w:val="6C467BFB"/>
    <w:rsid w:val="7B7D74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tbRl"/>
    </w:tcPr>
  </w:style>
  <w:style w:type="paragraph" w:styleId="2">
    <w:name w:val="Document Map"/>
    <w:basedOn w:val="1"/>
    <w:semiHidden/>
    <w:uiPriority w:val="0"/>
    <w:pPr>
      <w:shd w:val="clear" w:color="auto" w:fill="000080"/>
    </w:pPr>
  </w:style>
  <w:style w:type="paragraph" w:styleId="3">
    <w:name w:val="Body Text Indent"/>
    <w:basedOn w:val="1"/>
    <w:qFormat/>
    <w:uiPriority w:val="0"/>
    <w:pPr>
      <w:spacing w:line="540" w:lineRule="exact"/>
      <w:ind w:firstLine="605" w:firstLineChars="200"/>
    </w:pPr>
    <w:rPr>
      <w:rFonts w:ascii="仿宋_GB2312"/>
    </w:rPr>
  </w:style>
  <w:style w:type="paragraph" w:styleId="4">
    <w:name w:val="Body Text Indent 2"/>
    <w:basedOn w:val="1"/>
    <w:uiPriority w:val="0"/>
    <w:pPr>
      <w:ind w:firstLine="624"/>
    </w:pPr>
    <w:rPr>
      <w:rFonts w:ascii="仿宋_GB2312"/>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uiPriority w:val="0"/>
    <w:pPr>
      <w:ind w:firstLine="628" w:firstLineChars="200"/>
    </w:pPr>
    <w:rPr>
      <w:rFonts w:ascii="仿宋_GB2312"/>
    </w:rPr>
  </w:style>
  <w:style w:type="character" w:styleId="9">
    <w:name w:val="page number"/>
    <w:basedOn w:val="8"/>
    <w:qFormat/>
    <w:uiPriority w:val="0"/>
  </w:style>
  <w:style w:type="character" w:styleId="10">
    <w:name w:val="Hyperlink"/>
    <w:basedOn w:val="8"/>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content"/>
    <w:basedOn w:val="1"/>
    <w:qFormat/>
    <w:uiPriority w:val="0"/>
    <w:pPr>
      <w:widowControl/>
      <w:spacing w:line="300" w:lineRule="auto"/>
    </w:pPr>
    <w:rPr>
      <w:rFonts w:hint="eastAsia" w:ascii="仿宋_GB2312" w:hAnsi="宋体"/>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25991;&#20070;&#26679;&#24335;\&#34987;&#21578;&#20154;&#35748;&#32618;&#26696;&#20214;&#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被告人认罪案件刑事判决书.dot</Template>
  <Company>dlfy</Company>
  <Pages>1</Pages>
  <Words>324</Words>
  <Characters>1847</Characters>
  <Lines>15</Lines>
  <Paragraphs>4</Paragraphs>
  <TotalTime>0</TotalTime>
  <ScaleCrop>false</ScaleCrop>
  <LinksUpToDate>false</LinksUpToDate>
  <CharactersWithSpaces>2167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2015-08-31T01:23:00Z</dcterms:created>
  <dc:creator>cityhunter</dc:creator>
  <cp:lastModifiedBy>TF-PC</cp:lastModifiedBy>
  <cp:lastPrinted>2008-03-21T06:40:00Z</cp:lastPrinted>
  <dcterms:modified xsi:type="dcterms:W3CDTF">2018-08-27T09:48:17Z</dcterms:modified>
  <dc:title>天津市东丽区人民法院刑事判决书（稿）</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