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eastAsia="宋体"/>
          <w:color w:val="auto"/>
          <w:spacing w:val="8"/>
          <w:sz w:val="44"/>
        </w:rPr>
      </w:pPr>
      <w:bookmarkStart w:id="4" w:name="_GoBack"/>
      <w:bookmarkEnd w:id="4"/>
      <w:r>
        <w:rPr>
          <w:rFonts w:hint="eastAsia" w:eastAsia="宋体"/>
          <w:color w:val="auto"/>
          <w:spacing w:val="8"/>
          <w:sz w:val="44"/>
        </w:rPr>
        <w:t xml:space="preserve"> 天津市东丽区人民法院</w:t>
      </w:r>
    </w:p>
    <w:p>
      <w:pPr>
        <w:spacing w:line="800" w:lineRule="exact"/>
        <w:jc w:val="center"/>
        <w:rPr>
          <w:rFonts w:hint="eastAsia" w:eastAsia="宋体"/>
          <w:color w:val="auto"/>
          <w:spacing w:val="50"/>
          <w:sz w:val="52"/>
        </w:rPr>
      </w:pPr>
      <w:r>
        <w:rPr>
          <w:rFonts w:hint="eastAsia" w:ascii="宋体" w:hAnsi="宋体" w:eastAsia="宋体"/>
          <w:color w:val="auto"/>
          <w:spacing w:val="8"/>
          <w:sz w:val="52"/>
        </w:rPr>
        <w:t xml:space="preserve"> </w:t>
      </w:r>
      <w:r>
        <w:rPr>
          <w:rFonts w:hint="eastAsia" w:eastAsia="宋体"/>
          <w:color w:val="auto"/>
          <w:spacing w:val="50"/>
          <w:sz w:val="52"/>
        </w:rPr>
        <w:t>刑 事 判 决 书</w:t>
      </w:r>
      <w:r>
        <w:rPr>
          <w:rFonts w:hint="eastAsia" w:ascii="宋体" w:hAnsi="宋体" w:eastAsia="宋体"/>
          <w:color w:val="auto"/>
          <w:spacing w:val="8"/>
          <w:sz w:val="52"/>
        </w:rPr>
        <w:t xml:space="preserve">     </w:t>
      </w:r>
    </w:p>
    <w:p>
      <w:pPr>
        <w:spacing w:line="800" w:lineRule="exact"/>
        <w:jc w:val="right"/>
        <w:rPr>
          <w:rFonts w:hint="eastAsia" w:ascii="宋体" w:hAnsi="宋体" w:eastAsia="宋体"/>
          <w:color w:val="auto"/>
          <w:spacing w:val="8"/>
          <w:sz w:val="52"/>
        </w:rPr>
      </w:pPr>
      <w:r>
        <w:rPr>
          <w:rFonts w:hint="eastAsia"/>
          <w:color w:val="auto"/>
          <w:spacing w:val="-20"/>
        </w:rPr>
        <w:t>（2015）丽刑初字第0789号　　　</w:t>
      </w:r>
    </w:p>
    <w:p>
      <w:pPr>
        <w:spacing w:line="320" w:lineRule="exact"/>
        <w:jc w:val="right"/>
        <w:rPr>
          <w:rFonts w:hint="eastAsia"/>
          <w:color w:val="auto"/>
          <w:spacing w:val="-20"/>
        </w:rPr>
      </w:pPr>
      <w:r>
        <w:rPr>
          <w:rFonts w:hint="eastAsia"/>
          <w:color w:val="auto"/>
          <w:spacing w:val="-20"/>
        </w:rPr>
        <w:t xml:space="preserve">                          </w:t>
      </w:r>
    </w:p>
    <w:p>
      <w:pPr>
        <w:spacing w:line="520" w:lineRule="exact"/>
        <w:ind w:right="548" w:firstLine="628" w:firstLineChars="200"/>
        <w:rPr>
          <w:rFonts w:hint="eastAsia"/>
          <w:color w:val="auto"/>
        </w:rPr>
      </w:pPr>
    </w:p>
    <w:p>
      <w:pPr>
        <w:spacing w:line="520" w:lineRule="exact"/>
        <w:ind w:right="548" w:firstLine="628" w:firstLineChars="200"/>
        <w:rPr>
          <w:rFonts w:hint="eastAsia"/>
          <w:color w:val="auto"/>
          <w:spacing w:val="-20"/>
        </w:rPr>
      </w:pPr>
      <w:r>
        <w:rPr>
          <w:rFonts w:hint="eastAsia"/>
          <w:color w:val="auto"/>
        </w:rPr>
        <w:t>公诉机关天津市东丽区人民检察院。</w:t>
      </w:r>
    </w:p>
    <w:p>
      <w:pPr>
        <w:spacing w:line="520" w:lineRule="exact"/>
        <w:ind w:firstLine="628" w:firstLineChars="200"/>
        <w:rPr>
          <w:rFonts w:hint="eastAsia"/>
          <w:color w:val="auto"/>
        </w:rPr>
      </w:pPr>
      <w:r>
        <w:rPr>
          <w:rFonts w:hint="eastAsia"/>
          <w:color w:val="auto"/>
        </w:rPr>
        <w:t>被告人张杰峰（身份证号码120223196612170175），男，1966年12月17日出生，汉族，中专文化，天津市静海县评剧团演员，住天津市静海县静海镇东五里村东盛楼3-6-202。因本案于2015年6月29日被刑事拘留，同年7月13日被批准逮捕，现羁押于天津市东丽区看守所。</w:t>
      </w:r>
    </w:p>
    <w:p>
      <w:pPr>
        <w:spacing w:line="520" w:lineRule="exact"/>
        <w:ind w:firstLine="628" w:firstLineChars="200"/>
        <w:rPr>
          <w:rFonts w:hint="eastAsia"/>
          <w:color w:val="auto"/>
        </w:rPr>
      </w:pPr>
      <w:r>
        <w:rPr>
          <w:rFonts w:hint="eastAsia"/>
          <w:color w:val="auto"/>
        </w:rPr>
        <w:t>天津市东丽区人民检察院以津丽检公诉刑诉（2015）716号起诉书指控被告人张杰峰犯信用卡诈骗罪，于2015年9月9日向本院提起公诉。本院受理后，依法适用简易程序，公开开庭进行了审理。天津市东丽区人民检察院指派检察员赵志辉出庭支持公诉，被告人张杰峰到庭参加了诉讼。本案现已审理终结。</w:t>
      </w:r>
    </w:p>
    <w:p>
      <w:pPr>
        <w:spacing w:line="520" w:lineRule="exact"/>
        <w:ind w:firstLine="628" w:firstLineChars="200"/>
        <w:rPr>
          <w:rFonts w:hint="eastAsia"/>
          <w:color w:val="auto"/>
        </w:rPr>
      </w:pPr>
      <w:r>
        <w:rPr>
          <w:rFonts w:hint="eastAsia"/>
          <w:color w:val="auto"/>
        </w:rPr>
        <w:t xml:space="preserve">公诉机关指控，2012年9月10日，被告人张杰峰在中国银行津钢支行办理了白金信用卡一张并激活使用，后分七次提取现金用于归还赌债，共透支欠款人民币本金99640元。被告人张杰峰为逃避催收频繁变更联系方式，超过三个月至今仍未归还欠款。被告人之行为已构成信用卡诈骗罪，提请本院依法判处。 </w:t>
      </w:r>
    </w:p>
    <w:p>
      <w:pPr>
        <w:spacing w:line="520" w:lineRule="exact"/>
        <w:ind w:firstLine="628" w:firstLineChars="200"/>
        <w:rPr>
          <w:rFonts w:hint="eastAsia"/>
          <w:color w:val="auto"/>
        </w:rPr>
      </w:pPr>
      <w:r>
        <w:rPr>
          <w:rFonts w:hint="eastAsia"/>
          <w:color w:val="auto"/>
        </w:rPr>
        <w:t>被告人张杰峰对于公诉机关指控的罪名以及犯罪事实无异议。</w:t>
      </w:r>
    </w:p>
    <w:p>
      <w:pPr>
        <w:spacing w:line="520" w:lineRule="exact"/>
        <w:ind w:firstLine="628" w:firstLineChars="200"/>
        <w:rPr>
          <w:rFonts w:hint="eastAsia"/>
          <w:color w:val="auto"/>
        </w:rPr>
      </w:pPr>
      <w:r>
        <w:rPr>
          <w:rFonts w:hint="eastAsia"/>
          <w:color w:val="auto"/>
        </w:rPr>
        <w:t>经审理查明，2012年9月10日，被告人张杰峰在中国银行股份有限公司天津津钢支行办理了卡号为4096704082570825的白金信用卡一张并激活使用，2012年9月19日至2012年9月26日间，被告人张杰峰明知自己没有偿还能力，分七次提取现金用于归还赌债，共透支欠款人民币本金99640元。津钢支行于2012年11月9日开始对被告人张杰峰电话催收，但被告人频繁变更办卡时所留的住址及电话号码，造成银行多次对其电话催收、上门催收以及到其单位催收未果，所欠款项至今仍未归还。</w:t>
      </w:r>
    </w:p>
    <w:p>
      <w:pPr>
        <w:spacing w:line="520" w:lineRule="exact"/>
        <w:ind w:firstLine="628" w:firstLineChars="200"/>
        <w:rPr>
          <w:rFonts w:hint="eastAsia"/>
          <w:color w:val="auto"/>
        </w:rPr>
      </w:pPr>
      <w:r>
        <w:rPr>
          <w:rFonts w:hint="eastAsia"/>
          <w:color w:val="auto"/>
        </w:rPr>
        <w:t>认定上述犯罪事实的证据有：</w:t>
      </w:r>
    </w:p>
    <w:p>
      <w:pPr>
        <w:spacing w:line="520" w:lineRule="exact"/>
        <w:ind w:firstLine="628" w:firstLineChars="200"/>
        <w:rPr>
          <w:rFonts w:hint="eastAsia"/>
          <w:color w:val="auto"/>
        </w:rPr>
      </w:pPr>
      <w:r>
        <w:rPr>
          <w:rFonts w:hint="eastAsia"/>
          <w:color w:val="auto"/>
        </w:rPr>
        <w:t>1、证人王秀慧的证言（津钢支行职员）证实：被告人张杰峰于2012年9月10日在中国银行股份有限公司津钢支行办理了白金信用卡一张，信用额度为10万元，该卡激活使用后张杰峰共计提取本金99640元。自2012年11月9日始，银行多次通过电话、信函、上门催收的方式让其归还欠款，但张杰峰始终避而不见，而且还变更联系方式和住所，至今也未归还欠款。</w:t>
      </w:r>
    </w:p>
    <w:p>
      <w:pPr>
        <w:spacing w:line="520" w:lineRule="exact"/>
        <w:ind w:firstLine="628" w:firstLineChars="200"/>
        <w:rPr>
          <w:rFonts w:hint="eastAsia"/>
          <w:color w:val="auto"/>
        </w:rPr>
      </w:pPr>
      <w:r>
        <w:rPr>
          <w:rFonts w:hint="eastAsia"/>
          <w:color w:val="auto"/>
        </w:rPr>
        <w:t>2、中国银行股份有限公司天津津钢支行报案材料：请求公安机关对张杰峰以信用卡诈骗罪立案侦查，并追缴所欠款项。</w:t>
      </w:r>
    </w:p>
    <w:p>
      <w:pPr>
        <w:spacing w:line="520" w:lineRule="exact"/>
        <w:ind w:firstLine="628" w:firstLineChars="200"/>
        <w:rPr>
          <w:rFonts w:hint="eastAsia"/>
          <w:color w:val="auto"/>
        </w:rPr>
      </w:pPr>
      <w:r>
        <w:rPr>
          <w:rFonts w:hint="eastAsia"/>
          <w:color w:val="auto"/>
        </w:rPr>
        <w:t>3、中银白金信用卡申请表以及提款记录证实：被告人张杰峰于2012年9月10日在津钢支行办理了白金信用卡一张并激活使用，并且在2012年9月19日至2012年9月26日期间，分七次提取现金99640元。</w:t>
      </w:r>
    </w:p>
    <w:p>
      <w:pPr>
        <w:spacing w:line="520" w:lineRule="exact"/>
        <w:ind w:firstLine="628" w:firstLineChars="200"/>
        <w:rPr>
          <w:rFonts w:hint="eastAsia"/>
          <w:color w:val="auto"/>
        </w:rPr>
      </w:pPr>
      <w:r>
        <w:rPr>
          <w:rFonts w:hint="eastAsia"/>
          <w:color w:val="auto"/>
        </w:rPr>
        <w:t>4、催收记录以及现场照片证实：津钢支行派人到被告人住所、单位进行催收以及通过电话联系被告人张杰峰的详细经过。</w:t>
      </w:r>
    </w:p>
    <w:p>
      <w:pPr>
        <w:spacing w:line="520" w:lineRule="exact"/>
        <w:ind w:firstLine="628" w:firstLineChars="200"/>
        <w:rPr>
          <w:rFonts w:hint="eastAsia"/>
          <w:color w:val="auto"/>
        </w:rPr>
      </w:pPr>
      <w:r>
        <w:rPr>
          <w:rFonts w:hint="eastAsia"/>
          <w:color w:val="auto"/>
        </w:rPr>
        <w:t>5、主体资格证明、抓获经过证实了被告人的身份情况以及抓获被告人的整个过程。</w:t>
      </w:r>
    </w:p>
    <w:p>
      <w:pPr>
        <w:spacing w:line="520" w:lineRule="exact"/>
        <w:ind w:firstLine="628" w:firstLineChars="200"/>
        <w:rPr>
          <w:rFonts w:hint="eastAsia"/>
          <w:color w:val="auto"/>
        </w:rPr>
      </w:pPr>
      <w:r>
        <w:rPr>
          <w:rFonts w:hint="eastAsia"/>
          <w:color w:val="auto"/>
        </w:rPr>
        <w:t>6、被告人张杰峰的供述：当庭被告人供认了全部犯罪事实，且与其原始供述相一致。</w:t>
      </w:r>
    </w:p>
    <w:p>
      <w:pPr>
        <w:spacing w:line="520" w:lineRule="exact"/>
        <w:ind w:firstLine="628" w:firstLineChars="200"/>
        <w:rPr>
          <w:rFonts w:hint="eastAsia"/>
          <w:color w:val="auto"/>
        </w:rPr>
      </w:pPr>
      <w:r>
        <w:rPr>
          <w:rFonts w:hint="eastAsia"/>
          <w:color w:val="auto"/>
        </w:rPr>
        <w:t>上述证据均已经当庭举证、质证，具有证明效力，本院予以采信，作为认定案件事实的依据。</w:t>
      </w:r>
    </w:p>
    <w:p>
      <w:pPr>
        <w:spacing w:line="520" w:lineRule="exact"/>
        <w:ind w:firstLine="630"/>
        <w:rPr>
          <w:rFonts w:hint="eastAsia"/>
          <w:color w:val="auto"/>
        </w:rPr>
      </w:pPr>
      <w:r>
        <w:rPr>
          <w:rFonts w:hint="eastAsia"/>
          <w:color w:val="auto"/>
        </w:rPr>
        <w:t>本院认为，被告人张杰峰以非法占有为目的，利用信用卡恶意透支99640元，</w:t>
      </w:r>
      <w:r>
        <w:rPr>
          <w:color w:val="auto"/>
        </w:rPr>
        <w:t>数额较大，</w:t>
      </w:r>
      <w:r>
        <w:rPr>
          <w:rFonts w:hint="eastAsia"/>
          <w:color w:val="auto"/>
        </w:rPr>
        <w:t>且经发卡银行多次催收，长达二年多未予归还，</w:t>
      </w:r>
      <w:r>
        <w:rPr>
          <w:color w:val="auto"/>
        </w:rPr>
        <w:t>其行为已构成信用卡诈骗罪，依法应予</w:t>
      </w:r>
      <w:r>
        <w:rPr>
          <w:rFonts w:hint="eastAsia"/>
          <w:color w:val="auto"/>
        </w:rPr>
        <w:t>处罚</w:t>
      </w:r>
      <w:r>
        <w:rPr>
          <w:color w:val="auto"/>
        </w:rPr>
        <w:t>。公诉机关</w:t>
      </w:r>
      <w:r>
        <w:rPr>
          <w:rFonts w:hint="eastAsia"/>
          <w:color w:val="auto"/>
        </w:rPr>
        <w:t>的</w:t>
      </w:r>
      <w:r>
        <w:rPr>
          <w:color w:val="auto"/>
        </w:rPr>
        <w:t>指控</w:t>
      </w:r>
      <w:r>
        <w:rPr>
          <w:rFonts w:hint="eastAsia"/>
          <w:color w:val="auto"/>
        </w:rPr>
        <w:t>意见正确，本院予以采纳</w:t>
      </w:r>
      <w:r>
        <w:rPr>
          <w:color w:val="auto"/>
        </w:rPr>
        <w:t>。</w:t>
      </w:r>
      <w:r>
        <w:rPr>
          <w:rFonts w:hint="eastAsia"/>
          <w:color w:val="auto"/>
        </w:rPr>
        <w:t>鉴于</w:t>
      </w:r>
      <w:r>
        <w:rPr>
          <w:color w:val="auto"/>
        </w:rPr>
        <w:t>被告人</w:t>
      </w:r>
      <w:r>
        <w:rPr>
          <w:rFonts w:hint="eastAsia"/>
          <w:color w:val="auto"/>
        </w:rPr>
        <w:t>归案以后能够如实交代犯罪事实，认罪态度较好</w:t>
      </w:r>
      <w:r>
        <w:rPr>
          <w:color w:val="auto"/>
        </w:rPr>
        <w:t>，依法可从轻处罚</w:t>
      </w:r>
      <w:r>
        <w:rPr>
          <w:rFonts w:hint="eastAsia"/>
          <w:color w:val="auto"/>
        </w:rPr>
        <w:t>。综上，</w:t>
      </w:r>
      <w:r>
        <w:rPr>
          <w:color w:val="auto"/>
        </w:rPr>
        <w:t>依照《中华人民共和国刑法》第一百九十六条第一款第(四)项、第二款</w:t>
      </w:r>
      <w:r>
        <w:rPr>
          <w:rFonts w:hint="eastAsia"/>
          <w:color w:val="auto"/>
        </w:rPr>
        <w:t>，</w:t>
      </w:r>
      <w:r>
        <w:rPr>
          <w:color w:val="auto"/>
        </w:rPr>
        <w:t>第六十七条第三款</w:t>
      </w:r>
      <w:r>
        <w:rPr>
          <w:rFonts w:hint="eastAsia"/>
          <w:color w:val="auto"/>
        </w:rPr>
        <w:t>，</w:t>
      </w:r>
      <w:r>
        <w:rPr>
          <w:color w:val="auto"/>
        </w:rPr>
        <w:t>第六十四条及《最高人民法院</w:t>
      </w:r>
      <w:r>
        <w:rPr>
          <w:rFonts w:hint="eastAsia"/>
          <w:color w:val="auto"/>
        </w:rPr>
        <w:t>、最高人民检察院</w:t>
      </w:r>
      <w:r>
        <w:rPr>
          <w:color w:val="auto"/>
        </w:rPr>
        <w:t>关于办理妨害信用卡管理刑事案件具体应用法律若干问题的解释》第六条</w:t>
      </w:r>
      <w:r>
        <w:rPr>
          <w:rFonts w:hint="eastAsia"/>
          <w:color w:val="auto"/>
        </w:rPr>
        <w:t>之规定，判决如下：</w:t>
      </w:r>
    </w:p>
    <w:p>
      <w:pPr>
        <w:overflowPunct w:val="0"/>
        <w:spacing w:line="520" w:lineRule="exact"/>
        <w:ind w:firstLine="628" w:firstLineChars="200"/>
        <w:rPr>
          <w:rFonts w:hint="eastAsia"/>
          <w:color w:val="auto"/>
        </w:rPr>
      </w:pPr>
      <w:r>
        <w:rPr>
          <w:rFonts w:hint="eastAsia"/>
          <w:color w:val="auto"/>
        </w:rPr>
        <w:t>一、被告人张杰峰犯信用卡诈骗罪，判处有期徒刑四年，并处罚金人民币四万元。（刑期自判决执行之日起计算。判决执行以前先行羁押的羁押一日折抵刑期一日，即自2015年6月29日起至2019年6月28日止）。</w:t>
      </w:r>
    </w:p>
    <w:p>
      <w:pPr>
        <w:overflowPunct w:val="0"/>
        <w:spacing w:line="520" w:lineRule="exact"/>
        <w:ind w:firstLine="628" w:firstLineChars="200"/>
        <w:rPr>
          <w:rFonts w:hint="eastAsia"/>
          <w:color w:val="auto"/>
        </w:rPr>
      </w:pPr>
      <w:r>
        <w:rPr>
          <w:rFonts w:hint="eastAsia"/>
          <w:color w:val="auto"/>
        </w:rPr>
        <w:t>上述罚金于判决书生效后十日内交本院。</w:t>
      </w:r>
    </w:p>
    <w:p>
      <w:pPr>
        <w:overflowPunct w:val="0"/>
        <w:spacing w:line="520" w:lineRule="exact"/>
        <w:ind w:firstLine="628" w:firstLineChars="200"/>
        <w:rPr>
          <w:rFonts w:hint="eastAsia"/>
          <w:color w:val="auto"/>
        </w:rPr>
      </w:pPr>
      <w:r>
        <w:rPr>
          <w:rFonts w:hint="eastAsia"/>
          <w:color w:val="auto"/>
        </w:rPr>
        <w:t>二、责令被告人张杰峰退赔被害人中国银行股份有限公司天津津钢支行人民币99640元。</w:t>
      </w:r>
    </w:p>
    <w:p>
      <w:pPr>
        <w:overflowPunct w:val="0"/>
        <w:spacing w:line="520" w:lineRule="exact"/>
        <w:ind w:firstLine="628" w:firstLineChars="200"/>
        <w:rPr>
          <w:rFonts w:hint="eastAsia"/>
          <w:color w:val="auto"/>
        </w:rPr>
      </w:pPr>
      <w:r>
        <w:rPr>
          <w:rFonts w:hint="eastAsia"/>
          <w:color w:val="auto"/>
        </w:rPr>
        <w:t>如不服本判决，可于接到判决书的第二日起十日内，通过本院或直接向天津市第二中级人民法院提出上诉，书面上诉的，应交上诉状正本一份，副本二份。</w:t>
      </w:r>
    </w:p>
    <w:p>
      <w:pPr>
        <w:overflowPunct w:val="0"/>
        <w:spacing w:line="520" w:lineRule="exact"/>
        <w:ind w:firstLine="628" w:firstLineChars="200"/>
        <w:rPr>
          <w:rFonts w:hint="eastAsia"/>
          <w:color w:val="auto"/>
        </w:rPr>
      </w:pPr>
      <w:r>
        <w:rPr>
          <w:rFonts w:hint="eastAsia"/>
          <w:color w:val="auto"/>
        </w:rPr>
        <w:t xml:space="preserve"> </w:t>
      </w:r>
    </w:p>
    <w:p>
      <w:pPr>
        <w:overflowPunct w:val="0"/>
        <w:spacing w:line="520" w:lineRule="exact"/>
        <w:ind w:firstLine="628" w:firstLineChars="200"/>
        <w:rPr>
          <w:rFonts w:hint="eastAsia"/>
          <w:color w:val="auto"/>
        </w:rPr>
      </w:pPr>
      <w:r>
        <w:rPr>
          <w:rFonts w:hint="eastAsia"/>
          <w:color w:val="auto"/>
        </w:rPr>
        <w:t xml:space="preserve">  </w:t>
      </w:r>
    </w:p>
    <w:p>
      <w:pPr>
        <w:spacing w:line="520" w:lineRule="exact"/>
        <w:ind w:left="425"/>
        <w:jc w:val="right"/>
        <w:rPr>
          <w:rFonts w:hint="eastAsia"/>
          <w:color w:val="auto"/>
        </w:rPr>
      </w:pPr>
      <w:r>
        <w:rPr>
          <w:rFonts w:hint="eastAsia"/>
          <w:color w:val="auto"/>
        </w:rPr>
        <w:t xml:space="preserve">                      </w:t>
      </w:r>
    </w:p>
    <w:p>
      <w:pPr>
        <w:spacing w:line="520" w:lineRule="exact"/>
        <w:ind w:left="425"/>
        <w:jc w:val="right"/>
        <w:rPr>
          <w:rFonts w:hint="eastAsia"/>
          <w:color w:val="auto"/>
        </w:rPr>
      </w:pPr>
    </w:p>
    <w:p>
      <w:pPr>
        <w:spacing w:line="520" w:lineRule="exact"/>
        <w:ind w:firstLine="5240" w:firstLineChars="1669"/>
        <w:jc w:val="right"/>
        <w:rPr>
          <w:rFonts w:hint="eastAsia"/>
          <w:color w:val="auto"/>
        </w:rPr>
      </w:pPr>
      <w:r>
        <w:rPr>
          <w:rFonts w:hint="eastAsia"/>
          <w:color w:val="auto"/>
        </w:rPr>
        <w:t>审  判  长  蒋亚辉</w:t>
      </w:r>
    </w:p>
    <w:p>
      <w:pPr>
        <w:wordWrap w:val="0"/>
        <w:spacing w:line="520" w:lineRule="exact"/>
        <w:ind w:left="4160" w:firstLine="645"/>
        <w:jc w:val="right"/>
        <w:rPr>
          <w:rFonts w:hint="eastAsia"/>
          <w:color w:val="auto"/>
        </w:rPr>
      </w:pPr>
      <w:r>
        <w:rPr>
          <w:rFonts w:hint="eastAsia"/>
          <w:color w:val="auto"/>
        </w:rPr>
        <w:t>审  判  员  鲁福浩</w:t>
      </w:r>
    </w:p>
    <w:p>
      <w:pPr>
        <w:wordWrap w:val="0"/>
        <w:spacing w:line="520" w:lineRule="exact"/>
        <w:ind w:left="4160" w:firstLine="645"/>
        <w:jc w:val="right"/>
        <w:rPr>
          <w:rFonts w:hint="eastAsia"/>
          <w:color w:val="auto"/>
        </w:rPr>
      </w:pPr>
      <w:r>
        <w:rPr>
          <w:rFonts w:hint="eastAsia"/>
          <w:color w:val="auto"/>
        </w:rPr>
        <w:t>人民陪审员  王树云</w:t>
      </w:r>
    </w:p>
    <w:p>
      <w:pPr>
        <w:spacing w:line="520" w:lineRule="exact"/>
        <w:ind w:left="4160" w:firstLine="672"/>
        <w:jc w:val="right"/>
        <w:rPr>
          <w:rFonts w:hint="eastAsia"/>
          <w:color w:val="auto"/>
        </w:rPr>
      </w:pPr>
      <w:r>
        <w:rPr>
          <w:rFonts w:hint="eastAsia"/>
          <w:color w:val="auto"/>
        </w:rPr>
        <w:t xml:space="preserve">    </w:t>
      </w:r>
    </w:p>
    <w:p>
      <w:pPr>
        <w:spacing w:line="520" w:lineRule="exact"/>
        <w:ind w:left="4160" w:firstLine="645"/>
        <w:jc w:val="right"/>
        <w:rPr>
          <w:rFonts w:hint="eastAsia"/>
          <w:color w:val="auto"/>
        </w:rPr>
      </w:pPr>
      <w:r>
        <w:rPr>
          <w:rFonts w:hint="eastAsia"/>
          <w:color w:val="auto"/>
        </w:rPr>
        <w:t>二O一五年九月二十九日</w:t>
      </w:r>
    </w:p>
    <w:p>
      <w:pPr>
        <w:spacing w:line="520" w:lineRule="exact"/>
        <w:ind w:right="628"/>
        <w:jc w:val="right"/>
        <w:rPr>
          <w:rFonts w:hint="eastAsia"/>
          <w:color w:val="auto"/>
        </w:rPr>
      </w:pPr>
    </w:p>
    <w:p>
      <w:pPr>
        <w:wordWrap w:val="0"/>
        <w:spacing w:line="520" w:lineRule="exact"/>
        <w:ind w:left="4160" w:firstLine="645"/>
        <w:jc w:val="right"/>
        <w:rPr>
          <w:rFonts w:hint="eastAsia"/>
          <w:color w:val="auto"/>
        </w:rPr>
      </w:pPr>
      <w:r>
        <w:rPr>
          <w:rFonts w:hint="eastAsia"/>
          <w:color w:val="auto"/>
        </w:rPr>
        <w:t xml:space="preserve"> 书  记  员  李  陆</w:t>
      </w:r>
    </w:p>
    <w:p>
      <w:pPr>
        <w:wordWrap w:val="0"/>
        <w:jc w:val="right"/>
        <w:rPr>
          <w:rFonts w:hint="eastAsia"/>
          <w:color w:val="auto"/>
        </w:rPr>
      </w:pPr>
      <w:r>
        <w:rPr>
          <w:rFonts w:hint="eastAsia"/>
          <w:color w:val="auto"/>
        </w:rPr>
        <w:t>速  录  员  吴  伟</w:t>
      </w:r>
    </w:p>
    <w:p>
      <w:pPr>
        <w:spacing w:line="520" w:lineRule="exact"/>
        <w:ind w:firstLine="2301" w:firstLineChars="650"/>
        <w:rPr>
          <w:rFonts w:hint="eastAsia" w:ascii="_x000B__x000C_" w:hAnsi="_x000B__x000C_" w:eastAsia="黑体"/>
          <w:b/>
          <w:bCs/>
          <w:color w:val="auto"/>
          <w:sz w:val="36"/>
          <w:szCs w:val="18"/>
        </w:rPr>
      </w:pPr>
    </w:p>
    <w:p>
      <w:pPr>
        <w:spacing w:line="520" w:lineRule="exact"/>
        <w:ind w:firstLine="2301" w:firstLineChars="650"/>
        <w:rPr>
          <w:rFonts w:hint="eastAsia" w:ascii="_x000B__x000C_" w:hAnsi="_x000B__x000C_" w:eastAsia="黑体"/>
          <w:b/>
          <w:bCs/>
          <w:color w:val="auto"/>
          <w:sz w:val="36"/>
          <w:szCs w:val="18"/>
        </w:rPr>
      </w:pPr>
    </w:p>
    <w:p>
      <w:pPr>
        <w:spacing w:line="520" w:lineRule="exact"/>
        <w:ind w:firstLine="2301" w:firstLineChars="650"/>
        <w:rPr>
          <w:rFonts w:hint="eastAsia" w:ascii="_x000B__x000C_" w:hAnsi="_x000B__x000C_" w:eastAsia="黑体"/>
          <w:b/>
          <w:bCs/>
          <w:color w:val="auto"/>
          <w:sz w:val="36"/>
          <w:szCs w:val="18"/>
        </w:rPr>
      </w:pPr>
    </w:p>
    <w:p>
      <w:pPr>
        <w:spacing w:line="520" w:lineRule="exact"/>
        <w:ind w:firstLine="2124" w:firstLineChars="600"/>
        <w:rPr>
          <w:rFonts w:hint="eastAsia"/>
          <w:color w:val="auto"/>
        </w:rPr>
      </w:pPr>
      <w:r>
        <w:rPr>
          <w:rFonts w:hint="eastAsia" w:ascii="_x000B__x000C_" w:hAnsi="_x000B__x000C_" w:eastAsia="黑体"/>
          <w:b/>
          <w:bCs/>
          <w:color w:val="auto"/>
          <w:sz w:val="36"/>
          <w:szCs w:val="18"/>
        </w:rPr>
        <w:t>本判决所依据相关法律、法规</w:t>
      </w:r>
    </w:p>
    <w:p>
      <w:pPr>
        <w:spacing w:line="520" w:lineRule="exact"/>
        <w:ind w:firstLine="622" w:firstLineChars="198"/>
        <w:rPr>
          <w:rFonts w:hint="eastAsia"/>
          <w:color w:val="auto"/>
          <w:szCs w:val="32"/>
        </w:rPr>
      </w:pPr>
      <w:r>
        <w:rPr>
          <w:rFonts w:hint="eastAsia"/>
          <w:color w:val="auto"/>
        </w:rPr>
        <w:t xml:space="preserve"> </w:t>
      </w:r>
    </w:p>
    <w:p>
      <w:pPr>
        <w:overflowPunct w:val="0"/>
        <w:spacing w:line="520" w:lineRule="exact"/>
        <w:ind w:firstLine="628" w:firstLineChars="200"/>
        <w:rPr>
          <w:rFonts w:hint="eastAsia"/>
          <w:color w:val="auto"/>
        </w:rPr>
      </w:pPr>
      <w:r>
        <w:rPr>
          <w:rFonts w:hint="eastAsia"/>
          <w:color w:val="auto"/>
        </w:rPr>
        <w:t>一、《中华人民共和国刑法》</w:t>
      </w:r>
      <w:bookmarkStart w:id="0" w:name="down"/>
      <w:bookmarkEnd w:id="0"/>
      <w:bookmarkStart w:id="1" w:name="196"/>
      <w:r>
        <w:rPr>
          <w:color w:val="auto"/>
        </w:rPr>
        <w:t>第一百九十六条</w:t>
      </w:r>
      <w:bookmarkEnd w:id="1"/>
      <w:r>
        <w:rPr>
          <w:rFonts w:hint="eastAsia"/>
          <w:color w:val="auto"/>
        </w:rPr>
        <w:t>：</w:t>
      </w:r>
      <w:r>
        <w:rPr>
          <w:color w:val="auto"/>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color w:val="auto"/>
        </w:rPr>
        <w:br w:type="textWrapping"/>
      </w:r>
      <w:r>
        <w:rPr>
          <w:color w:val="auto"/>
        </w:rPr>
        <w:t>　　（一）使用伪造的信用卡的；</w:t>
      </w:r>
      <w:r>
        <w:rPr>
          <w:color w:val="auto"/>
        </w:rPr>
        <w:br w:type="textWrapping"/>
      </w:r>
      <w:r>
        <w:rPr>
          <w:color w:val="auto"/>
        </w:rPr>
        <w:t>　　（二）使用作废的信用卡的；</w:t>
      </w:r>
      <w:r>
        <w:rPr>
          <w:color w:val="auto"/>
        </w:rPr>
        <w:br w:type="textWrapping"/>
      </w:r>
      <w:r>
        <w:rPr>
          <w:color w:val="auto"/>
        </w:rPr>
        <w:t>　　（三）冒用他人信用卡的；</w:t>
      </w:r>
      <w:r>
        <w:rPr>
          <w:color w:val="auto"/>
        </w:rPr>
        <w:br w:type="textWrapping"/>
      </w:r>
      <w:r>
        <w:rPr>
          <w:color w:val="auto"/>
        </w:rPr>
        <w:t>　　（四）恶意透支的。</w:t>
      </w:r>
      <w:r>
        <w:rPr>
          <w:color w:val="auto"/>
        </w:rPr>
        <w:br w:type="textWrapping"/>
      </w:r>
      <w:r>
        <w:rPr>
          <w:color w:val="auto"/>
        </w:rPr>
        <w:t>　　前款所称恶意透支，是指持卡人以非法占有为目的，超过规定限额或者规定期限透支，并且经发卡银行催收后仍不归还的行为。</w:t>
      </w:r>
    </w:p>
    <w:p>
      <w:pPr>
        <w:overflowPunct w:val="0"/>
        <w:spacing w:line="520" w:lineRule="exact"/>
        <w:ind w:firstLine="628" w:firstLineChars="200"/>
        <w:rPr>
          <w:rFonts w:hint="eastAsia"/>
          <w:color w:val="auto"/>
        </w:rPr>
      </w:pPr>
      <w:r>
        <w:rPr>
          <w:color w:val="auto"/>
        </w:rPr>
        <w:t>盗窃信用卡并使用的，依照本法第二百六十四条的规定定罪处罚。</w:t>
      </w:r>
      <w:bookmarkStart w:id="2" w:name="64"/>
    </w:p>
    <w:p>
      <w:pPr>
        <w:overflowPunct w:val="0"/>
        <w:spacing w:line="520" w:lineRule="exact"/>
        <w:ind w:firstLine="628" w:firstLineChars="200"/>
        <w:rPr>
          <w:rFonts w:hint="eastAsia"/>
          <w:color w:val="auto"/>
        </w:rPr>
      </w:pPr>
      <w:r>
        <w:rPr>
          <w:rFonts w:hint="eastAsia"/>
          <w:color w:val="auto"/>
        </w:rPr>
        <w:t>二、《中华人民共和国刑法》</w:t>
      </w:r>
      <w:r>
        <w:rPr>
          <w:color w:val="auto"/>
        </w:rPr>
        <w:t>第六十七条</w:t>
      </w:r>
      <w:r>
        <w:rPr>
          <w:rFonts w:hint="eastAsia"/>
          <w:color w:val="auto"/>
        </w:rPr>
        <w:t>：</w:t>
      </w:r>
      <w:r>
        <w:rPr>
          <w:color w:val="auto"/>
        </w:rPr>
        <w:t>犯罪以后自动投案，如实供述自己的罪行的，是自首。对于自首的犯罪分子，可以从轻或者减轻处罚。其中，犯罪较轻的，可以免除处罚。</w:t>
      </w:r>
      <w:r>
        <w:rPr>
          <w:color w:val="auto"/>
        </w:rPr>
        <w:br w:type="textWrapping"/>
      </w:r>
      <w:r>
        <w:rPr>
          <w:color w:val="auto"/>
        </w:rPr>
        <w:t>　　被采取强制措施的犯罪嫌疑人、被告人和正在服刑的罪犯，如实供述司法机关还未掌握的本人其他罪行的，以自首论。</w:t>
      </w:r>
    </w:p>
    <w:p>
      <w:pPr>
        <w:overflowPunct w:val="0"/>
        <w:spacing w:line="520" w:lineRule="exact"/>
        <w:ind w:firstLine="628" w:firstLineChars="200"/>
        <w:rPr>
          <w:rFonts w:hint="eastAsia"/>
          <w:color w:val="auto"/>
        </w:rPr>
      </w:pPr>
      <w:r>
        <w:rPr>
          <w:rFonts w:hint="eastAsia"/>
          <w:color w:val="auto"/>
        </w:rPr>
        <w:t>犯罪嫌疑人虽不具有前两款规定的自首情节，但是如实供述自己罪行的，可以从轻处罚；因其如实供述自己罪行，避免特别严重后果发生的，可以减轻处罚。</w:t>
      </w:r>
    </w:p>
    <w:p>
      <w:pPr>
        <w:overflowPunct w:val="0"/>
        <w:spacing w:line="520" w:lineRule="exact"/>
        <w:ind w:firstLine="628" w:firstLineChars="200"/>
        <w:rPr>
          <w:rFonts w:hint="eastAsia"/>
          <w:color w:val="auto"/>
        </w:rPr>
      </w:pPr>
      <w:r>
        <w:rPr>
          <w:rFonts w:hint="eastAsia"/>
          <w:color w:val="auto"/>
        </w:rPr>
        <w:t>三、《中华人民共和国刑法》</w:t>
      </w:r>
      <w:r>
        <w:rPr>
          <w:color w:val="auto"/>
        </w:rPr>
        <w:t>第六十四条</w:t>
      </w:r>
      <w:bookmarkEnd w:id="2"/>
      <w:r>
        <w:rPr>
          <w:rFonts w:hint="eastAsia"/>
          <w:color w:val="auto"/>
        </w:rPr>
        <w:t>：</w:t>
      </w:r>
      <w:r>
        <w:rPr>
          <w:color w:val="auto"/>
        </w:rPr>
        <w:t>犯罪分子违法所得的一切财物，应当予以追缴或者责令退赔；对被害人的合法财产，应当及时返还；违禁品和供犯罪所用的本人财物，应当予以没收。没收的财物和罚金，一律上缴国库，不得挪用和自行处理。</w:t>
      </w:r>
      <w:bookmarkStart w:id="3" w:name="6"/>
      <w:r>
        <w:rPr>
          <w:color w:val="auto"/>
        </w:rPr>
        <w:t>　</w:t>
      </w:r>
    </w:p>
    <w:p>
      <w:pPr>
        <w:overflowPunct w:val="0"/>
        <w:spacing w:line="520" w:lineRule="exact"/>
        <w:ind w:firstLine="628" w:firstLineChars="200"/>
        <w:rPr>
          <w:rFonts w:hint="eastAsia"/>
          <w:color w:val="auto"/>
        </w:rPr>
      </w:pPr>
      <w:r>
        <w:rPr>
          <w:rFonts w:hint="eastAsia"/>
          <w:color w:val="auto"/>
        </w:rPr>
        <w:t>四、</w:t>
      </w:r>
      <w:r>
        <w:rPr>
          <w:color w:val="auto"/>
        </w:rPr>
        <w:t>《最高人民法院</w:t>
      </w:r>
      <w:r>
        <w:rPr>
          <w:rFonts w:hint="eastAsia"/>
          <w:color w:val="auto"/>
        </w:rPr>
        <w:t>、最高人民检察院</w:t>
      </w:r>
      <w:r>
        <w:rPr>
          <w:color w:val="auto"/>
        </w:rPr>
        <w:t>关于办理妨害信用卡管理刑事案件具体应用法律若干问题的解释》第六条</w:t>
      </w:r>
      <w:r>
        <w:rPr>
          <w:rFonts w:hint="eastAsia"/>
          <w:color w:val="auto"/>
        </w:rPr>
        <w:t>：</w:t>
      </w:r>
      <w:bookmarkEnd w:id="3"/>
      <w:r>
        <w:rPr>
          <w:color w:val="auto"/>
        </w:rPr>
        <w:t>持卡人以非法占有为目的，超过规定限额或者规定期限透支，并且经发卡银行两次催收后超过3个月仍不归还的，应当认定为刑法第一百九十六条规定的“恶意透支”。</w:t>
      </w:r>
    </w:p>
    <w:p>
      <w:pPr>
        <w:overflowPunct w:val="0"/>
        <w:spacing w:line="520" w:lineRule="exact"/>
        <w:ind w:firstLine="628" w:firstLineChars="200"/>
        <w:rPr>
          <w:rFonts w:hint="eastAsia"/>
          <w:color w:val="auto"/>
        </w:rPr>
      </w:pPr>
      <w:r>
        <w:rPr>
          <w:color w:val="auto"/>
        </w:rPr>
        <w:t>有以下情形之一的，应当认定为刑法第一百九十六条第二款规定的“以非法占有为目的”：</w:t>
      </w:r>
    </w:p>
    <w:p>
      <w:pPr>
        <w:overflowPunct w:val="0"/>
        <w:spacing w:line="520" w:lineRule="exact"/>
        <w:ind w:left="628" w:leftChars="200"/>
        <w:rPr>
          <w:rFonts w:hint="eastAsia"/>
          <w:color w:val="auto"/>
        </w:rPr>
      </w:pPr>
      <w:r>
        <w:rPr>
          <w:color w:val="auto"/>
        </w:rPr>
        <w:t>（一）明知没有还款能力而大量透支，无法归还的；</w:t>
      </w:r>
      <w:r>
        <w:rPr>
          <w:color w:val="auto"/>
        </w:rPr>
        <w:br w:type="textWrapping"/>
      </w:r>
      <w:r>
        <w:rPr>
          <w:color w:val="auto"/>
        </w:rPr>
        <w:t>（二）肆意挥霍透支的资金，无法归还的；</w:t>
      </w:r>
      <w:r>
        <w:rPr>
          <w:color w:val="auto"/>
        </w:rPr>
        <w:br w:type="textWrapping"/>
      </w:r>
      <w:r>
        <w:rPr>
          <w:color w:val="auto"/>
        </w:rPr>
        <w:t>（三）透支后逃匿、改变联系方式，逃避银行催收的；</w:t>
      </w:r>
    </w:p>
    <w:p>
      <w:pPr>
        <w:overflowPunct w:val="0"/>
        <w:spacing w:line="520" w:lineRule="exact"/>
        <w:ind w:left="628" w:leftChars="200"/>
        <w:rPr>
          <w:rFonts w:hint="eastAsia"/>
          <w:color w:val="auto"/>
        </w:rPr>
      </w:pPr>
      <w:r>
        <w:rPr>
          <w:color w:val="auto"/>
        </w:rPr>
        <w:t>（四）抽逃、转移资金，隐匿财产，逃避还款的；</w:t>
      </w:r>
      <w:r>
        <w:rPr>
          <w:color w:val="auto"/>
        </w:rPr>
        <w:br w:type="textWrapping"/>
      </w:r>
      <w:r>
        <w:rPr>
          <w:color w:val="auto"/>
        </w:rPr>
        <w:t>（五）使用透支的资金进行违法犯罪活动的；</w:t>
      </w:r>
      <w:r>
        <w:rPr>
          <w:color w:val="auto"/>
        </w:rPr>
        <w:br w:type="textWrapping"/>
      </w:r>
      <w:r>
        <w:rPr>
          <w:color w:val="auto"/>
        </w:rPr>
        <w:t>（六）其他非法占有资金，拒不归还的行为。</w:t>
      </w:r>
    </w:p>
    <w:p>
      <w:pPr>
        <w:overflowPunct w:val="0"/>
        <w:spacing w:line="520" w:lineRule="exact"/>
        <w:ind w:left="628" w:leftChars="200" w:firstLine="628" w:firstLineChars="200"/>
        <w:rPr>
          <w:rFonts w:hint="eastAsia"/>
          <w:color w:val="auto"/>
        </w:rPr>
      </w:pPr>
      <w:r>
        <w:rPr>
          <w:color w:val="auto"/>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r>
        <w:rPr>
          <w:color w:val="auto"/>
        </w:rPr>
        <w:br w:type="textWrapping"/>
      </w:r>
      <w:r>
        <w:rPr>
          <w:rFonts w:hint="eastAsia"/>
          <w:color w:val="auto"/>
        </w:rPr>
        <w:t xml:space="preserve">    </w:t>
      </w:r>
      <w:r>
        <w:rPr>
          <w:color w:val="auto"/>
        </w:rPr>
        <w:t>恶意透支的数额，是指在第一款规定的条件下持卡人拒不归还的数额或者尚未归还的数额。不包括复利、滞纳金、手续费等发卡银行收取的费用。</w:t>
      </w:r>
    </w:p>
    <w:p>
      <w:pPr>
        <w:overflowPunct w:val="0"/>
        <w:spacing w:line="520" w:lineRule="exact"/>
        <w:ind w:left="628" w:leftChars="200" w:firstLine="628" w:firstLineChars="200"/>
        <w:rPr>
          <w:rFonts w:hint="eastAsia"/>
          <w:color w:val="auto"/>
        </w:rPr>
      </w:pPr>
      <w:r>
        <w:rPr>
          <w:color w:val="auto"/>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r>
        <w:rPr>
          <w:rFonts w:hint="eastAsia"/>
          <w:color w:val="auto"/>
        </w:rPr>
        <w:t xml:space="preserve"> </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436" w:charSpace="-1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57"/>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1255"/>
    <w:rsid w:val="0000237D"/>
    <w:rsid w:val="00002A53"/>
    <w:rsid w:val="0003556E"/>
    <w:rsid w:val="00045C8C"/>
    <w:rsid w:val="000521ED"/>
    <w:rsid w:val="00063692"/>
    <w:rsid w:val="00073520"/>
    <w:rsid w:val="00076FC9"/>
    <w:rsid w:val="00095010"/>
    <w:rsid w:val="000A7B8F"/>
    <w:rsid w:val="000C2DAA"/>
    <w:rsid w:val="000D003F"/>
    <w:rsid w:val="000F045E"/>
    <w:rsid w:val="000F3C0F"/>
    <w:rsid w:val="0010049E"/>
    <w:rsid w:val="001004F1"/>
    <w:rsid w:val="00103246"/>
    <w:rsid w:val="00105F9E"/>
    <w:rsid w:val="00106EC2"/>
    <w:rsid w:val="001153C6"/>
    <w:rsid w:val="0011603D"/>
    <w:rsid w:val="00121814"/>
    <w:rsid w:val="0012189B"/>
    <w:rsid w:val="0012302D"/>
    <w:rsid w:val="0012511C"/>
    <w:rsid w:val="0013351C"/>
    <w:rsid w:val="00137284"/>
    <w:rsid w:val="00150D30"/>
    <w:rsid w:val="00155CA0"/>
    <w:rsid w:val="00157E93"/>
    <w:rsid w:val="0016104F"/>
    <w:rsid w:val="001628A7"/>
    <w:rsid w:val="00164845"/>
    <w:rsid w:val="0017230F"/>
    <w:rsid w:val="00173EF7"/>
    <w:rsid w:val="0017670D"/>
    <w:rsid w:val="00180024"/>
    <w:rsid w:val="001848B9"/>
    <w:rsid w:val="00190559"/>
    <w:rsid w:val="00191CCD"/>
    <w:rsid w:val="00193CE0"/>
    <w:rsid w:val="00197C21"/>
    <w:rsid w:val="001A0FFC"/>
    <w:rsid w:val="001A2C99"/>
    <w:rsid w:val="001B0473"/>
    <w:rsid w:val="001B09C0"/>
    <w:rsid w:val="001C7CE3"/>
    <w:rsid w:val="001D1CC0"/>
    <w:rsid w:val="001D33C0"/>
    <w:rsid w:val="001D4810"/>
    <w:rsid w:val="001D57FD"/>
    <w:rsid w:val="001D7FD9"/>
    <w:rsid w:val="001E2937"/>
    <w:rsid w:val="00201926"/>
    <w:rsid w:val="0020300E"/>
    <w:rsid w:val="00220A41"/>
    <w:rsid w:val="00221086"/>
    <w:rsid w:val="002248BC"/>
    <w:rsid w:val="0022651D"/>
    <w:rsid w:val="00226A87"/>
    <w:rsid w:val="0022746B"/>
    <w:rsid w:val="00230C20"/>
    <w:rsid w:val="00233A4D"/>
    <w:rsid w:val="00233D4E"/>
    <w:rsid w:val="00235E8A"/>
    <w:rsid w:val="0023674B"/>
    <w:rsid w:val="00250BB4"/>
    <w:rsid w:val="002515C5"/>
    <w:rsid w:val="002534B6"/>
    <w:rsid w:val="0026280E"/>
    <w:rsid w:val="00270F5E"/>
    <w:rsid w:val="002850A8"/>
    <w:rsid w:val="002876BC"/>
    <w:rsid w:val="0029437A"/>
    <w:rsid w:val="00294858"/>
    <w:rsid w:val="00294F16"/>
    <w:rsid w:val="002A2F80"/>
    <w:rsid w:val="002A317A"/>
    <w:rsid w:val="002A35EA"/>
    <w:rsid w:val="002B0439"/>
    <w:rsid w:val="002C1D1A"/>
    <w:rsid w:val="002C4C37"/>
    <w:rsid w:val="002D1987"/>
    <w:rsid w:val="002D1C2F"/>
    <w:rsid w:val="002E023D"/>
    <w:rsid w:val="002E4341"/>
    <w:rsid w:val="002E70FD"/>
    <w:rsid w:val="00301242"/>
    <w:rsid w:val="0030511E"/>
    <w:rsid w:val="00305DC0"/>
    <w:rsid w:val="00310D63"/>
    <w:rsid w:val="003217EB"/>
    <w:rsid w:val="003238F1"/>
    <w:rsid w:val="003306E9"/>
    <w:rsid w:val="00341A26"/>
    <w:rsid w:val="00343F69"/>
    <w:rsid w:val="003451DD"/>
    <w:rsid w:val="00351BA0"/>
    <w:rsid w:val="0035282E"/>
    <w:rsid w:val="00354FF3"/>
    <w:rsid w:val="003607D8"/>
    <w:rsid w:val="00361994"/>
    <w:rsid w:val="00361D6A"/>
    <w:rsid w:val="00374AA4"/>
    <w:rsid w:val="003840AD"/>
    <w:rsid w:val="003921ED"/>
    <w:rsid w:val="0039376C"/>
    <w:rsid w:val="0039397B"/>
    <w:rsid w:val="00394615"/>
    <w:rsid w:val="003A204D"/>
    <w:rsid w:val="003A6BEC"/>
    <w:rsid w:val="003B2D2B"/>
    <w:rsid w:val="003B53CF"/>
    <w:rsid w:val="003C29FD"/>
    <w:rsid w:val="003C6886"/>
    <w:rsid w:val="003C7709"/>
    <w:rsid w:val="003D03FD"/>
    <w:rsid w:val="003D4A73"/>
    <w:rsid w:val="003E23FE"/>
    <w:rsid w:val="003F11CD"/>
    <w:rsid w:val="003F30F4"/>
    <w:rsid w:val="003F5D75"/>
    <w:rsid w:val="003F65B1"/>
    <w:rsid w:val="00401B8D"/>
    <w:rsid w:val="00401F36"/>
    <w:rsid w:val="004112EB"/>
    <w:rsid w:val="00417DB2"/>
    <w:rsid w:val="00422FC8"/>
    <w:rsid w:val="004261C6"/>
    <w:rsid w:val="00462677"/>
    <w:rsid w:val="00464168"/>
    <w:rsid w:val="00464798"/>
    <w:rsid w:val="00466AF9"/>
    <w:rsid w:val="00467295"/>
    <w:rsid w:val="00475024"/>
    <w:rsid w:val="004975A7"/>
    <w:rsid w:val="004A319D"/>
    <w:rsid w:val="004A63F2"/>
    <w:rsid w:val="004A74BC"/>
    <w:rsid w:val="004B2031"/>
    <w:rsid w:val="004B4DE2"/>
    <w:rsid w:val="004B741D"/>
    <w:rsid w:val="004C6A29"/>
    <w:rsid w:val="004D1279"/>
    <w:rsid w:val="004D7A23"/>
    <w:rsid w:val="004E1167"/>
    <w:rsid w:val="004E171B"/>
    <w:rsid w:val="004F34B1"/>
    <w:rsid w:val="004F4261"/>
    <w:rsid w:val="004F7FDF"/>
    <w:rsid w:val="00504113"/>
    <w:rsid w:val="0051027B"/>
    <w:rsid w:val="00510AF6"/>
    <w:rsid w:val="0051426F"/>
    <w:rsid w:val="00526248"/>
    <w:rsid w:val="00532A7D"/>
    <w:rsid w:val="00535620"/>
    <w:rsid w:val="005429A3"/>
    <w:rsid w:val="00554783"/>
    <w:rsid w:val="0055673B"/>
    <w:rsid w:val="00561699"/>
    <w:rsid w:val="00562EDF"/>
    <w:rsid w:val="0056761B"/>
    <w:rsid w:val="0057224F"/>
    <w:rsid w:val="005777BA"/>
    <w:rsid w:val="005813E7"/>
    <w:rsid w:val="00583824"/>
    <w:rsid w:val="005914EF"/>
    <w:rsid w:val="00593DCF"/>
    <w:rsid w:val="005969A1"/>
    <w:rsid w:val="005A613C"/>
    <w:rsid w:val="005A63E1"/>
    <w:rsid w:val="005A6E87"/>
    <w:rsid w:val="005A78E5"/>
    <w:rsid w:val="005B0703"/>
    <w:rsid w:val="005B4F1A"/>
    <w:rsid w:val="005B6694"/>
    <w:rsid w:val="005C05D2"/>
    <w:rsid w:val="005C0AC5"/>
    <w:rsid w:val="005C54C9"/>
    <w:rsid w:val="005C57B3"/>
    <w:rsid w:val="005C58D1"/>
    <w:rsid w:val="005D07FF"/>
    <w:rsid w:val="005E622F"/>
    <w:rsid w:val="005F1FBC"/>
    <w:rsid w:val="005F26D6"/>
    <w:rsid w:val="005F56F1"/>
    <w:rsid w:val="00603BCB"/>
    <w:rsid w:val="00621446"/>
    <w:rsid w:val="0062389E"/>
    <w:rsid w:val="00625486"/>
    <w:rsid w:val="0062634C"/>
    <w:rsid w:val="00626B7D"/>
    <w:rsid w:val="00626BD5"/>
    <w:rsid w:val="00626C95"/>
    <w:rsid w:val="0063059D"/>
    <w:rsid w:val="006325EF"/>
    <w:rsid w:val="006339E9"/>
    <w:rsid w:val="00633FE3"/>
    <w:rsid w:val="00645494"/>
    <w:rsid w:val="006503CF"/>
    <w:rsid w:val="00650C3A"/>
    <w:rsid w:val="00651B61"/>
    <w:rsid w:val="006531D2"/>
    <w:rsid w:val="00663BE6"/>
    <w:rsid w:val="00663D05"/>
    <w:rsid w:val="00666517"/>
    <w:rsid w:val="00667251"/>
    <w:rsid w:val="00667E56"/>
    <w:rsid w:val="00685385"/>
    <w:rsid w:val="00685E47"/>
    <w:rsid w:val="006905BA"/>
    <w:rsid w:val="00690753"/>
    <w:rsid w:val="006915E0"/>
    <w:rsid w:val="006A0031"/>
    <w:rsid w:val="006A4D28"/>
    <w:rsid w:val="006A661F"/>
    <w:rsid w:val="006A689B"/>
    <w:rsid w:val="006A7A8A"/>
    <w:rsid w:val="006B3FE7"/>
    <w:rsid w:val="006B50EA"/>
    <w:rsid w:val="006B5537"/>
    <w:rsid w:val="006B7BCD"/>
    <w:rsid w:val="006C01D0"/>
    <w:rsid w:val="006C1A3C"/>
    <w:rsid w:val="006C5545"/>
    <w:rsid w:val="006D7FB5"/>
    <w:rsid w:val="006E5521"/>
    <w:rsid w:val="006E606B"/>
    <w:rsid w:val="0070040D"/>
    <w:rsid w:val="00711725"/>
    <w:rsid w:val="00713624"/>
    <w:rsid w:val="00722451"/>
    <w:rsid w:val="00725DF4"/>
    <w:rsid w:val="00730389"/>
    <w:rsid w:val="00734A13"/>
    <w:rsid w:val="00737685"/>
    <w:rsid w:val="0075192B"/>
    <w:rsid w:val="00752D76"/>
    <w:rsid w:val="007542E7"/>
    <w:rsid w:val="00760169"/>
    <w:rsid w:val="00762C73"/>
    <w:rsid w:val="00773022"/>
    <w:rsid w:val="00774084"/>
    <w:rsid w:val="007743D9"/>
    <w:rsid w:val="00775803"/>
    <w:rsid w:val="00780EA9"/>
    <w:rsid w:val="00782EAF"/>
    <w:rsid w:val="007850E5"/>
    <w:rsid w:val="0079370D"/>
    <w:rsid w:val="00796A6D"/>
    <w:rsid w:val="007A335E"/>
    <w:rsid w:val="007A6AC9"/>
    <w:rsid w:val="007B0B35"/>
    <w:rsid w:val="007C1EF5"/>
    <w:rsid w:val="007C7E05"/>
    <w:rsid w:val="007D0E44"/>
    <w:rsid w:val="007D0F77"/>
    <w:rsid w:val="007D5C4B"/>
    <w:rsid w:val="007E0B80"/>
    <w:rsid w:val="007E14E4"/>
    <w:rsid w:val="007F03CC"/>
    <w:rsid w:val="007F0B7B"/>
    <w:rsid w:val="007F1F09"/>
    <w:rsid w:val="007F4969"/>
    <w:rsid w:val="007F5EAF"/>
    <w:rsid w:val="00801043"/>
    <w:rsid w:val="00802F58"/>
    <w:rsid w:val="00803A55"/>
    <w:rsid w:val="0080600B"/>
    <w:rsid w:val="0081465F"/>
    <w:rsid w:val="00822AF5"/>
    <w:rsid w:val="008266A2"/>
    <w:rsid w:val="008338FA"/>
    <w:rsid w:val="00835283"/>
    <w:rsid w:val="00840AD5"/>
    <w:rsid w:val="008438DD"/>
    <w:rsid w:val="008508D5"/>
    <w:rsid w:val="00852B42"/>
    <w:rsid w:val="0086676B"/>
    <w:rsid w:val="0086772C"/>
    <w:rsid w:val="008715C5"/>
    <w:rsid w:val="00877C46"/>
    <w:rsid w:val="008857C9"/>
    <w:rsid w:val="008872CA"/>
    <w:rsid w:val="008907E5"/>
    <w:rsid w:val="008914AC"/>
    <w:rsid w:val="00892D51"/>
    <w:rsid w:val="008943A9"/>
    <w:rsid w:val="0089542E"/>
    <w:rsid w:val="008A3095"/>
    <w:rsid w:val="008A6217"/>
    <w:rsid w:val="008A67DB"/>
    <w:rsid w:val="008A7EE6"/>
    <w:rsid w:val="008B568E"/>
    <w:rsid w:val="008B77C1"/>
    <w:rsid w:val="008B7CD0"/>
    <w:rsid w:val="008C0C3A"/>
    <w:rsid w:val="008F2272"/>
    <w:rsid w:val="00902EB4"/>
    <w:rsid w:val="0091023A"/>
    <w:rsid w:val="009135E1"/>
    <w:rsid w:val="00915099"/>
    <w:rsid w:val="00916FC4"/>
    <w:rsid w:val="00917BF0"/>
    <w:rsid w:val="00927995"/>
    <w:rsid w:val="00931415"/>
    <w:rsid w:val="00936418"/>
    <w:rsid w:val="009364D8"/>
    <w:rsid w:val="00941DC1"/>
    <w:rsid w:val="0094290C"/>
    <w:rsid w:val="00947F6B"/>
    <w:rsid w:val="00954728"/>
    <w:rsid w:val="00980B30"/>
    <w:rsid w:val="009812CF"/>
    <w:rsid w:val="00984CF2"/>
    <w:rsid w:val="00990675"/>
    <w:rsid w:val="009A058D"/>
    <w:rsid w:val="009A56A8"/>
    <w:rsid w:val="009B12E7"/>
    <w:rsid w:val="009B1427"/>
    <w:rsid w:val="009B5616"/>
    <w:rsid w:val="009C081C"/>
    <w:rsid w:val="009C1144"/>
    <w:rsid w:val="009C35F8"/>
    <w:rsid w:val="009D01F3"/>
    <w:rsid w:val="009D0699"/>
    <w:rsid w:val="009D3F85"/>
    <w:rsid w:val="009E7F5B"/>
    <w:rsid w:val="009F544D"/>
    <w:rsid w:val="009F72AC"/>
    <w:rsid w:val="009F7935"/>
    <w:rsid w:val="00A001C7"/>
    <w:rsid w:val="00A00B97"/>
    <w:rsid w:val="00A01255"/>
    <w:rsid w:val="00A03D45"/>
    <w:rsid w:val="00A11672"/>
    <w:rsid w:val="00A16473"/>
    <w:rsid w:val="00A2383C"/>
    <w:rsid w:val="00A3069D"/>
    <w:rsid w:val="00A320B6"/>
    <w:rsid w:val="00A342C3"/>
    <w:rsid w:val="00A35604"/>
    <w:rsid w:val="00A35AFE"/>
    <w:rsid w:val="00A36C30"/>
    <w:rsid w:val="00A40873"/>
    <w:rsid w:val="00A445C2"/>
    <w:rsid w:val="00A4755B"/>
    <w:rsid w:val="00A5743A"/>
    <w:rsid w:val="00A6799B"/>
    <w:rsid w:val="00A72919"/>
    <w:rsid w:val="00A74C01"/>
    <w:rsid w:val="00A8124E"/>
    <w:rsid w:val="00A8257F"/>
    <w:rsid w:val="00A85F26"/>
    <w:rsid w:val="00A8607C"/>
    <w:rsid w:val="00A86796"/>
    <w:rsid w:val="00A86EBD"/>
    <w:rsid w:val="00AA45DE"/>
    <w:rsid w:val="00AA4FD3"/>
    <w:rsid w:val="00AB14CE"/>
    <w:rsid w:val="00AB2302"/>
    <w:rsid w:val="00AD3217"/>
    <w:rsid w:val="00AD431F"/>
    <w:rsid w:val="00AE699F"/>
    <w:rsid w:val="00AF1845"/>
    <w:rsid w:val="00AF1E6E"/>
    <w:rsid w:val="00AF7CC9"/>
    <w:rsid w:val="00B045FF"/>
    <w:rsid w:val="00B04AB7"/>
    <w:rsid w:val="00B16970"/>
    <w:rsid w:val="00B22FCC"/>
    <w:rsid w:val="00B238B2"/>
    <w:rsid w:val="00B24608"/>
    <w:rsid w:val="00B252E5"/>
    <w:rsid w:val="00B3060A"/>
    <w:rsid w:val="00B43E9E"/>
    <w:rsid w:val="00B43F48"/>
    <w:rsid w:val="00B450E4"/>
    <w:rsid w:val="00B513FA"/>
    <w:rsid w:val="00B51DD4"/>
    <w:rsid w:val="00B52FD1"/>
    <w:rsid w:val="00B538C8"/>
    <w:rsid w:val="00B6020A"/>
    <w:rsid w:val="00B64178"/>
    <w:rsid w:val="00B649B5"/>
    <w:rsid w:val="00B701CA"/>
    <w:rsid w:val="00B70B24"/>
    <w:rsid w:val="00B70DAC"/>
    <w:rsid w:val="00B71805"/>
    <w:rsid w:val="00B820ED"/>
    <w:rsid w:val="00B824BF"/>
    <w:rsid w:val="00B842B5"/>
    <w:rsid w:val="00B84A78"/>
    <w:rsid w:val="00B96735"/>
    <w:rsid w:val="00B97C19"/>
    <w:rsid w:val="00BA0702"/>
    <w:rsid w:val="00BA373E"/>
    <w:rsid w:val="00BA5050"/>
    <w:rsid w:val="00BA7526"/>
    <w:rsid w:val="00BB261B"/>
    <w:rsid w:val="00BB6F62"/>
    <w:rsid w:val="00BB7CE0"/>
    <w:rsid w:val="00BC2F99"/>
    <w:rsid w:val="00BC565A"/>
    <w:rsid w:val="00BC5A51"/>
    <w:rsid w:val="00BC621F"/>
    <w:rsid w:val="00BC7316"/>
    <w:rsid w:val="00BC7A5B"/>
    <w:rsid w:val="00BC7F4D"/>
    <w:rsid w:val="00BD12A8"/>
    <w:rsid w:val="00BD1EBF"/>
    <w:rsid w:val="00BD20C8"/>
    <w:rsid w:val="00BE1433"/>
    <w:rsid w:val="00BE23D4"/>
    <w:rsid w:val="00BF3C94"/>
    <w:rsid w:val="00BF613D"/>
    <w:rsid w:val="00C03F9D"/>
    <w:rsid w:val="00C05730"/>
    <w:rsid w:val="00C05D72"/>
    <w:rsid w:val="00C11E49"/>
    <w:rsid w:val="00C1458A"/>
    <w:rsid w:val="00C26123"/>
    <w:rsid w:val="00C33E9F"/>
    <w:rsid w:val="00C3411C"/>
    <w:rsid w:val="00C40065"/>
    <w:rsid w:val="00C40DF5"/>
    <w:rsid w:val="00C45C6F"/>
    <w:rsid w:val="00C46A8C"/>
    <w:rsid w:val="00C53126"/>
    <w:rsid w:val="00C5527C"/>
    <w:rsid w:val="00C55ECD"/>
    <w:rsid w:val="00C6435E"/>
    <w:rsid w:val="00C6474C"/>
    <w:rsid w:val="00C70A16"/>
    <w:rsid w:val="00C815F9"/>
    <w:rsid w:val="00C84421"/>
    <w:rsid w:val="00C86159"/>
    <w:rsid w:val="00C93699"/>
    <w:rsid w:val="00CA3A96"/>
    <w:rsid w:val="00CA6979"/>
    <w:rsid w:val="00CA7236"/>
    <w:rsid w:val="00CB01A7"/>
    <w:rsid w:val="00CB195C"/>
    <w:rsid w:val="00CB3E04"/>
    <w:rsid w:val="00CC3520"/>
    <w:rsid w:val="00CC3D69"/>
    <w:rsid w:val="00CD3160"/>
    <w:rsid w:val="00CE3EEC"/>
    <w:rsid w:val="00CF233C"/>
    <w:rsid w:val="00CF7CC4"/>
    <w:rsid w:val="00D03ABF"/>
    <w:rsid w:val="00D107E1"/>
    <w:rsid w:val="00D17C6A"/>
    <w:rsid w:val="00D25AC5"/>
    <w:rsid w:val="00D30E1E"/>
    <w:rsid w:val="00D3566D"/>
    <w:rsid w:val="00D43FB3"/>
    <w:rsid w:val="00D50AFB"/>
    <w:rsid w:val="00D50F5D"/>
    <w:rsid w:val="00D5636C"/>
    <w:rsid w:val="00D60854"/>
    <w:rsid w:val="00D6291E"/>
    <w:rsid w:val="00D63B92"/>
    <w:rsid w:val="00D763CA"/>
    <w:rsid w:val="00D92C94"/>
    <w:rsid w:val="00D93934"/>
    <w:rsid w:val="00DA56D2"/>
    <w:rsid w:val="00DB4B1D"/>
    <w:rsid w:val="00DC1A40"/>
    <w:rsid w:val="00DC3348"/>
    <w:rsid w:val="00DC5DCC"/>
    <w:rsid w:val="00DC5F70"/>
    <w:rsid w:val="00DD051B"/>
    <w:rsid w:val="00DD747F"/>
    <w:rsid w:val="00DE514A"/>
    <w:rsid w:val="00DF2D49"/>
    <w:rsid w:val="00E01F09"/>
    <w:rsid w:val="00E10042"/>
    <w:rsid w:val="00E10581"/>
    <w:rsid w:val="00E17B71"/>
    <w:rsid w:val="00E27D3B"/>
    <w:rsid w:val="00E30141"/>
    <w:rsid w:val="00E34575"/>
    <w:rsid w:val="00E348FF"/>
    <w:rsid w:val="00E361D0"/>
    <w:rsid w:val="00E4133B"/>
    <w:rsid w:val="00E413A4"/>
    <w:rsid w:val="00E42CE3"/>
    <w:rsid w:val="00E47682"/>
    <w:rsid w:val="00E602F2"/>
    <w:rsid w:val="00E609E9"/>
    <w:rsid w:val="00E6481A"/>
    <w:rsid w:val="00E70ED5"/>
    <w:rsid w:val="00E72CAF"/>
    <w:rsid w:val="00E75DE7"/>
    <w:rsid w:val="00E83120"/>
    <w:rsid w:val="00E84CFF"/>
    <w:rsid w:val="00E973DD"/>
    <w:rsid w:val="00EA52DD"/>
    <w:rsid w:val="00EA536B"/>
    <w:rsid w:val="00EB2B09"/>
    <w:rsid w:val="00EB467C"/>
    <w:rsid w:val="00EB5C4D"/>
    <w:rsid w:val="00EC2E99"/>
    <w:rsid w:val="00EC5FB8"/>
    <w:rsid w:val="00EC6CC2"/>
    <w:rsid w:val="00ED032D"/>
    <w:rsid w:val="00ED2D64"/>
    <w:rsid w:val="00ED634F"/>
    <w:rsid w:val="00EE7D6E"/>
    <w:rsid w:val="00EF1DDF"/>
    <w:rsid w:val="00EF21F4"/>
    <w:rsid w:val="00EF47DF"/>
    <w:rsid w:val="00F036FB"/>
    <w:rsid w:val="00F03E94"/>
    <w:rsid w:val="00F044D4"/>
    <w:rsid w:val="00F051D2"/>
    <w:rsid w:val="00F100EF"/>
    <w:rsid w:val="00F135BE"/>
    <w:rsid w:val="00F14F39"/>
    <w:rsid w:val="00F21217"/>
    <w:rsid w:val="00F424D1"/>
    <w:rsid w:val="00F42E07"/>
    <w:rsid w:val="00F43E9F"/>
    <w:rsid w:val="00F51674"/>
    <w:rsid w:val="00F56065"/>
    <w:rsid w:val="00F6246B"/>
    <w:rsid w:val="00F71AE2"/>
    <w:rsid w:val="00F726DB"/>
    <w:rsid w:val="00F80920"/>
    <w:rsid w:val="00F8310E"/>
    <w:rsid w:val="00F8504D"/>
    <w:rsid w:val="00F87310"/>
    <w:rsid w:val="00F879DD"/>
    <w:rsid w:val="00F9639F"/>
    <w:rsid w:val="00F97E01"/>
    <w:rsid w:val="00FA19E8"/>
    <w:rsid w:val="00FB22C0"/>
    <w:rsid w:val="00FB4F6A"/>
    <w:rsid w:val="00FC5A70"/>
    <w:rsid w:val="00FE48CB"/>
    <w:rsid w:val="00FE5EB8"/>
    <w:rsid w:val="00FF5B0A"/>
    <w:rsid w:val="1470601E"/>
    <w:rsid w:val="1C0850F3"/>
    <w:rsid w:val="5DDB56E9"/>
    <w:rsid w:val="6F966A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color w:val="000000"/>
      <w:kern w:val="2"/>
      <w:sz w:val="32"/>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Indent"/>
    <w:basedOn w:val="1"/>
    <w:uiPriority w:val="0"/>
    <w:pPr>
      <w:wordWrap w:val="0"/>
      <w:spacing w:line="520" w:lineRule="exact"/>
      <w:ind w:firstLine="548" w:firstLineChars="200"/>
    </w:pPr>
    <w:rPr>
      <w:spacing w:val="-20"/>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hint="eastAsia" w:ascii="宋体" w:hAnsi="宋体" w:eastAsia="宋体"/>
      <w:color w:val="auto"/>
      <w:kern w:val="0"/>
      <w:sz w:val="24"/>
      <w:szCs w:val="24"/>
    </w:rPr>
  </w:style>
  <w:style w:type="character" w:styleId="9">
    <w:name w:val="page number"/>
    <w:basedOn w:val="8"/>
    <w:uiPriority w:val="0"/>
  </w:style>
  <w:style w:type="character" w:styleId="10">
    <w:name w:val="Hyperlink"/>
    <w:basedOn w:val="8"/>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ontent"/>
    <w:basedOn w:val="1"/>
    <w:qFormat/>
    <w:uiPriority w:val="0"/>
    <w:pPr>
      <w:widowControl/>
      <w:spacing w:line="300" w:lineRule="auto"/>
    </w:pPr>
    <w:rPr>
      <w:rFonts w:hint="eastAsia" w:hAnsi="宋体"/>
      <w:color w:val="auto"/>
      <w:kern w:val="0"/>
      <w:szCs w:val="32"/>
    </w:rPr>
  </w:style>
  <w:style w:type="paragraph" w:customStyle="1" w:styleId="14">
    <w:name w:val="title"/>
    <w:basedOn w:val="1"/>
    <w:qFormat/>
    <w:uiPriority w:val="0"/>
    <w:pPr>
      <w:widowControl/>
      <w:spacing w:line="300" w:lineRule="auto"/>
      <w:jc w:val="center"/>
    </w:pPr>
    <w:rPr>
      <w:rFonts w:hint="eastAsia" w:ascii="宋体" w:hAnsi="宋体" w:eastAsia="宋体"/>
      <w:b/>
      <w:bCs/>
      <w:color w:val="auto"/>
      <w:kern w:val="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1009;&#20107;&#21028;&#20915;&#20070;&#312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刑事判决书稿.dot</Template>
  <Company> </Company>
  <Pages>1</Pages>
  <Words>470</Words>
  <Characters>2683</Characters>
  <Lines>22</Lines>
  <Paragraphs>6</Paragraphs>
  <TotalTime>0</TotalTime>
  <ScaleCrop>false</ScaleCrop>
  <LinksUpToDate>false</LinksUpToDate>
  <CharactersWithSpaces>3147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2015-09-25T01:22:00Z</dcterms:created>
  <dc:creator>TONFUN</dc:creator>
  <cp:lastModifiedBy>TF-PC</cp:lastModifiedBy>
  <cp:lastPrinted>2015-08-10T03:23:00Z</cp:lastPrinted>
  <dcterms:modified xsi:type="dcterms:W3CDTF">2018-08-27T09:48:23Z</dcterms:modified>
  <dc:title>      天津市东丽区人民法院</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