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eastAsia="宋体"/>
          <w:sz w:val="44"/>
        </w:rPr>
      </w:pPr>
      <w:bookmarkStart w:id="0" w:name="_GoBack"/>
      <w:bookmarkEnd w:id="0"/>
      <w:r>
        <w:rPr>
          <w:rFonts w:hint="eastAsia" w:ascii="宋体" w:hAnsi="宋体" w:eastAsia="宋体"/>
          <w:sz w:val="44"/>
        </w:rPr>
        <w:t>天津市滨海新区人民法院</w:t>
      </w:r>
    </w:p>
    <w:p>
      <w:pPr>
        <w:spacing w:line="800" w:lineRule="exact"/>
        <w:jc w:val="center"/>
        <w:rPr>
          <w:rFonts w:hint="eastAsia" w:ascii="宋体" w:hAnsi="宋体" w:eastAsia="宋体"/>
          <w:spacing w:val="50"/>
          <w:sz w:val="52"/>
        </w:rPr>
      </w:pPr>
      <w:r>
        <w:rPr>
          <w:rFonts w:hint="eastAsia" w:ascii="宋体" w:hAnsi="宋体" w:eastAsia="宋体"/>
          <w:spacing w:val="50"/>
          <w:sz w:val="52"/>
        </w:rPr>
        <w:t>刑 事 判 决 书</w:t>
      </w:r>
    </w:p>
    <w:p>
      <w:pPr>
        <w:pStyle w:val="2"/>
        <w:tabs>
          <w:tab w:val="left" w:pos="3570"/>
        </w:tabs>
        <w:spacing w:line="520" w:lineRule="exact"/>
        <w:ind w:firstLine="3680" w:firstLineChars="1150"/>
        <w:rPr>
          <w:rFonts w:hint="eastAsia"/>
        </w:rPr>
      </w:pPr>
      <w:r>
        <w:rPr>
          <w:rFonts w:hint="eastAsia"/>
        </w:rPr>
        <w:t>（2018）津0116刑初40146号</w:t>
      </w:r>
    </w:p>
    <w:p>
      <w:pPr>
        <w:spacing w:line="520" w:lineRule="exact"/>
        <w:ind w:right="-32" w:rightChars="-10"/>
        <w:rPr>
          <w:rFonts w:hint="eastAsia" w:ascii="仿宋_GB2312"/>
        </w:rPr>
      </w:pPr>
    </w:p>
    <w:p>
      <w:pPr>
        <w:ind w:right="-32" w:rightChars="-10" w:firstLine="640" w:firstLineChars="200"/>
        <w:rPr>
          <w:rFonts w:hint="eastAsia" w:ascii="仿宋_GB2312"/>
          <w:szCs w:val="32"/>
        </w:rPr>
      </w:pPr>
      <w:r>
        <w:rPr>
          <w:rFonts w:hint="eastAsia" w:ascii="仿宋_GB2312"/>
          <w:szCs w:val="32"/>
        </w:rPr>
        <w:t>公诉机关天津市滨海新区人民检察院。</w:t>
      </w:r>
    </w:p>
    <w:p>
      <w:pPr>
        <w:ind w:right="-32" w:rightChars="-10" w:firstLine="640" w:firstLineChars="200"/>
        <w:rPr>
          <w:rFonts w:hint="eastAsia" w:ascii="仿宋_GB2312"/>
          <w:szCs w:val="32"/>
        </w:rPr>
      </w:pPr>
      <w:r>
        <w:rPr>
          <w:rFonts w:hint="eastAsia" w:ascii="仿宋_GB2312"/>
          <w:szCs w:val="32"/>
        </w:rPr>
        <w:t>被告人苏晓华，男，1980年5月29日出生，汉族，大学文化，无职业，户籍地及现住址天津市滨海新区四纬路新澳花园5号楼2门202号。2018年4月19日因涉嫌犯信用卡诈骗罪被天津市滨海新区公安局汉沽分局刑事拘留，同年5月18日被取保候审。现在居住地。</w:t>
      </w:r>
    </w:p>
    <w:p>
      <w:pPr>
        <w:ind w:right="-32" w:rightChars="-10" w:firstLine="640" w:firstLineChars="200"/>
        <w:rPr>
          <w:rFonts w:hint="eastAsia" w:ascii="仿宋_GB2312"/>
          <w:szCs w:val="32"/>
        </w:rPr>
      </w:pPr>
      <w:r>
        <w:rPr>
          <w:rFonts w:hint="eastAsia" w:ascii="仿宋_GB2312"/>
          <w:szCs w:val="32"/>
        </w:rPr>
        <w:t>天津市滨海新区人民检察院以津滨检汉</w:t>
      </w:r>
      <w:r>
        <w:rPr>
          <w:rFonts w:hint="eastAsia" w:ascii="仿宋_GB2312" w:hAnsi="宋体"/>
          <w:szCs w:val="32"/>
        </w:rPr>
        <w:t>公诉刑诉（2018）156号起诉书指控被告人苏晓华犯</w:t>
      </w:r>
      <w:r>
        <w:rPr>
          <w:rFonts w:hint="eastAsia" w:ascii="仿宋_GB2312"/>
          <w:szCs w:val="32"/>
        </w:rPr>
        <w:t>信用卡</w:t>
      </w:r>
      <w:r>
        <w:rPr>
          <w:rFonts w:hint="eastAsia" w:ascii="仿宋_GB2312" w:hAnsi="宋体"/>
          <w:szCs w:val="32"/>
        </w:rPr>
        <w:t>诈骗罪。</w:t>
      </w:r>
      <w:r>
        <w:rPr>
          <w:rFonts w:hint="eastAsia" w:ascii="仿宋_GB2312"/>
          <w:szCs w:val="32"/>
        </w:rPr>
        <w:t>本院适用刑事案件速裁程序，公开开庭审理本案。</w:t>
      </w:r>
    </w:p>
    <w:p>
      <w:pPr>
        <w:ind w:right="-32" w:rightChars="-10" w:firstLine="640" w:firstLineChars="200"/>
        <w:rPr>
          <w:rFonts w:hint="eastAsia" w:ascii="仿宋_GB2312"/>
          <w:szCs w:val="32"/>
        </w:rPr>
      </w:pPr>
      <w:r>
        <w:rPr>
          <w:rFonts w:hint="eastAsia" w:ascii="仿宋_GB2312"/>
          <w:szCs w:val="32"/>
        </w:rPr>
        <w:t xml:space="preserve">经审理查明，被告人苏晓华于2012年6月30日在中国光大银行股份有限公司天津分行申请办理了卡号为  </w:t>
      </w:r>
      <w:r>
        <w:rPr>
          <w:rFonts w:ascii="仿宋_GB2312"/>
          <w:szCs w:val="32"/>
        </w:rPr>
        <w:t>40625228</w:t>
      </w:r>
      <w:r>
        <w:rPr>
          <w:rFonts w:hint="eastAsia" w:ascii="仿宋_GB2312"/>
          <w:szCs w:val="32"/>
        </w:rPr>
        <w:t>53530533的信用卡。后被告人苏晓华自2012年8月至2016年11月，持该卡多次消费、套现，恶意透支本金人民币89999.18元。逾期后，经发卡行多次催收，超过三个月仍未归还欠款。案发后，被告人苏晓华主动向公安机关投案，清偿了上述信用卡欠款。</w:t>
      </w:r>
    </w:p>
    <w:p>
      <w:pPr>
        <w:ind w:right="-32" w:rightChars="-10" w:firstLine="640" w:firstLineChars="200"/>
        <w:rPr>
          <w:rFonts w:hint="eastAsia" w:ascii="仿宋_GB2312"/>
          <w:szCs w:val="32"/>
        </w:rPr>
      </w:pPr>
      <w:r>
        <w:rPr>
          <w:rFonts w:hint="eastAsia" w:ascii="仿宋_GB2312"/>
          <w:szCs w:val="32"/>
        </w:rPr>
        <w:t>据以认定上述事实的证据有，信用卡资料、交易流水、催收记录等书证；证人徐明、任桂兰的证言；被告人苏晓华的多次供述和辩解；</w:t>
      </w:r>
      <w:r>
        <w:rPr>
          <w:rFonts w:hint="eastAsia" w:ascii="仿宋_GB2312"/>
          <w:color w:val="000000"/>
          <w:szCs w:val="32"/>
        </w:rPr>
        <w:t>天津市滨海新区公安局汉沽分局出具的案件来源、到案经过、被告人主体身份证明等</w:t>
      </w:r>
      <w:r>
        <w:rPr>
          <w:rFonts w:hint="eastAsia" w:ascii="仿宋_GB2312"/>
          <w:szCs w:val="32"/>
        </w:rPr>
        <w:t>证据证实，足以认定。</w:t>
      </w:r>
    </w:p>
    <w:p>
      <w:pPr>
        <w:ind w:right="-32" w:rightChars="-10" w:firstLine="640" w:firstLineChars="200"/>
        <w:rPr>
          <w:rFonts w:hint="eastAsia" w:ascii="仿宋_GB2312"/>
          <w:szCs w:val="32"/>
        </w:rPr>
      </w:pPr>
      <w:r>
        <w:rPr>
          <w:rFonts w:hint="eastAsia" w:ascii="仿宋_GB2312"/>
          <w:szCs w:val="32"/>
        </w:rPr>
        <w:t>本院认为，公诉机关指控被告人苏晓华犯</w:t>
      </w:r>
      <w:r>
        <w:rPr>
          <w:rFonts w:hint="eastAsia" w:ascii="仿宋_GB2312" w:hAnsi="宋体"/>
          <w:szCs w:val="32"/>
        </w:rPr>
        <w:t>信用卡诈骗罪</w:t>
      </w:r>
      <w:r>
        <w:rPr>
          <w:rFonts w:hint="eastAsia" w:ascii="仿宋_GB2312"/>
          <w:szCs w:val="32"/>
        </w:rPr>
        <w:t>的事实清楚，证据确实、充分，指控罪名成立。被告人苏晓华具有以下量刑情节：自首；结清本金；自愿认罪认罚。</w:t>
      </w:r>
      <w:r>
        <w:rPr>
          <w:rFonts w:hint="eastAsia" w:ascii="仿宋_GB2312"/>
          <w:color w:val="000000"/>
          <w:szCs w:val="32"/>
        </w:rPr>
        <w:t>对公诉机关提出的建议判处被告人苏晓华有期徒刑二年六个月，可以适用缓刑，并处罚金人民币30000元的量刑建议，本院予以采纳。</w:t>
      </w:r>
      <w:r>
        <w:rPr>
          <w:rFonts w:hint="eastAsia" w:ascii="仿宋_GB2312"/>
          <w:szCs w:val="32"/>
        </w:rPr>
        <w:t>依照《中华人民共和国刑法》第一百九十六条、第六十七条第一款、</w:t>
      </w:r>
      <w:r>
        <w:rPr>
          <w:rFonts w:hint="eastAsia" w:ascii="仿宋_GB2312" w:hAnsi="宋体"/>
          <w:szCs w:val="32"/>
        </w:rPr>
        <w:t>第七十二条第一款、第七十六</w:t>
      </w:r>
      <w:r>
        <w:rPr>
          <w:rFonts w:hint="eastAsia" w:ascii="仿宋_GB2312"/>
          <w:szCs w:val="32"/>
        </w:rPr>
        <w:t>之规定，判决如下：</w:t>
      </w:r>
    </w:p>
    <w:p>
      <w:pPr>
        <w:ind w:firstLine="640" w:firstLineChars="200"/>
        <w:rPr>
          <w:rFonts w:hint="eastAsia" w:ascii="仿宋_GB2312" w:hAnsi="宋体"/>
          <w:szCs w:val="32"/>
        </w:rPr>
      </w:pPr>
      <w:r>
        <w:rPr>
          <w:rFonts w:hint="eastAsia" w:ascii="仿宋_GB2312" w:hAnsi="宋体"/>
          <w:szCs w:val="32"/>
        </w:rPr>
        <w:t>被告人</w:t>
      </w:r>
      <w:r>
        <w:rPr>
          <w:rFonts w:hint="eastAsia" w:ascii="仿宋_GB2312"/>
          <w:szCs w:val="32"/>
        </w:rPr>
        <w:t>苏晓华犯</w:t>
      </w:r>
      <w:r>
        <w:rPr>
          <w:rFonts w:hint="eastAsia" w:ascii="仿宋_GB2312" w:hAnsi="宋体"/>
          <w:szCs w:val="32"/>
        </w:rPr>
        <w:t>信用卡诈骗罪，判处有期徒刑二年六个月，缓刑三年，并处罚金人民币三万元。</w:t>
      </w:r>
    </w:p>
    <w:p>
      <w:pPr>
        <w:ind w:right="-32" w:rightChars="-10" w:firstLine="480" w:firstLineChars="150"/>
        <w:rPr>
          <w:rFonts w:hint="eastAsia" w:ascii="仿宋_GB2312"/>
          <w:szCs w:val="32"/>
        </w:rPr>
      </w:pPr>
      <w:r>
        <w:rPr>
          <w:rFonts w:hint="eastAsia" w:ascii="仿宋_GB2312"/>
          <w:szCs w:val="32"/>
        </w:rPr>
        <w:t>（缓刑考验期间自判决确定之日起计算。罚金限本判决书生效之日起十日内缴纳）。</w:t>
      </w:r>
    </w:p>
    <w:p>
      <w:pPr>
        <w:ind w:right="-32" w:rightChars="-10" w:firstLine="640" w:firstLineChars="200"/>
        <w:rPr>
          <w:rFonts w:hint="eastAsia" w:ascii="仿宋_GB2312"/>
          <w:szCs w:val="32"/>
        </w:rPr>
      </w:pPr>
      <w:r>
        <w:rPr>
          <w:rFonts w:hint="eastAsia" w:ascii="仿宋_GB2312"/>
          <w:szCs w:val="32"/>
        </w:rPr>
        <w:t>如不服本判决，可于接到判决书第二日起十日内，通过本院或直接上诉于天津市第二中级人民法院。书面上诉的，应交上诉状正本一份，副本二份。</w:t>
      </w:r>
    </w:p>
    <w:p>
      <w:pPr>
        <w:ind w:right="-32" w:rightChars="-10" w:firstLine="640" w:firstLineChars="200"/>
        <w:rPr>
          <w:rFonts w:hint="eastAsia" w:ascii="仿宋_GB2312"/>
          <w:szCs w:val="32"/>
        </w:rPr>
      </w:pPr>
    </w:p>
    <w:p>
      <w:pPr>
        <w:ind w:right="-32" w:rightChars="-10" w:firstLine="640" w:firstLineChars="200"/>
        <w:rPr>
          <w:rFonts w:hint="eastAsia" w:ascii="仿宋_GB2312"/>
          <w:szCs w:val="32"/>
        </w:rPr>
      </w:pPr>
    </w:p>
    <w:p>
      <w:pPr>
        <w:ind w:right="-32" w:rightChars="-10" w:firstLine="640" w:firstLineChars="200"/>
        <w:rPr>
          <w:rFonts w:hint="eastAsia" w:ascii="仿宋_GB2312"/>
          <w:szCs w:val="32"/>
        </w:rPr>
      </w:pPr>
    </w:p>
    <w:p>
      <w:pPr>
        <w:ind w:right="-32" w:rightChars="-10" w:firstLine="640" w:firstLineChars="200"/>
        <w:rPr>
          <w:rFonts w:hint="eastAsia" w:ascii="仿宋_GB2312"/>
          <w:szCs w:val="32"/>
        </w:rPr>
      </w:pPr>
    </w:p>
    <w:p>
      <w:pPr>
        <w:ind w:right="-32" w:rightChars="-10" w:firstLine="640" w:firstLineChars="200"/>
        <w:rPr>
          <w:rFonts w:hint="eastAsia" w:ascii="仿宋_GB2312"/>
          <w:szCs w:val="32"/>
        </w:rPr>
      </w:pPr>
      <w:r>
        <w:rPr>
          <w:rFonts w:hint="eastAsia" w:ascii="仿宋_GB2312"/>
          <w:szCs w:val="32"/>
        </w:rPr>
        <w:t>（此页无正文）</w:t>
      </w: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r>
        <w:rPr>
          <w:rFonts w:hint="eastAsia" w:ascii="仿宋_GB2312"/>
          <w:szCs w:val="32"/>
        </w:rPr>
        <w:t>审  判  员    么小燕</w:t>
      </w:r>
    </w:p>
    <w:p>
      <w:pPr>
        <w:ind w:right="-320" w:rightChars="-100" w:firstLine="4470" w:firstLineChars="1397"/>
        <w:rPr>
          <w:rFonts w:hint="eastAsia" w:ascii="仿宋_GB2312"/>
          <w:szCs w:val="32"/>
        </w:rPr>
      </w:pPr>
    </w:p>
    <w:p>
      <w:pPr>
        <w:ind w:right="-320" w:rightChars="-100" w:firstLine="4470" w:firstLineChars="1397"/>
        <w:rPr>
          <w:rFonts w:hint="eastAsia" w:ascii="仿宋_GB2312"/>
          <w:szCs w:val="32"/>
        </w:rPr>
      </w:pPr>
      <w:r>
        <w:rPr>
          <w:rFonts w:hint="eastAsia" w:ascii="仿宋_GB2312"/>
          <w:szCs w:val="32"/>
        </w:rPr>
        <w:t>二</w:t>
      </w:r>
      <w:r>
        <w:rPr>
          <w:rFonts w:hint="eastAsia" w:ascii="仿宋_GB2312" w:hAnsi="宋体" w:cs="宋体"/>
          <w:szCs w:val="32"/>
        </w:rPr>
        <w:t>〇</w:t>
      </w:r>
      <w:r>
        <w:rPr>
          <w:rFonts w:hint="eastAsia" w:ascii="仿宋_GB2312"/>
          <w:szCs w:val="32"/>
        </w:rPr>
        <w:t>一八年七月十七日</w:t>
      </w:r>
    </w:p>
    <w:p>
      <w:pPr>
        <w:ind w:right="-320" w:rightChars="-100"/>
        <w:rPr>
          <w:rFonts w:hint="eastAsia" w:ascii="仿宋_GB2312"/>
          <w:szCs w:val="32"/>
        </w:rPr>
      </w:pPr>
    </w:p>
    <w:p>
      <w:pPr>
        <w:ind w:right="-320" w:rightChars="-100"/>
        <w:rPr>
          <w:rFonts w:hint="eastAsia" w:ascii="仿宋_GB2312" w:hAnsi="宋体" w:cs="宋体"/>
          <w:szCs w:val="32"/>
        </w:rPr>
      </w:pPr>
      <w:r>
        <w:rPr>
          <w:rFonts w:hint="eastAsia" w:ascii="仿宋_GB2312"/>
          <w:szCs w:val="32"/>
        </w:rPr>
        <w:t xml:space="preserve">                            书  记  员    李雅娟</w:t>
      </w: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szCs w:val="32"/>
        </w:rPr>
      </w:pPr>
      <w:r>
        <w:rPr>
          <w:rFonts w:hint="eastAsia" w:ascii="仿宋_GB2312" w:hAnsi="宋体"/>
          <w:b/>
          <w:szCs w:val="32"/>
        </w:rPr>
        <w:t>附：法律释明</w:t>
      </w:r>
    </w:p>
    <w:p>
      <w:pPr>
        <w:ind w:right="-32" w:rightChars="-10" w:firstLine="643" w:firstLineChars="200"/>
        <w:rPr>
          <w:rFonts w:hint="eastAsia" w:ascii="仿宋_GB2312" w:hAnsi="宋体"/>
          <w:b/>
          <w:szCs w:val="32"/>
        </w:rPr>
      </w:pPr>
      <w:r>
        <w:rPr>
          <w:rFonts w:hint="eastAsia" w:ascii="仿宋_GB2312" w:hAnsi="宋体"/>
          <w:b/>
          <w:szCs w:val="32"/>
        </w:rPr>
        <w:t>《中华人民共和国刑法》</w:t>
      </w:r>
    </w:p>
    <w:p>
      <w:pPr>
        <w:ind w:right="-32" w:rightChars="-10" w:firstLine="643" w:firstLineChars="200"/>
        <w:rPr>
          <w:rFonts w:hint="eastAsia" w:ascii="仿宋_GB2312"/>
          <w:szCs w:val="32"/>
        </w:rPr>
      </w:pPr>
      <w:r>
        <w:rPr>
          <w:rFonts w:hint="eastAsia" w:ascii="仿宋_GB2312"/>
          <w:b/>
          <w:szCs w:val="32"/>
        </w:rPr>
        <w:t xml:space="preserve">第一百九十六条 </w:t>
      </w:r>
      <w:r>
        <w:rPr>
          <w:rFonts w:hint="eastAsia" w:ascii="仿宋_GB231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ind w:right="-32" w:rightChars="-10" w:firstLine="640" w:firstLineChars="200"/>
        <w:rPr>
          <w:rFonts w:hint="eastAsia" w:ascii="仿宋_GB2312"/>
          <w:szCs w:val="32"/>
        </w:rPr>
      </w:pPr>
      <w:r>
        <w:rPr>
          <w:rFonts w:hint="eastAsia" w:ascii="仿宋_GB2312"/>
          <w:szCs w:val="32"/>
        </w:rPr>
        <w:t>（一）使用伪造的信用卡，或者使用以虚假的身份证明骗领的信用卡的；</w:t>
      </w:r>
    </w:p>
    <w:p>
      <w:pPr>
        <w:ind w:right="-32" w:rightChars="-10" w:firstLine="640" w:firstLineChars="200"/>
        <w:rPr>
          <w:rFonts w:hint="eastAsia" w:ascii="仿宋_GB2312"/>
          <w:szCs w:val="32"/>
        </w:rPr>
      </w:pPr>
      <w:r>
        <w:rPr>
          <w:rFonts w:hint="eastAsia" w:ascii="仿宋_GB2312"/>
          <w:szCs w:val="32"/>
        </w:rPr>
        <w:t>（二）使用作废的信用卡的；</w:t>
      </w:r>
    </w:p>
    <w:p>
      <w:pPr>
        <w:ind w:right="-32" w:rightChars="-10" w:firstLine="640" w:firstLineChars="200"/>
        <w:rPr>
          <w:rFonts w:hint="eastAsia" w:ascii="仿宋_GB2312"/>
          <w:szCs w:val="32"/>
        </w:rPr>
      </w:pPr>
      <w:r>
        <w:rPr>
          <w:rFonts w:hint="eastAsia" w:ascii="仿宋_GB2312"/>
          <w:szCs w:val="32"/>
        </w:rPr>
        <w:t>（三）冒用他人信用卡的；</w:t>
      </w:r>
    </w:p>
    <w:p>
      <w:pPr>
        <w:ind w:right="-32" w:rightChars="-10" w:firstLine="640" w:firstLineChars="200"/>
        <w:rPr>
          <w:rFonts w:hint="eastAsia" w:ascii="仿宋_GB2312"/>
          <w:szCs w:val="32"/>
        </w:rPr>
      </w:pPr>
      <w:r>
        <w:rPr>
          <w:rFonts w:hint="eastAsia" w:ascii="仿宋_GB2312"/>
          <w:szCs w:val="32"/>
        </w:rPr>
        <w:t>（四）恶意透支的。</w:t>
      </w:r>
    </w:p>
    <w:p>
      <w:pPr>
        <w:ind w:right="-32" w:rightChars="-10" w:firstLine="640" w:firstLineChars="200"/>
        <w:rPr>
          <w:rFonts w:hint="eastAsia" w:ascii="仿宋_GB2312"/>
          <w:szCs w:val="32"/>
        </w:rPr>
      </w:pPr>
      <w:r>
        <w:rPr>
          <w:rFonts w:hint="eastAsia" w:ascii="仿宋_GB2312"/>
          <w:szCs w:val="32"/>
        </w:rPr>
        <w:t>前款所称恶意透支，是指持卡人以非法占有为目的，超过规定限额或者规定期限透支，并且经发卡银行催收后仍不归还的行为。</w:t>
      </w:r>
    </w:p>
    <w:p>
      <w:pPr>
        <w:ind w:right="-32" w:rightChars="-10" w:firstLine="640" w:firstLineChars="200"/>
        <w:rPr>
          <w:rFonts w:hint="eastAsia" w:ascii="仿宋_GB2312"/>
          <w:szCs w:val="32"/>
        </w:rPr>
      </w:pPr>
      <w:r>
        <w:rPr>
          <w:rFonts w:hint="eastAsia" w:ascii="仿宋_GB2312"/>
          <w:szCs w:val="32"/>
        </w:rPr>
        <w:t xml:space="preserve">盗窃信用卡并使用的，依照本法第二百六十四条的规定定罪处罚。 </w:t>
      </w:r>
    </w:p>
    <w:p>
      <w:pPr>
        <w:ind w:right="-32" w:rightChars="-10" w:firstLine="633" w:firstLineChars="197"/>
        <w:rPr>
          <w:rFonts w:hint="eastAsia" w:ascii="仿宋_GB2312"/>
          <w:bCs/>
          <w:szCs w:val="32"/>
        </w:rPr>
      </w:pPr>
      <w:r>
        <w:rPr>
          <w:rFonts w:hint="eastAsia" w:ascii="仿宋_GB2312"/>
          <w:b/>
          <w:bCs/>
          <w:szCs w:val="32"/>
        </w:rPr>
        <w:t>第六十七条第一款</w:t>
      </w:r>
      <w:r>
        <w:rPr>
          <w:rFonts w:hint="eastAsia" w:ascii="仿宋_GB2312" w:hAnsi="宋体"/>
          <w:bCs/>
          <w:szCs w:val="32"/>
        </w:rPr>
        <w:t>犯罪以后自动投案，如实供述自己的罪行，是自首。对于自首的犯罪分子，可以从轻或者减轻处罚。其中，犯罪较轻的，可以免除处罚</w:t>
      </w:r>
      <w:r>
        <w:rPr>
          <w:rFonts w:hint="eastAsia" w:ascii="仿宋_GB2312" w:hAnsi="宋体"/>
          <w:b/>
          <w:bCs/>
          <w:szCs w:val="32"/>
        </w:rPr>
        <w:t>。</w:t>
      </w:r>
    </w:p>
    <w:p>
      <w:pPr>
        <w:ind w:right="-32" w:rightChars="-10" w:firstLine="643" w:firstLineChars="200"/>
        <w:rPr>
          <w:rFonts w:hint="eastAsia" w:ascii="仿宋_GB2312"/>
          <w:szCs w:val="32"/>
        </w:rPr>
      </w:pPr>
      <w:r>
        <w:rPr>
          <w:rFonts w:hint="eastAsia" w:ascii="仿宋_GB2312"/>
          <w:b/>
          <w:bCs/>
          <w:szCs w:val="32"/>
        </w:rPr>
        <w:t>第七十二条第一款</w:t>
      </w:r>
      <w:r>
        <w:rPr>
          <w:rFonts w:hint="eastAsia" w:ascii="仿宋_GB2312"/>
          <w:szCs w:val="32"/>
        </w:rPr>
        <w:t>　对于被判处拘役、三年以下有期徒刑的犯罪分子，同时符合下列条件的，可以宣告缓刑，对其中不满十八周岁的人、怀孕的妇女和已满七十五周岁的人，应当宣告缓刑：</w:t>
      </w:r>
    </w:p>
    <w:p>
      <w:pPr>
        <w:numPr>
          <w:ilvl w:val="0"/>
          <w:numId w:val="1"/>
        </w:numPr>
        <w:ind w:right="-32" w:rightChars="-10"/>
        <w:rPr>
          <w:rFonts w:hint="eastAsia" w:ascii="仿宋_GB2312"/>
          <w:szCs w:val="32"/>
        </w:rPr>
      </w:pPr>
      <w:r>
        <w:rPr>
          <w:rFonts w:hint="eastAsia" w:ascii="仿宋_GB2312"/>
          <w:szCs w:val="32"/>
        </w:rPr>
        <w:t>犯罪情节较轻；</w:t>
      </w:r>
    </w:p>
    <w:p>
      <w:pPr>
        <w:numPr>
          <w:ilvl w:val="0"/>
          <w:numId w:val="1"/>
        </w:numPr>
        <w:ind w:right="-32" w:rightChars="-10"/>
        <w:rPr>
          <w:rFonts w:hint="eastAsia" w:ascii="仿宋_GB2312"/>
          <w:szCs w:val="32"/>
        </w:rPr>
      </w:pPr>
      <w:r>
        <w:rPr>
          <w:rFonts w:hint="eastAsia" w:ascii="仿宋_GB2312"/>
          <w:szCs w:val="32"/>
        </w:rPr>
        <w:t>有悔罪表现；</w:t>
      </w:r>
    </w:p>
    <w:p>
      <w:pPr>
        <w:numPr>
          <w:ilvl w:val="0"/>
          <w:numId w:val="1"/>
        </w:numPr>
        <w:ind w:right="-32" w:rightChars="-10"/>
        <w:rPr>
          <w:rFonts w:hint="eastAsia" w:ascii="仿宋_GB2312"/>
          <w:szCs w:val="32"/>
        </w:rPr>
      </w:pPr>
      <w:r>
        <w:rPr>
          <w:rFonts w:hint="eastAsia" w:ascii="仿宋_GB2312"/>
          <w:szCs w:val="32"/>
        </w:rPr>
        <w:t>没有再犯罪的危险；</w:t>
      </w:r>
    </w:p>
    <w:p>
      <w:pPr>
        <w:numPr>
          <w:ilvl w:val="0"/>
          <w:numId w:val="1"/>
        </w:numPr>
        <w:ind w:right="-32" w:rightChars="-10"/>
        <w:rPr>
          <w:rFonts w:hint="eastAsia" w:ascii="仿宋_GB2312"/>
          <w:szCs w:val="32"/>
        </w:rPr>
      </w:pPr>
      <w:r>
        <w:rPr>
          <w:rFonts w:hint="eastAsia" w:ascii="仿宋_GB2312"/>
          <w:szCs w:val="32"/>
        </w:rPr>
        <w:t>宣告缓刑对所居住社区没有重大不良影响。</w:t>
      </w:r>
    </w:p>
    <w:p>
      <w:pPr>
        <w:ind w:right="-32" w:rightChars="-10" w:firstLine="643" w:firstLineChars="200"/>
        <w:rPr>
          <w:rFonts w:hint="eastAsia" w:ascii="仿宋_GB2312"/>
          <w:szCs w:val="32"/>
        </w:rPr>
      </w:pPr>
      <w:r>
        <w:rPr>
          <w:rFonts w:hint="eastAsia" w:ascii="仿宋_GB2312"/>
          <w:b/>
          <w:bCs/>
          <w:szCs w:val="32"/>
        </w:rPr>
        <w:t>第七十六条</w:t>
      </w:r>
      <w:r>
        <w:rPr>
          <w:rFonts w:hint="eastAsia" w:ascii="仿宋_GB2312"/>
          <w:szCs w:val="32"/>
        </w:rPr>
        <w:t>　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3533"/>
    <w:multiLevelType w:val="multilevel"/>
    <w:tmpl w:val="2A7D3533"/>
    <w:lvl w:ilvl="0" w:tentative="0">
      <w:start w:val="1"/>
      <w:numFmt w:val="japaneseCounting"/>
      <w:lvlText w:val="（%1）"/>
      <w:lvlJc w:val="left"/>
      <w:pPr>
        <w:tabs>
          <w:tab w:val="left" w:pos="1756"/>
        </w:tabs>
        <w:ind w:left="1756" w:hanging="1080"/>
      </w:pPr>
      <w:rPr>
        <w:rFonts w:hint="default"/>
      </w:rPr>
    </w:lvl>
    <w:lvl w:ilvl="1" w:tentative="0">
      <w:start w:val="1"/>
      <w:numFmt w:val="lowerLetter"/>
      <w:lvlText w:val="%2)"/>
      <w:lvlJc w:val="left"/>
      <w:pPr>
        <w:tabs>
          <w:tab w:val="left" w:pos="1516"/>
        </w:tabs>
        <w:ind w:left="1516" w:hanging="420"/>
      </w:pPr>
    </w:lvl>
    <w:lvl w:ilvl="2" w:tentative="0">
      <w:start w:val="1"/>
      <w:numFmt w:val="lowerRoman"/>
      <w:lvlText w:val="%3."/>
      <w:lvlJc w:val="right"/>
      <w:pPr>
        <w:tabs>
          <w:tab w:val="left" w:pos="1936"/>
        </w:tabs>
        <w:ind w:left="1936" w:hanging="420"/>
      </w:pPr>
    </w:lvl>
    <w:lvl w:ilvl="3" w:tentative="0">
      <w:start w:val="1"/>
      <w:numFmt w:val="decimal"/>
      <w:lvlText w:val="%4."/>
      <w:lvlJc w:val="left"/>
      <w:pPr>
        <w:tabs>
          <w:tab w:val="left" w:pos="2356"/>
        </w:tabs>
        <w:ind w:left="2356" w:hanging="420"/>
      </w:pPr>
    </w:lvl>
    <w:lvl w:ilvl="4" w:tentative="0">
      <w:start w:val="1"/>
      <w:numFmt w:val="lowerLetter"/>
      <w:lvlText w:val="%5)"/>
      <w:lvlJc w:val="left"/>
      <w:pPr>
        <w:tabs>
          <w:tab w:val="left" w:pos="2776"/>
        </w:tabs>
        <w:ind w:left="2776" w:hanging="420"/>
      </w:pPr>
    </w:lvl>
    <w:lvl w:ilvl="5" w:tentative="0">
      <w:start w:val="1"/>
      <w:numFmt w:val="lowerRoman"/>
      <w:lvlText w:val="%6."/>
      <w:lvlJc w:val="right"/>
      <w:pPr>
        <w:tabs>
          <w:tab w:val="left" w:pos="3196"/>
        </w:tabs>
        <w:ind w:left="3196" w:hanging="420"/>
      </w:pPr>
    </w:lvl>
    <w:lvl w:ilvl="6" w:tentative="0">
      <w:start w:val="1"/>
      <w:numFmt w:val="decimal"/>
      <w:lvlText w:val="%7."/>
      <w:lvlJc w:val="left"/>
      <w:pPr>
        <w:tabs>
          <w:tab w:val="left" w:pos="3616"/>
        </w:tabs>
        <w:ind w:left="3616" w:hanging="420"/>
      </w:pPr>
    </w:lvl>
    <w:lvl w:ilvl="7" w:tentative="0">
      <w:start w:val="1"/>
      <w:numFmt w:val="lowerLetter"/>
      <w:lvlText w:val="%8)"/>
      <w:lvlJc w:val="left"/>
      <w:pPr>
        <w:tabs>
          <w:tab w:val="left" w:pos="4036"/>
        </w:tabs>
        <w:ind w:left="4036" w:hanging="420"/>
      </w:pPr>
    </w:lvl>
    <w:lvl w:ilvl="8" w:tentative="0">
      <w:start w:val="1"/>
      <w:numFmt w:val="lowerRoman"/>
      <w:lvlText w:val="%9."/>
      <w:lvlJc w:val="right"/>
      <w:pPr>
        <w:tabs>
          <w:tab w:val="left" w:pos="4456"/>
        </w:tabs>
        <w:ind w:left="44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5855D30"/>
    <w:rsid w:val="169C42F4"/>
    <w:rsid w:val="22DF28C4"/>
    <w:rsid w:val="3A9C4805"/>
    <w:rsid w:val="5BBB53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00" w:lineRule="exact"/>
      <w:ind w:right="-6" w:firstLine="640" w:firstLineChars="200"/>
    </w:pPr>
    <w:rPr>
      <w:rFonts w:ascii="仿宋_GB2312"/>
      <w:szCs w:val="32"/>
    </w:rPr>
  </w:style>
  <w:style w:type="paragraph" w:styleId="3">
    <w:name w:val="Date"/>
    <w:basedOn w:val="1"/>
    <w:next w:val="1"/>
    <w:link w:val="1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Hyperlink"/>
    <w:basedOn w:val="6"/>
    <w:unhideWhenUsed/>
    <w:qFormat/>
    <w:uiPriority w:val="99"/>
    <w:rPr>
      <w:color w:val="0000FF"/>
      <w:u w:val="single"/>
    </w:rPr>
  </w:style>
  <w:style w:type="character" w:customStyle="1" w:styleId="10">
    <w:name w:val="页眉 Char"/>
    <w:basedOn w:val="6"/>
    <w:link w:val="5"/>
    <w:qFormat/>
    <w:uiPriority w:val="0"/>
    <w:rPr>
      <w:rFonts w:eastAsia="仿宋_GB2312"/>
      <w:kern w:val="2"/>
      <w:sz w:val="18"/>
      <w:szCs w:val="18"/>
    </w:rPr>
  </w:style>
  <w:style w:type="character" w:customStyle="1" w:styleId="11">
    <w:name w:val="日期 Char"/>
    <w:basedOn w:val="6"/>
    <w:link w:val="3"/>
    <w:qFormat/>
    <w:uiPriority w:val="0"/>
    <w:rPr>
      <w:rFonts w:eastAsia="仿宋_GB2312"/>
      <w:kern w:val="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239</Words>
  <Characters>1364</Characters>
  <Lines>11</Lines>
  <Paragraphs>3</Paragraphs>
  <TotalTime>0</TotalTime>
  <ScaleCrop>false</ScaleCrop>
  <LinksUpToDate>false</LinksUpToDate>
  <CharactersWithSpaces>1600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2018-07-09T07:01:00Z</dcterms:created>
  <dc:creator>china</dc:creator>
  <cp:lastModifiedBy>TF-PC</cp:lastModifiedBy>
  <dcterms:modified xsi:type="dcterms:W3CDTF">2018-08-27T09:39:12Z</dcterms:modified>
  <dc:title>天津市滨海新区人民法院刑事判决书（稿）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