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hint="eastAsia" w:ascii="宋体" w:hAnsi="宋体" w:eastAsia="宋体"/>
          <w:sz w:val="44"/>
        </w:rPr>
      </w:pPr>
      <w:bookmarkStart w:id="0" w:name="_GoBack"/>
      <w:bookmarkEnd w:id="0"/>
      <w:r>
        <w:rPr>
          <w:rFonts w:hint="eastAsia" w:ascii="宋体" w:hAnsi="宋体" w:eastAsia="宋体"/>
          <w:sz w:val="44"/>
        </w:rPr>
        <w:t>天津市滨海新区人民法院</w:t>
      </w:r>
    </w:p>
    <w:p>
      <w:pPr>
        <w:spacing w:line="800" w:lineRule="exact"/>
        <w:jc w:val="center"/>
        <w:rPr>
          <w:rFonts w:hint="eastAsia" w:ascii="宋体" w:hAnsi="宋体" w:eastAsia="宋体"/>
          <w:spacing w:val="50"/>
          <w:sz w:val="52"/>
        </w:rPr>
      </w:pPr>
      <w:r>
        <w:rPr>
          <w:rFonts w:hint="eastAsia" w:ascii="宋体" w:hAnsi="宋体" w:eastAsia="宋体"/>
          <w:spacing w:val="50"/>
          <w:sz w:val="52"/>
        </w:rPr>
        <w:t>刑 事 判 决 书</w:t>
      </w:r>
    </w:p>
    <w:p>
      <w:pPr>
        <w:pStyle w:val="2"/>
        <w:tabs>
          <w:tab w:val="left" w:pos="3570"/>
        </w:tabs>
        <w:spacing w:line="520" w:lineRule="exact"/>
        <w:ind w:firstLine="3680" w:firstLineChars="1150"/>
        <w:rPr>
          <w:rFonts w:hint="eastAsia"/>
        </w:rPr>
      </w:pPr>
      <w:r>
        <w:rPr>
          <w:rFonts w:hint="eastAsia"/>
        </w:rPr>
        <w:t>（2018）津0116刑初40147号</w:t>
      </w:r>
    </w:p>
    <w:p>
      <w:pPr>
        <w:ind w:right="-32" w:rightChars="-10" w:firstLine="640" w:firstLineChars="200"/>
        <w:rPr>
          <w:rFonts w:hint="eastAsia" w:ascii="仿宋_GB2312"/>
          <w:szCs w:val="32"/>
        </w:rPr>
      </w:pPr>
    </w:p>
    <w:p>
      <w:pPr>
        <w:ind w:right="-32" w:rightChars="-10" w:firstLine="640" w:firstLineChars="200"/>
        <w:rPr>
          <w:rFonts w:hint="eastAsia" w:ascii="仿宋_GB2312"/>
          <w:szCs w:val="32"/>
        </w:rPr>
      </w:pPr>
      <w:r>
        <w:rPr>
          <w:rFonts w:hint="eastAsia" w:ascii="仿宋_GB2312"/>
          <w:szCs w:val="32"/>
        </w:rPr>
        <w:t>公诉机关天津市滨海新区人民检察院。</w:t>
      </w:r>
    </w:p>
    <w:p>
      <w:pPr>
        <w:ind w:right="-32" w:rightChars="-10" w:firstLine="640" w:firstLineChars="200"/>
        <w:rPr>
          <w:rFonts w:hint="eastAsia" w:ascii="仿宋_GB2312"/>
          <w:szCs w:val="32"/>
        </w:rPr>
      </w:pPr>
      <w:r>
        <w:rPr>
          <w:rFonts w:hint="eastAsia" w:ascii="仿宋_GB2312"/>
          <w:szCs w:val="32"/>
        </w:rPr>
        <w:t>被告人尹菲菲，女，1983年4月24日出生，汉族，大学文化，无职业，户籍地天津市静海区王口镇团结村利祥胡同8号，现住址天津市滨海新区四纬路新澳花园5号楼2门202号。2018年4月19日因涉嫌犯信用卡诈骗罪被天津市滨海新区公安局汉沽分局刑事拘留，同年5月18日被取保候审。现在居住地。</w:t>
      </w:r>
    </w:p>
    <w:p>
      <w:pPr>
        <w:ind w:right="-32" w:rightChars="-10" w:firstLine="640" w:firstLineChars="200"/>
        <w:rPr>
          <w:rFonts w:hint="eastAsia" w:ascii="仿宋_GB2312"/>
          <w:szCs w:val="32"/>
        </w:rPr>
      </w:pPr>
      <w:r>
        <w:rPr>
          <w:rFonts w:hint="eastAsia" w:ascii="仿宋_GB2312" w:hAnsi="宋体"/>
          <w:szCs w:val="32"/>
        </w:rPr>
        <w:t>天津市滨海新区人民检察院以津滨检汉公诉刑诉（2018）157号起诉书指控被告人尹菲菲犯</w:t>
      </w:r>
      <w:r>
        <w:rPr>
          <w:rFonts w:hint="eastAsia" w:ascii="仿宋_GB2312"/>
          <w:szCs w:val="32"/>
        </w:rPr>
        <w:t>信用卡</w:t>
      </w:r>
      <w:r>
        <w:rPr>
          <w:rFonts w:hint="eastAsia" w:ascii="仿宋_GB2312" w:hAnsi="宋体"/>
          <w:szCs w:val="32"/>
        </w:rPr>
        <w:t>诈骗罪。</w:t>
      </w:r>
      <w:r>
        <w:rPr>
          <w:rFonts w:hint="eastAsia" w:ascii="仿宋_GB2312"/>
          <w:szCs w:val="32"/>
        </w:rPr>
        <w:t>本院适用刑事案件速裁程序，公开开庭审理本案。</w:t>
      </w:r>
    </w:p>
    <w:p>
      <w:pPr>
        <w:ind w:right="-32" w:rightChars="-10" w:firstLine="640" w:firstLineChars="200"/>
        <w:rPr>
          <w:rFonts w:hint="eastAsia" w:ascii="仿宋_GB2312"/>
          <w:szCs w:val="32"/>
        </w:rPr>
      </w:pPr>
      <w:r>
        <w:rPr>
          <w:rFonts w:hint="eastAsia" w:ascii="仿宋_GB2312"/>
          <w:szCs w:val="32"/>
        </w:rPr>
        <w:t xml:space="preserve">经审理查明，被告人尹菲菲于2013年3月26日在中国光大银行股份有限公司天津分行申请办理了卡号为  </w:t>
      </w:r>
      <w:r>
        <w:rPr>
          <w:rFonts w:ascii="仿宋_GB2312"/>
          <w:szCs w:val="32"/>
        </w:rPr>
        <w:t>40625228</w:t>
      </w:r>
      <w:r>
        <w:rPr>
          <w:rFonts w:hint="eastAsia" w:ascii="仿宋_GB2312"/>
          <w:szCs w:val="32"/>
        </w:rPr>
        <w:t>59386</w:t>
      </w:r>
      <w:r>
        <w:rPr>
          <w:rFonts w:ascii="仿宋_GB2312"/>
          <w:szCs w:val="32"/>
        </w:rPr>
        <w:t>40</w:t>
      </w:r>
      <w:r>
        <w:rPr>
          <w:rFonts w:hint="eastAsia" w:ascii="仿宋_GB2312"/>
          <w:szCs w:val="32"/>
        </w:rPr>
        <w:t>1的信用卡。后被告人尹菲菲自2013年4月至2016年11月，持该卡多次消费、套现，恶意透支本金人民币69367.36元。</w:t>
      </w:r>
    </w:p>
    <w:p>
      <w:pPr>
        <w:ind w:right="-32" w:rightChars="-10" w:firstLine="640" w:firstLineChars="200"/>
        <w:rPr>
          <w:rFonts w:hint="eastAsia" w:ascii="仿宋_GB2312"/>
          <w:szCs w:val="32"/>
        </w:rPr>
      </w:pPr>
      <w:r>
        <w:rPr>
          <w:rFonts w:hint="eastAsia" w:ascii="仿宋_GB2312"/>
          <w:szCs w:val="32"/>
        </w:rPr>
        <w:t>被告人尹菲菲于2015年11月在中国光大银行股份有限公司天津分行升级办理了卡号为</w:t>
      </w:r>
      <w:r>
        <w:rPr>
          <w:rFonts w:ascii="仿宋_GB2312"/>
          <w:szCs w:val="32"/>
        </w:rPr>
        <w:t>481699001774</w:t>
      </w:r>
      <w:r>
        <w:rPr>
          <w:rFonts w:hint="eastAsia" w:ascii="仿宋_GB2312"/>
          <w:szCs w:val="32"/>
        </w:rPr>
        <w:t xml:space="preserve">5322的信用卡。后被告人尹菲菲自2015年11月至2016年11月，持该卡多次消费、套现，恶意透支本金人民币21664.70元。 </w:t>
      </w:r>
    </w:p>
    <w:p>
      <w:pPr>
        <w:ind w:right="-32" w:rightChars="-10" w:firstLine="640" w:firstLineChars="200"/>
        <w:rPr>
          <w:rFonts w:hint="eastAsia" w:ascii="仿宋_GB2312"/>
          <w:szCs w:val="32"/>
        </w:rPr>
      </w:pPr>
      <w:r>
        <w:rPr>
          <w:rFonts w:hint="eastAsia" w:ascii="仿宋_GB2312"/>
          <w:szCs w:val="32"/>
        </w:rPr>
        <w:t>上述两张信用卡共计透支本金人民币91032.06元。逾期后，经发卡行多次催收，超过三个月仍未归还欠款。被告人尹菲菲后被公安机关传唤到案。被告人尹菲菲现已清偿了上述信用卡的全部欠款。</w:t>
      </w:r>
    </w:p>
    <w:p>
      <w:pPr>
        <w:ind w:right="-32" w:rightChars="-10" w:firstLine="640" w:firstLineChars="200"/>
        <w:rPr>
          <w:rFonts w:hint="eastAsia" w:ascii="仿宋_GB2312"/>
          <w:szCs w:val="32"/>
        </w:rPr>
      </w:pPr>
      <w:r>
        <w:rPr>
          <w:rFonts w:hint="eastAsia" w:ascii="仿宋_GB2312"/>
          <w:szCs w:val="32"/>
        </w:rPr>
        <w:t>据以认定上述事实的证据有，信用卡资料、交易流水、催收记录等书证；证人徐明、苏连才的证言；被告人尹菲菲的多次供述和辩解；</w:t>
      </w:r>
      <w:r>
        <w:rPr>
          <w:rFonts w:hint="eastAsia" w:ascii="仿宋_GB2312"/>
          <w:color w:val="000000"/>
          <w:szCs w:val="32"/>
        </w:rPr>
        <w:t>天津市滨海新区公安局汉沽分局出具的案件来源、抓获经过、被告人主体身份证明等</w:t>
      </w:r>
      <w:r>
        <w:rPr>
          <w:rFonts w:hint="eastAsia" w:ascii="仿宋_GB2312"/>
          <w:szCs w:val="32"/>
        </w:rPr>
        <w:t>证据证实，足以认定。</w:t>
      </w:r>
    </w:p>
    <w:p>
      <w:pPr>
        <w:ind w:right="-32" w:rightChars="-10" w:firstLine="640" w:firstLineChars="200"/>
        <w:rPr>
          <w:rFonts w:hint="eastAsia" w:ascii="仿宋_GB2312"/>
          <w:szCs w:val="32"/>
        </w:rPr>
      </w:pPr>
      <w:r>
        <w:rPr>
          <w:rFonts w:hint="eastAsia" w:ascii="仿宋_GB2312"/>
          <w:szCs w:val="32"/>
        </w:rPr>
        <w:t>本院认为，公诉机关指控被告人尹菲菲犯</w:t>
      </w:r>
      <w:r>
        <w:rPr>
          <w:rFonts w:hint="eastAsia" w:ascii="仿宋_GB2312" w:hAnsi="宋体"/>
          <w:szCs w:val="32"/>
        </w:rPr>
        <w:t>信用卡诈骗罪</w:t>
      </w:r>
      <w:r>
        <w:rPr>
          <w:rFonts w:hint="eastAsia" w:ascii="仿宋_GB2312"/>
          <w:szCs w:val="32"/>
        </w:rPr>
        <w:t>的事实清楚，证据确实、充分，指控罪名成立。被告人尹菲菲具有以下量刑情节：坦白；清偿欠款；自愿认罪认罚。</w:t>
      </w:r>
      <w:r>
        <w:rPr>
          <w:rFonts w:hint="eastAsia" w:ascii="仿宋_GB2312"/>
          <w:color w:val="000000"/>
          <w:szCs w:val="32"/>
        </w:rPr>
        <w:t>对公诉机关提出的建议判处被告人尹菲菲有期徒刑三年，可以适用缓刑，并处罚金人民币30000元的量刑建议，本院予以采纳。</w:t>
      </w:r>
      <w:r>
        <w:rPr>
          <w:rFonts w:hint="eastAsia" w:ascii="仿宋_GB2312"/>
          <w:szCs w:val="32"/>
        </w:rPr>
        <w:t>依照《中华人民共和国刑法》第一百九十六条、第六十七条第三款、</w:t>
      </w:r>
      <w:r>
        <w:rPr>
          <w:rFonts w:hint="eastAsia" w:ascii="仿宋_GB2312" w:hAnsi="宋体"/>
          <w:szCs w:val="32"/>
        </w:rPr>
        <w:t>第七十二条第一款、第七十六条</w:t>
      </w:r>
      <w:r>
        <w:rPr>
          <w:rFonts w:hint="eastAsia" w:ascii="仿宋_GB2312"/>
          <w:szCs w:val="32"/>
        </w:rPr>
        <w:t>之规定，判决如下：</w:t>
      </w:r>
    </w:p>
    <w:p>
      <w:pPr>
        <w:ind w:firstLine="640" w:firstLineChars="200"/>
        <w:rPr>
          <w:rFonts w:hint="eastAsia" w:ascii="仿宋_GB2312" w:hAnsi="宋体"/>
          <w:szCs w:val="32"/>
        </w:rPr>
      </w:pPr>
      <w:r>
        <w:rPr>
          <w:rFonts w:hint="eastAsia" w:ascii="仿宋_GB2312" w:hAnsi="宋体"/>
          <w:szCs w:val="32"/>
        </w:rPr>
        <w:t>被告人</w:t>
      </w:r>
      <w:r>
        <w:rPr>
          <w:rFonts w:hint="eastAsia" w:ascii="仿宋_GB2312"/>
          <w:szCs w:val="32"/>
        </w:rPr>
        <w:t>尹菲菲犯</w:t>
      </w:r>
      <w:r>
        <w:rPr>
          <w:rFonts w:hint="eastAsia" w:ascii="仿宋_GB2312" w:hAnsi="宋体"/>
          <w:szCs w:val="32"/>
        </w:rPr>
        <w:t>信用卡诈骗罪，判处有期徒刑三年，缓刑四年，并处罚金人民币三万元。</w:t>
      </w:r>
    </w:p>
    <w:p>
      <w:pPr>
        <w:ind w:right="-32" w:rightChars="-10" w:firstLine="480" w:firstLineChars="150"/>
        <w:rPr>
          <w:rFonts w:hint="eastAsia" w:ascii="仿宋_GB2312"/>
          <w:szCs w:val="32"/>
        </w:rPr>
      </w:pPr>
      <w:r>
        <w:rPr>
          <w:rFonts w:hint="eastAsia" w:ascii="仿宋_GB2312"/>
          <w:szCs w:val="32"/>
        </w:rPr>
        <w:t>（缓刑考验期间自判决确定之日起计算。罚金限本判决书生效之日起十日内缴纳）。</w:t>
      </w:r>
    </w:p>
    <w:p>
      <w:pPr>
        <w:ind w:right="-32" w:rightChars="-10" w:firstLine="640" w:firstLineChars="200"/>
        <w:rPr>
          <w:rFonts w:hint="eastAsia" w:ascii="仿宋_GB2312"/>
          <w:szCs w:val="32"/>
        </w:rPr>
      </w:pPr>
      <w:r>
        <w:rPr>
          <w:rFonts w:hint="eastAsia" w:ascii="仿宋_GB2312"/>
          <w:szCs w:val="32"/>
        </w:rPr>
        <w:t>如不服本判决，可于接到判决书第二日起十日内，通过本院或直接上诉于天津市第二中级人民法院。书面上诉的，应交上诉状正本一份，副本二份。</w:t>
      </w:r>
    </w:p>
    <w:p>
      <w:pPr>
        <w:ind w:right="-320" w:rightChars="-100" w:firstLine="4480" w:firstLineChars="1400"/>
        <w:rPr>
          <w:rFonts w:hint="eastAsia" w:ascii="仿宋_GB2312"/>
          <w:szCs w:val="32"/>
        </w:rPr>
      </w:pPr>
    </w:p>
    <w:p>
      <w:pPr>
        <w:ind w:right="-320" w:rightChars="-100" w:firstLine="4480" w:firstLineChars="1400"/>
        <w:rPr>
          <w:rFonts w:hint="eastAsia" w:ascii="仿宋_GB2312"/>
          <w:szCs w:val="32"/>
        </w:rPr>
      </w:pPr>
    </w:p>
    <w:p>
      <w:pPr>
        <w:ind w:right="-320" w:rightChars="-100" w:firstLine="4480" w:firstLineChars="1400"/>
        <w:rPr>
          <w:rFonts w:hint="eastAsia" w:ascii="仿宋_GB2312"/>
          <w:szCs w:val="32"/>
        </w:rPr>
      </w:pPr>
    </w:p>
    <w:p>
      <w:pPr>
        <w:ind w:right="-320" w:rightChars="-100" w:firstLine="4480" w:firstLineChars="1400"/>
        <w:rPr>
          <w:rFonts w:hint="eastAsia" w:ascii="仿宋_GB2312"/>
          <w:szCs w:val="32"/>
        </w:rPr>
      </w:pPr>
      <w:r>
        <w:rPr>
          <w:rFonts w:hint="eastAsia" w:ascii="仿宋_GB2312"/>
          <w:szCs w:val="32"/>
        </w:rPr>
        <w:t>审  判  员    么小燕</w:t>
      </w:r>
    </w:p>
    <w:p>
      <w:pPr>
        <w:ind w:right="-320" w:rightChars="-100"/>
        <w:rPr>
          <w:rFonts w:hint="eastAsia" w:ascii="仿宋_GB2312"/>
          <w:szCs w:val="32"/>
        </w:rPr>
      </w:pPr>
      <w:r>
        <w:rPr>
          <w:rFonts w:hint="eastAsia" w:ascii="仿宋_GB2312"/>
          <w:szCs w:val="32"/>
        </w:rPr>
        <w:t xml:space="preserve">       </w:t>
      </w:r>
    </w:p>
    <w:p>
      <w:pPr>
        <w:ind w:right="-320" w:rightChars="-100" w:firstLine="4470" w:firstLineChars="1397"/>
        <w:rPr>
          <w:rFonts w:hint="eastAsia" w:ascii="仿宋_GB2312"/>
          <w:szCs w:val="32"/>
        </w:rPr>
      </w:pPr>
      <w:r>
        <w:rPr>
          <w:rFonts w:hint="eastAsia" w:ascii="仿宋_GB2312"/>
          <w:szCs w:val="32"/>
        </w:rPr>
        <w:t>二</w:t>
      </w:r>
      <w:r>
        <w:rPr>
          <w:rFonts w:hint="eastAsia" w:ascii="仿宋_GB2312" w:hAnsi="宋体" w:cs="宋体"/>
          <w:szCs w:val="32"/>
        </w:rPr>
        <w:t>〇</w:t>
      </w:r>
      <w:r>
        <w:rPr>
          <w:rFonts w:hint="eastAsia" w:ascii="仿宋_GB2312"/>
          <w:szCs w:val="32"/>
        </w:rPr>
        <w:t>一八年七月十七日</w:t>
      </w:r>
    </w:p>
    <w:p>
      <w:pPr>
        <w:ind w:right="-320" w:rightChars="-100"/>
        <w:rPr>
          <w:rFonts w:hint="eastAsia" w:ascii="仿宋_GB2312"/>
          <w:szCs w:val="32"/>
        </w:rPr>
      </w:pPr>
    </w:p>
    <w:p>
      <w:pPr>
        <w:ind w:right="-320" w:rightChars="-100"/>
        <w:rPr>
          <w:rFonts w:hint="eastAsia" w:ascii="仿宋_GB2312" w:hAnsi="宋体" w:cs="宋体"/>
          <w:szCs w:val="32"/>
        </w:rPr>
      </w:pPr>
      <w:r>
        <w:rPr>
          <w:rFonts w:hint="eastAsia" w:ascii="仿宋_GB2312"/>
          <w:szCs w:val="32"/>
        </w:rPr>
        <w:t xml:space="preserve">                            书  记  员    李雅娟</w:t>
      </w:r>
    </w:p>
    <w:tbl>
      <w:tblPr>
        <w:tblStyle w:val="8"/>
        <w:tblW w:w="12000" w:type="dxa"/>
        <w:jc w:val="center"/>
        <w:tblCellSpacing w:w="0" w:type="dxa"/>
        <w:tblInd w:w="0" w:type="dxa"/>
        <w:shd w:val="clear" w:color="auto" w:fill="C0D7EA"/>
        <w:tblLayout w:type="fixed"/>
        <w:tblCellMar>
          <w:top w:w="0" w:type="dxa"/>
          <w:left w:w="0" w:type="dxa"/>
          <w:bottom w:w="0" w:type="dxa"/>
          <w:right w:w="0" w:type="dxa"/>
        </w:tblCellMar>
      </w:tblPr>
      <w:tblGrid>
        <w:gridCol w:w="12000"/>
      </w:tblGrid>
      <w:tr>
        <w:tblPrEx>
          <w:tblLayout w:type="fixed"/>
          <w:tblCellMar>
            <w:top w:w="0" w:type="dxa"/>
            <w:left w:w="0" w:type="dxa"/>
            <w:bottom w:w="0" w:type="dxa"/>
            <w:right w:w="0" w:type="dxa"/>
          </w:tblCellMar>
        </w:tblPrEx>
        <w:trPr>
          <w:tblCellSpacing w:w="0" w:type="dxa"/>
          <w:jc w:val="center"/>
        </w:trPr>
        <w:tc>
          <w:tcPr>
            <w:tcW w:w="12000" w:type="dxa"/>
            <w:shd w:val="clear" w:color="auto" w:fill="C0D7EA"/>
            <w:vAlign w:val="top"/>
          </w:tcPr>
          <w:tbl>
            <w:tblPr>
              <w:tblStyle w:val="8"/>
              <w:tblpPr w:leftFromText="45" w:rightFromText="45" w:vertAnchor="text"/>
              <w:tblW w:w="8400" w:type="dxa"/>
              <w:tblCellSpacing w:w="0" w:type="dxa"/>
              <w:tblInd w:w="0" w:type="dxa"/>
              <w:tblLayout w:type="fixed"/>
              <w:tblCellMar>
                <w:top w:w="0" w:type="dxa"/>
                <w:left w:w="0" w:type="dxa"/>
                <w:bottom w:w="0" w:type="dxa"/>
                <w:right w:w="0" w:type="dxa"/>
              </w:tblCellMar>
            </w:tblPr>
            <w:tblGrid>
              <w:gridCol w:w="8400"/>
            </w:tblGrid>
            <w:tr>
              <w:tblPrEx>
                <w:tblLayout w:type="fixed"/>
                <w:tblCellMar>
                  <w:top w:w="0" w:type="dxa"/>
                  <w:left w:w="0" w:type="dxa"/>
                  <w:bottom w:w="0" w:type="dxa"/>
                  <w:right w:w="0" w:type="dxa"/>
                </w:tblCellMar>
              </w:tblPrEx>
              <w:trPr>
                <w:tblCellSpacing w:w="0" w:type="dxa"/>
              </w:trPr>
              <w:tc>
                <w:tcPr>
                  <w:tcW w:w="8400" w:type="dxa"/>
                  <w:vAlign w:val="center"/>
                </w:tcPr>
                <w:p>
                  <w:pPr>
                    <w:widowControl/>
                    <w:rPr>
                      <w:rFonts w:hint="eastAsia" w:ascii="仿宋_GB2312" w:hAnsi="宋体" w:cs="宋体"/>
                      <w:color w:val="000000"/>
                      <w:kern w:val="0"/>
                      <w:szCs w:val="32"/>
                    </w:rPr>
                  </w:pPr>
                </w:p>
              </w:tc>
            </w:tr>
          </w:tbl>
          <w:p>
            <w:pPr>
              <w:widowControl/>
              <w:jc w:val="center"/>
              <w:rPr>
                <w:rFonts w:hint="eastAsia" w:ascii="仿宋_GB2312" w:hAnsi="宋体" w:cs="宋体"/>
                <w:color w:val="000000"/>
                <w:kern w:val="0"/>
                <w:szCs w:val="32"/>
              </w:rPr>
            </w:pPr>
          </w:p>
        </w:tc>
      </w:tr>
    </w:tbl>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b/>
          <w:szCs w:val="32"/>
        </w:rPr>
      </w:pPr>
    </w:p>
    <w:p>
      <w:pPr>
        <w:ind w:right="-32" w:rightChars="-10"/>
        <w:rPr>
          <w:rFonts w:hint="eastAsia" w:ascii="仿宋_GB2312" w:hAnsi="宋体"/>
          <w:szCs w:val="32"/>
        </w:rPr>
      </w:pPr>
      <w:r>
        <w:rPr>
          <w:rFonts w:hint="eastAsia" w:ascii="仿宋_GB2312" w:hAnsi="宋体"/>
          <w:b/>
          <w:szCs w:val="32"/>
        </w:rPr>
        <w:t>附：法律释明</w:t>
      </w:r>
    </w:p>
    <w:p>
      <w:pPr>
        <w:ind w:right="-32" w:rightChars="-10" w:firstLine="643" w:firstLineChars="200"/>
        <w:rPr>
          <w:rFonts w:hint="eastAsia" w:ascii="仿宋_GB2312" w:hAnsi="宋体"/>
          <w:b/>
          <w:szCs w:val="32"/>
        </w:rPr>
      </w:pPr>
      <w:r>
        <w:rPr>
          <w:rFonts w:hint="eastAsia" w:ascii="仿宋_GB2312" w:hAnsi="宋体"/>
          <w:b/>
          <w:szCs w:val="32"/>
        </w:rPr>
        <w:t>《中华人民共和国刑法》</w:t>
      </w:r>
    </w:p>
    <w:p>
      <w:pPr>
        <w:ind w:right="-32" w:rightChars="-10" w:firstLine="643" w:firstLineChars="200"/>
        <w:rPr>
          <w:rFonts w:hint="eastAsia" w:ascii="仿宋_GB2312"/>
          <w:szCs w:val="32"/>
        </w:rPr>
      </w:pPr>
      <w:r>
        <w:rPr>
          <w:rFonts w:hint="eastAsia" w:ascii="仿宋_GB2312"/>
          <w:b/>
          <w:szCs w:val="32"/>
        </w:rPr>
        <w:t xml:space="preserve">第一百九十六条 </w:t>
      </w:r>
      <w:r>
        <w:rPr>
          <w:rFonts w:hint="eastAsia" w:ascii="仿宋_GB231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ind w:right="-32" w:rightChars="-10" w:firstLine="640" w:firstLineChars="200"/>
        <w:rPr>
          <w:rFonts w:hint="eastAsia" w:ascii="仿宋_GB2312"/>
          <w:szCs w:val="32"/>
        </w:rPr>
      </w:pPr>
      <w:r>
        <w:rPr>
          <w:rFonts w:hint="eastAsia" w:ascii="仿宋_GB2312"/>
          <w:szCs w:val="32"/>
        </w:rPr>
        <w:t>（一）使用伪造的信用卡，或者使用以虚假的身份证明骗领的信用卡的；</w:t>
      </w:r>
    </w:p>
    <w:p>
      <w:pPr>
        <w:ind w:right="-32" w:rightChars="-10" w:firstLine="640" w:firstLineChars="200"/>
        <w:rPr>
          <w:rFonts w:hint="eastAsia" w:ascii="仿宋_GB2312"/>
          <w:szCs w:val="32"/>
        </w:rPr>
      </w:pPr>
      <w:r>
        <w:rPr>
          <w:rFonts w:hint="eastAsia" w:ascii="仿宋_GB2312"/>
          <w:szCs w:val="32"/>
        </w:rPr>
        <w:t>（二）使用作废的信用卡的；</w:t>
      </w:r>
    </w:p>
    <w:p>
      <w:pPr>
        <w:ind w:right="-32" w:rightChars="-10" w:firstLine="640" w:firstLineChars="200"/>
        <w:rPr>
          <w:rFonts w:hint="eastAsia" w:ascii="仿宋_GB2312"/>
          <w:szCs w:val="32"/>
        </w:rPr>
      </w:pPr>
      <w:r>
        <w:rPr>
          <w:rFonts w:hint="eastAsia" w:ascii="仿宋_GB2312"/>
          <w:szCs w:val="32"/>
        </w:rPr>
        <w:t>（三）冒用他人信用卡的；</w:t>
      </w:r>
    </w:p>
    <w:p>
      <w:pPr>
        <w:ind w:right="-32" w:rightChars="-10" w:firstLine="640" w:firstLineChars="200"/>
        <w:rPr>
          <w:rFonts w:hint="eastAsia" w:ascii="仿宋_GB2312"/>
          <w:szCs w:val="32"/>
        </w:rPr>
      </w:pPr>
      <w:r>
        <w:rPr>
          <w:rFonts w:hint="eastAsia" w:ascii="仿宋_GB2312"/>
          <w:szCs w:val="32"/>
        </w:rPr>
        <w:t>（四）恶意透支的。</w:t>
      </w:r>
    </w:p>
    <w:p>
      <w:pPr>
        <w:ind w:right="-32" w:rightChars="-10" w:firstLine="640" w:firstLineChars="200"/>
        <w:rPr>
          <w:rFonts w:hint="eastAsia" w:ascii="仿宋_GB2312"/>
          <w:szCs w:val="32"/>
        </w:rPr>
      </w:pPr>
      <w:r>
        <w:rPr>
          <w:rFonts w:hint="eastAsia" w:ascii="仿宋_GB2312"/>
          <w:szCs w:val="32"/>
        </w:rPr>
        <w:t>前款所称恶意透支，是指持卡人以非法占有为目的，超过规定限额或者规定期限透支，并且经发卡银行催收后仍不归还的行为。</w:t>
      </w:r>
    </w:p>
    <w:p>
      <w:pPr>
        <w:ind w:right="-32" w:rightChars="-10" w:firstLine="640" w:firstLineChars="200"/>
        <w:rPr>
          <w:rFonts w:hint="eastAsia" w:ascii="仿宋_GB2312"/>
          <w:szCs w:val="32"/>
        </w:rPr>
      </w:pPr>
      <w:r>
        <w:rPr>
          <w:rFonts w:hint="eastAsia" w:ascii="仿宋_GB2312"/>
          <w:szCs w:val="32"/>
        </w:rPr>
        <w:t xml:space="preserve">盗窃信用卡并使用的，依照本法第二百六十四条的规定定罪处罚。 </w:t>
      </w:r>
    </w:p>
    <w:p>
      <w:pPr>
        <w:ind w:right="-32" w:rightChars="-10" w:firstLine="643" w:firstLineChars="200"/>
        <w:rPr>
          <w:rFonts w:hint="eastAsia" w:ascii="仿宋_GB2312" w:hAnsi="宋体"/>
          <w:bCs/>
          <w:szCs w:val="32"/>
        </w:rPr>
      </w:pPr>
      <w:r>
        <w:rPr>
          <w:rFonts w:hint="eastAsia" w:ascii="仿宋_GB2312"/>
          <w:b/>
          <w:bCs/>
          <w:szCs w:val="32"/>
        </w:rPr>
        <w:t>第六十七条第三款</w:t>
      </w:r>
      <w:r>
        <w:rPr>
          <w:rFonts w:hint="eastAsia" w:ascii="仿宋_GB2312"/>
          <w:bCs/>
          <w:szCs w:val="32"/>
        </w:rPr>
        <w:t xml:space="preserve"> </w:t>
      </w:r>
      <w:r>
        <w:rPr>
          <w:rFonts w:hint="eastAsia" w:ascii="仿宋_GB2312" w:hAnsi="宋体"/>
          <w:bCs/>
          <w:szCs w:val="32"/>
        </w:rPr>
        <w:t>犯罪嫌疑人虽不具有前两款规定的自首情节，但是如实供述自己罪行的，可以从轻处罚；因其如实供述自己罪行，避免特别严重后果发生的，可以减轻处罚。</w:t>
      </w:r>
    </w:p>
    <w:p>
      <w:pPr>
        <w:ind w:right="-32" w:rightChars="-10" w:firstLine="643" w:firstLineChars="200"/>
        <w:rPr>
          <w:rFonts w:hint="eastAsia" w:ascii="仿宋_GB2312"/>
          <w:szCs w:val="32"/>
        </w:rPr>
      </w:pPr>
      <w:r>
        <w:rPr>
          <w:rFonts w:hint="eastAsia" w:ascii="仿宋_GB2312"/>
          <w:b/>
          <w:bCs/>
          <w:szCs w:val="32"/>
        </w:rPr>
        <w:t>第七十二条第一款</w:t>
      </w:r>
      <w:r>
        <w:rPr>
          <w:rFonts w:hint="eastAsia" w:ascii="仿宋_GB2312"/>
          <w:szCs w:val="32"/>
        </w:rPr>
        <w:t>　对于被判处拘役、三年以下有期徒刑的犯罪分子，同时符合下列条件的，可以宣告缓刑，对其中不满十八周岁的人、怀孕的妇女和已满七十五周岁的人，应当宣告缓刑：</w:t>
      </w:r>
    </w:p>
    <w:p>
      <w:pPr>
        <w:numPr>
          <w:ilvl w:val="0"/>
          <w:numId w:val="1"/>
        </w:numPr>
        <w:ind w:right="-32" w:rightChars="-10"/>
        <w:rPr>
          <w:rFonts w:hint="eastAsia" w:ascii="仿宋_GB2312"/>
          <w:szCs w:val="32"/>
        </w:rPr>
      </w:pPr>
      <w:r>
        <w:rPr>
          <w:rFonts w:hint="eastAsia" w:ascii="仿宋_GB2312"/>
          <w:szCs w:val="32"/>
        </w:rPr>
        <w:t>犯罪情节较轻；</w:t>
      </w:r>
    </w:p>
    <w:p>
      <w:pPr>
        <w:numPr>
          <w:ilvl w:val="0"/>
          <w:numId w:val="1"/>
        </w:numPr>
        <w:ind w:right="-32" w:rightChars="-10"/>
        <w:rPr>
          <w:rFonts w:hint="eastAsia" w:ascii="仿宋_GB2312"/>
          <w:szCs w:val="32"/>
        </w:rPr>
      </w:pPr>
      <w:r>
        <w:rPr>
          <w:rFonts w:hint="eastAsia" w:ascii="仿宋_GB2312"/>
          <w:szCs w:val="32"/>
        </w:rPr>
        <w:t>有悔罪表现；</w:t>
      </w:r>
    </w:p>
    <w:p>
      <w:pPr>
        <w:numPr>
          <w:ilvl w:val="0"/>
          <w:numId w:val="1"/>
        </w:numPr>
        <w:ind w:right="-32" w:rightChars="-10"/>
        <w:rPr>
          <w:rFonts w:hint="eastAsia" w:ascii="仿宋_GB2312"/>
          <w:szCs w:val="32"/>
        </w:rPr>
      </w:pPr>
      <w:r>
        <w:rPr>
          <w:rFonts w:hint="eastAsia" w:ascii="仿宋_GB2312"/>
          <w:szCs w:val="32"/>
        </w:rPr>
        <w:t>没有再犯罪的危险；</w:t>
      </w:r>
    </w:p>
    <w:p>
      <w:pPr>
        <w:numPr>
          <w:ilvl w:val="0"/>
          <w:numId w:val="1"/>
        </w:numPr>
        <w:ind w:right="-32" w:rightChars="-10"/>
        <w:rPr>
          <w:rFonts w:hint="eastAsia" w:ascii="仿宋_GB2312"/>
          <w:szCs w:val="32"/>
        </w:rPr>
      </w:pPr>
      <w:r>
        <w:rPr>
          <w:rFonts w:hint="eastAsia" w:ascii="仿宋_GB2312"/>
          <w:szCs w:val="32"/>
        </w:rPr>
        <w:t>宣告缓刑对所居住社区没有重大不良影响。</w:t>
      </w:r>
    </w:p>
    <w:p>
      <w:pPr>
        <w:ind w:right="-32" w:rightChars="-10" w:firstLine="643" w:firstLineChars="200"/>
        <w:rPr>
          <w:rFonts w:hint="eastAsia" w:ascii="仿宋_GB2312"/>
          <w:szCs w:val="32"/>
        </w:rPr>
      </w:pPr>
      <w:r>
        <w:rPr>
          <w:rFonts w:hint="eastAsia" w:ascii="仿宋_GB2312"/>
          <w:b/>
          <w:bCs/>
          <w:szCs w:val="32"/>
        </w:rPr>
        <w:t>第七十六条</w:t>
      </w:r>
      <w:r>
        <w:rPr>
          <w:rFonts w:hint="eastAsia" w:ascii="仿宋_GB2312"/>
          <w:szCs w:val="32"/>
        </w:rPr>
        <w:t>　对宣告缓刑的犯罪分子，在缓刑考验期限内，依法实行社区矫正，如果没有本法第七十七条规定的情形，缓刑考验期满，原判的刑罚就不再执行，并公开予以宣告。</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2</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D3533"/>
    <w:multiLevelType w:val="multilevel"/>
    <w:tmpl w:val="2A7D3533"/>
    <w:lvl w:ilvl="0" w:tentative="0">
      <w:start w:val="1"/>
      <w:numFmt w:val="japaneseCounting"/>
      <w:lvlText w:val="（%1）"/>
      <w:lvlJc w:val="left"/>
      <w:pPr>
        <w:tabs>
          <w:tab w:val="left" w:pos="1756"/>
        </w:tabs>
        <w:ind w:left="1756" w:hanging="1080"/>
      </w:pPr>
      <w:rPr>
        <w:rFonts w:hint="default"/>
      </w:rPr>
    </w:lvl>
    <w:lvl w:ilvl="1" w:tentative="0">
      <w:start w:val="1"/>
      <w:numFmt w:val="lowerLetter"/>
      <w:lvlText w:val="%2)"/>
      <w:lvlJc w:val="left"/>
      <w:pPr>
        <w:tabs>
          <w:tab w:val="left" w:pos="1516"/>
        </w:tabs>
        <w:ind w:left="1516" w:hanging="420"/>
      </w:pPr>
    </w:lvl>
    <w:lvl w:ilvl="2" w:tentative="0">
      <w:start w:val="1"/>
      <w:numFmt w:val="lowerRoman"/>
      <w:lvlText w:val="%3."/>
      <w:lvlJc w:val="right"/>
      <w:pPr>
        <w:tabs>
          <w:tab w:val="left" w:pos="1936"/>
        </w:tabs>
        <w:ind w:left="1936" w:hanging="420"/>
      </w:pPr>
    </w:lvl>
    <w:lvl w:ilvl="3" w:tentative="0">
      <w:start w:val="1"/>
      <w:numFmt w:val="decimal"/>
      <w:lvlText w:val="%4."/>
      <w:lvlJc w:val="left"/>
      <w:pPr>
        <w:tabs>
          <w:tab w:val="left" w:pos="2356"/>
        </w:tabs>
        <w:ind w:left="2356" w:hanging="420"/>
      </w:pPr>
    </w:lvl>
    <w:lvl w:ilvl="4" w:tentative="0">
      <w:start w:val="1"/>
      <w:numFmt w:val="lowerLetter"/>
      <w:lvlText w:val="%5)"/>
      <w:lvlJc w:val="left"/>
      <w:pPr>
        <w:tabs>
          <w:tab w:val="left" w:pos="2776"/>
        </w:tabs>
        <w:ind w:left="2776" w:hanging="420"/>
      </w:pPr>
    </w:lvl>
    <w:lvl w:ilvl="5" w:tentative="0">
      <w:start w:val="1"/>
      <w:numFmt w:val="lowerRoman"/>
      <w:lvlText w:val="%6."/>
      <w:lvlJc w:val="right"/>
      <w:pPr>
        <w:tabs>
          <w:tab w:val="left" w:pos="3196"/>
        </w:tabs>
        <w:ind w:left="3196" w:hanging="420"/>
      </w:pPr>
    </w:lvl>
    <w:lvl w:ilvl="6" w:tentative="0">
      <w:start w:val="1"/>
      <w:numFmt w:val="decimal"/>
      <w:lvlText w:val="%7."/>
      <w:lvlJc w:val="left"/>
      <w:pPr>
        <w:tabs>
          <w:tab w:val="left" w:pos="3616"/>
        </w:tabs>
        <w:ind w:left="3616" w:hanging="420"/>
      </w:pPr>
    </w:lvl>
    <w:lvl w:ilvl="7" w:tentative="0">
      <w:start w:val="1"/>
      <w:numFmt w:val="lowerLetter"/>
      <w:lvlText w:val="%8)"/>
      <w:lvlJc w:val="left"/>
      <w:pPr>
        <w:tabs>
          <w:tab w:val="left" w:pos="4036"/>
        </w:tabs>
        <w:ind w:left="4036" w:hanging="420"/>
      </w:pPr>
    </w:lvl>
    <w:lvl w:ilvl="8" w:tentative="0">
      <w:start w:val="1"/>
      <w:numFmt w:val="lowerRoman"/>
      <w:lvlText w:val="%9."/>
      <w:lvlJc w:val="right"/>
      <w:pPr>
        <w:tabs>
          <w:tab w:val="left" w:pos="4456"/>
        </w:tabs>
        <w:ind w:left="445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210139F5"/>
    <w:rsid w:val="44D27FD9"/>
    <w:rsid w:val="63C568AD"/>
    <w:rsid w:val="6B4E3B9F"/>
    <w:rsid w:val="77BA67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400" w:lineRule="exact"/>
      <w:ind w:right="-6" w:firstLine="640" w:firstLineChars="200"/>
    </w:pPr>
    <w:rPr>
      <w:rFonts w:ascii="仿宋_GB2312"/>
      <w:szCs w:val="32"/>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styleId="7">
    <w:name w:val="Hyperlink"/>
    <w:basedOn w:val="5"/>
    <w:unhideWhenUsed/>
    <w:uiPriority w:val="99"/>
    <w:rPr>
      <w:color w:val="0000FF"/>
      <w:u w:val="single"/>
    </w:rPr>
  </w:style>
  <w:style w:type="character" w:customStyle="1" w:styleId="9">
    <w:name w:val="页眉 Char"/>
    <w:basedOn w:val="5"/>
    <w:link w:val="4"/>
    <w:uiPriority w:val="0"/>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265</Words>
  <Characters>1512</Characters>
  <Lines>12</Lines>
  <Paragraphs>3</Paragraphs>
  <TotalTime>0</TotalTime>
  <ScaleCrop>false</ScaleCrop>
  <LinksUpToDate>false</LinksUpToDate>
  <CharactersWithSpaces>1774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2018-07-09T05:50:00Z</dcterms:created>
  <dc:creator>china</dc:creator>
  <cp:lastModifiedBy>TF-PC</cp:lastModifiedBy>
  <dcterms:modified xsi:type="dcterms:W3CDTF">2018-08-27T09:39:13Z</dcterms:modified>
  <dc:title>天津市滨海新区人民法院刑事判决书（稿）</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