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800" w:lineRule="exact"/>
        <w:ind w:firstLine="2200" w:firstLineChars="500"/>
        <w:rPr>
          <w:rFonts w:hint="eastAsia"/>
          <w:sz w:val="28"/>
          <w:szCs w:val="28"/>
        </w:rPr>
      </w:pPr>
      <w:bookmarkStart w:id="0" w:name="_GoBack"/>
      <w:bookmarkEnd w:id="0"/>
      <w:r>
        <w:rPr>
          <w:rFonts w:hint="eastAsia"/>
          <w:sz w:val="44"/>
          <w:szCs w:val="44"/>
        </w:rPr>
        <w:t xml:space="preserve">天津市东丽区人民法院     </w:t>
      </w:r>
    </w:p>
    <w:p>
      <w:pPr>
        <w:spacing w:line="800" w:lineRule="exact"/>
        <w:jc w:val="center"/>
        <w:rPr>
          <w:rFonts w:hint="eastAsia"/>
          <w:spacing w:val="50"/>
          <w:sz w:val="52"/>
          <w:szCs w:val="52"/>
        </w:rPr>
      </w:pPr>
      <w:r>
        <w:rPr>
          <w:rFonts w:hint="eastAsia"/>
          <w:spacing w:val="50"/>
          <w:sz w:val="52"/>
          <w:szCs w:val="52"/>
        </w:rPr>
        <w:t>刑 事 判 决 书</w:t>
      </w:r>
    </w:p>
    <w:p>
      <w:pPr>
        <w:spacing w:line="800" w:lineRule="exact"/>
        <w:jc w:val="center"/>
        <w:rPr>
          <w:rFonts w:hint="eastAsia" w:ascii="仿宋_GB2312" w:eastAsia="仿宋_GB2312"/>
          <w:sz w:val="32"/>
          <w:szCs w:val="32"/>
        </w:rPr>
      </w:pPr>
      <w:r>
        <w:rPr>
          <w:rFonts w:hint="eastAsia"/>
          <w:sz w:val="28"/>
          <w:szCs w:val="28"/>
        </w:rPr>
        <w:t xml:space="preserve">                                    （</w:t>
      </w:r>
      <w:r>
        <w:rPr>
          <w:rFonts w:hint="eastAsia" w:ascii="仿宋_GB2312" w:eastAsia="仿宋_GB2312"/>
          <w:sz w:val="32"/>
          <w:szCs w:val="32"/>
        </w:rPr>
        <w:t>2014）丽刑初字第461号</w:t>
      </w:r>
    </w:p>
    <w:p>
      <w:pPr>
        <w:ind w:firstLine="640" w:firstLineChars="200"/>
        <w:rPr>
          <w:rFonts w:hint="eastAsia" w:ascii="仿宋_GB2312" w:eastAsia="仿宋_GB2312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公诉机关天津市东丽区人民检察院。</w:t>
      </w:r>
    </w:p>
    <w:p>
      <w:pPr>
        <w:spacing w:line="500" w:lineRule="exact"/>
        <w:ind w:firstLine="645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被告人吴昊（身份证号码120102198409103219），男，1984年9月10日出生于天津市，汉族，中专文化，户籍地天津市河东区天山路环秀东里21号楼4门503号，现住天津市东丽区金泰丽湾嘉园7号楼2门1203号。因本案于2014年5月8日被刑事拘留，同年5月15日被取保候审。</w:t>
      </w:r>
    </w:p>
    <w:p>
      <w:pPr>
        <w:spacing w:line="500" w:lineRule="exact"/>
        <w:ind w:firstLine="645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天津市东丽区人民检察院以津丽检公诉刑诉（2014）466号起诉书指控被告人吴昊犯信用卡诈骗罪，于2014年8月5日向本院提起公诉。本院依法适用简易程序，实行独任审判，公开开庭审理了本案。天津市东丽区人民检察院指派代理检察员胡西茂出庭支持公诉，被告人吴昊到庭参加了诉讼。现已审理终结。</w:t>
      </w:r>
    </w:p>
    <w:p>
      <w:pPr>
        <w:spacing w:line="500" w:lineRule="exact"/>
        <w:ind w:firstLine="645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公诉机关指控，2011年9月20日，被告人吴昊在中信银行申领信用卡一张（卡号为6226880002036606）。2013年4月28日最后一次还款，后经发卡银行多次催收一直未再还款，透支本金共计人民币39927.44元。</w:t>
      </w:r>
    </w:p>
    <w:p>
      <w:pPr>
        <w:spacing w:line="500" w:lineRule="exact"/>
        <w:ind w:firstLine="645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2014年5月8日，被告人吴昊到公安机关投案，并归还欠款人民币33000元。</w:t>
      </w:r>
    </w:p>
    <w:p>
      <w:pPr>
        <w:spacing w:line="500" w:lineRule="exact"/>
        <w:ind w:firstLine="645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本案在审理过程中，被告人吴昊主动归还余款6928元。</w:t>
      </w:r>
    </w:p>
    <w:p>
      <w:pPr>
        <w:spacing w:line="500" w:lineRule="exact"/>
        <w:ind w:firstLine="645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上述事实，被告人吴昊在开庭审理过程中亦无异议，并有中信银行工作人员肖静的陈述、证人王惠娜的证言、信用卡申领手续、催收证明、扣押及发还物品的清单及缴款凭证、案件来源及抓获经过、被告人户籍证明等证据证实，足以认定。</w:t>
      </w:r>
    </w:p>
    <w:p>
      <w:pPr>
        <w:spacing w:line="500" w:lineRule="exact"/>
        <w:ind w:firstLine="645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本院认为，被告人吴昊以非法占有为目的，恶意透支信用卡，经发卡银行多次催收后超过三个月仍不归还，数额较大，其行为构成信用卡诈骗罪，依法应予以处罚，公诉机关指控意见正确，本院予以采纳。被告人吴昊主动投案，如实供述犯罪事实，系自首，可从轻处罚。被告人吴昊庭审前已归还全部欠款，具有较好的悔罪表现，可酌情从轻处罚并可适用缓刑。综上，本院依照《中华人民共和国刑法》第一百九十六条第一款第（四）项、第六十七条第一款、第七十二条、第七十三条、第七十六条、第六十四条之规定，判决如下：</w:t>
      </w:r>
    </w:p>
    <w:p>
      <w:pPr>
        <w:numPr>
          <w:ilvl w:val="0"/>
          <w:numId w:val="1"/>
        </w:numPr>
        <w:spacing w:line="500" w:lineRule="exact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被告人吴昊犯信用卡诈骗罪，判处有期徒刑十月，缓</w:t>
      </w:r>
    </w:p>
    <w:p>
      <w:pPr>
        <w:spacing w:line="500" w:lineRule="exact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刑一年，并处罚金人民币20000元。被告人在缓刑考验期内，依法实行社区矫正。</w:t>
      </w:r>
    </w:p>
    <w:p>
      <w:pPr>
        <w:spacing w:line="500" w:lineRule="exact"/>
        <w:ind w:firstLine="645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（缓刑考验期自本判决确定之日起计算）</w:t>
      </w:r>
    </w:p>
    <w:p>
      <w:pPr>
        <w:spacing w:line="500" w:lineRule="exact"/>
        <w:ind w:right="-178" w:rightChars="-85" w:firstLine="645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罚金自本判决生效后十日内交付本院。</w:t>
      </w:r>
    </w:p>
    <w:p>
      <w:pPr>
        <w:spacing w:line="500" w:lineRule="exac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    二、被告人吴昊退缴的赃款人民币6928元，发还中信银行。</w:t>
      </w:r>
    </w:p>
    <w:p>
      <w:pPr>
        <w:spacing w:line="500" w:lineRule="exac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    如不服本判决，可在接到判决书的第二日起十日内，通过本院或直接向天津市第二中级人民法院提出上诉，书面上诉的，应交上诉状正本一份，副本二份。</w:t>
      </w:r>
    </w:p>
    <w:p>
      <w:pPr>
        <w:spacing w:line="500" w:lineRule="exact"/>
        <w:ind w:firstLine="5120" w:firstLineChars="16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审 判 员   孙宝芳</w:t>
      </w:r>
    </w:p>
    <w:p>
      <w:pPr>
        <w:spacing w:line="500" w:lineRule="exact"/>
        <w:ind w:left="5120" w:hanging="5120" w:hangingChars="1600"/>
        <w:rPr>
          <w:rFonts w:hint="eastAsia" w:ascii="仿宋_GB2312" w:eastAsia="仿宋_GB2312"/>
          <w:sz w:val="32"/>
          <w:szCs w:val="32"/>
        </w:rPr>
      </w:pPr>
    </w:p>
    <w:p>
      <w:pPr>
        <w:spacing w:line="500" w:lineRule="exact"/>
        <w:ind w:firstLine="4800" w:firstLineChars="15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二</w:t>
      </w:r>
      <w:r>
        <w:rPr>
          <w:rFonts w:hint="eastAsia" w:ascii="宋体" w:hAnsi="宋体" w:cs="宋体"/>
          <w:sz w:val="32"/>
          <w:szCs w:val="32"/>
        </w:rPr>
        <w:t>〇</w:t>
      </w:r>
      <w:r>
        <w:rPr>
          <w:rFonts w:hint="eastAsia" w:ascii="仿宋_GB2312" w:hAnsi="仿宋_GB2312" w:eastAsia="仿宋_GB2312" w:cs="仿宋_GB2312"/>
          <w:sz w:val="32"/>
          <w:szCs w:val="32"/>
        </w:rPr>
        <w:t>一四年八月二十</w:t>
      </w:r>
      <w:r>
        <w:rPr>
          <w:rFonts w:hint="eastAsia" w:ascii="仿宋_GB2312" w:eastAsia="仿宋_GB2312"/>
          <w:sz w:val="32"/>
          <w:szCs w:val="32"/>
        </w:rPr>
        <w:t>日</w:t>
      </w:r>
    </w:p>
    <w:p>
      <w:pPr>
        <w:spacing w:line="500" w:lineRule="exact"/>
        <w:ind w:left="5120" w:hanging="5120" w:hangingChars="16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                                                                  </w:t>
      </w:r>
    </w:p>
    <w:p>
      <w:pPr>
        <w:spacing w:line="500" w:lineRule="exac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                                书 记 员   李  陆</w:t>
      </w:r>
    </w:p>
    <w:p>
      <w:pPr>
        <w:spacing w:line="500" w:lineRule="exact"/>
        <w:ind w:firstLine="4960" w:firstLineChars="155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 速 录 员   吴  伟</w:t>
      </w:r>
    </w:p>
    <w:p>
      <w:pPr>
        <w:spacing w:line="520" w:lineRule="exact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本判决（或裁定）所依据的相关法律、法规</w:t>
      </w:r>
    </w:p>
    <w:p>
      <w:pPr>
        <w:rPr>
          <w:rFonts w:hint="eastAsia" w:ascii="仿宋_GB2312" w:hAnsi="宋体" w:eastAsia="仿宋_GB2312"/>
          <w:color w:val="000000"/>
          <w:kern w:val="0"/>
          <w:sz w:val="32"/>
          <w:szCs w:val="32"/>
        </w:rPr>
      </w:pPr>
    </w:p>
    <w:p>
      <w:pPr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kern w:val="0"/>
          <w:sz w:val="32"/>
          <w:szCs w:val="32"/>
        </w:rPr>
        <w:t>一、</w:t>
      </w:r>
      <w:r>
        <w:rPr>
          <w:rFonts w:hint="eastAsia" w:ascii="仿宋_GB2312" w:eastAsia="仿宋_GB2312"/>
          <w:sz w:val="32"/>
          <w:szCs w:val="32"/>
        </w:rPr>
        <w:t>《中华人民共和国刑法》第一百九十六条：有下列情形之一，进行信用卡诈骗活动，数额较大的，处五年以下有期徒刑或者拘役，并处二万元以上二十万元以下罚金；数额巨大或者有其他严重情节的，处五年以上十年以下有期徒刑，并处五万元以上五十万元以下罚金；数额特别巨大或者有其他特别严重情节的，处十年以上有期徒刑或者无期徒刑，并处五万元以上五十万元以下罚金或者没收财产：</w:t>
      </w:r>
    </w:p>
    <w:p>
      <w:pPr>
        <w:ind w:left="628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（一）使用伪造的信用卡，或者使用以虚假身份证明骗领</w:t>
      </w:r>
    </w:p>
    <w:p>
      <w:pPr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的信用卡的；</w:t>
      </w:r>
    </w:p>
    <w:p>
      <w:pPr>
        <w:ind w:left="628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（二）使用作废的信用卡的；</w:t>
      </w:r>
    </w:p>
    <w:p>
      <w:pPr>
        <w:ind w:left="628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（三）冒用他人信用卡的；</w:t>
      </w:r>
    </w:p>
    <w:p>
      <w:pPr>
        <w:ind w:left="628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（四）恶意透支的。</w:t>
      </w:r>
    </w:p>
    <w:p>
      <w:pPr>
        <w:ind w:left="628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前款所称恶意透支，是指持卡人以非法占有为目的，超过</w:t>
      </w:r>
    </w:p>
    <w:p>
      <w:pPr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规定限额或者规定期限透支，并且经发卡银行催收后仍不归还的行为。</w:t>
      </w:r>
    </w:p>
    <w:p>
      <w:pPr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盗窃信用卡并使用的，依照本法第二百六十四条的规定定罪处罚。</w:t>
      </w:r>
    </w:p>
    <w:p>
      <w:pPr>
        <w:ind w:right="-4"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二、《中华人民共和国刑法》第六十四条：犯罪分子违法所得的一切赃物，应当予以追缴或责令退赔；对被害人的合法财产，应当及时返还；违禁品和供犯罪所用的本人财物，应当予以没收。没收的财物和罚金，一律上缴国库，不得挪用和自行处理。</w:t>
      </w:r>
    </w:p>
    <w:p>
      <w:pPr>
        <w:ind w:right="-4"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三、《中华人民共和国刑法》第六十七条第一款：犯罪以后自动投案，如实供述自己的罪行的，是自首。对于自首的犯罪分子，可以从轻或者减轻处罚。其中犯罪较轻的，可免除处罚。</w:t>
      </w:r>
    </w:p>
    <w:p>
      <w:pPr>
        <w:ind w:right="310"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四、《中华人民共和国刑法》第七十二条：对于被判处拘役、三年以下有期徒刑的犯罪分子，同时符合下列条件的，可以宣告缓刑，对其中不满十八周岁人、怀孕的妇女和已满七十五周岁的人，应当宣告缓刑：</w:t>
      </w:r>
    </w:p>
    <w:p>
      <w:pPr>
        <w:numPr>
          <w:ilvl w:val="0"/>
          <w:numId w:val="2"/>
        </w:numPr>
        <w:ind w:right="31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犯罪情节较轻；</w:t>
      </w:r>
    </w:p>
    <w:p>
      <w:pPr>
        <w:numPr>
          <w:ilvl w:val="0"/>
          <w:numId w:val="2"/>
        </w:numPr>
        <w:ind w:right="31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有悔罪表现；</w:t>
      </w:r>
    </w:p>
    <w:p>
      <w:pPr>
        <w:numPr>
          <w:ilvl w:val="0"/>
          <w:numId w:val="2"/>
        </w:numPr>
        <w:ind w:right="31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没有再犯罪的危险；</w:t>
      </w:r>
    </w:p>
    <w:p>
      <w:pPr>
        <w:numPr>
          <w:ilvl w:val="0"/>
          <w:numId w:val="2"/>
        </w:numPr>
        <w:ind w:right="31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宣告缓刑对所居住社区没有重大不良影响。</w:t>
      </w:r>
    </w:p>
    <w:p>
      <w:pPr>
        <w:ind w:left="628" w:right="31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宣告缓刑，可以根据犯罪情况，同时禁止犯罪分子在缓</w:t>
      </w:r>
    </w:p>
    <w:p>
      <w:pPr>
        <w:ind w:right="31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刑考验期内从事特定活动，进入特定区域，接触特定的人。</w:t>
      </w:r>
    </w:p>
    <w:p>
      <w:pPr>
        <w:tabs>
          <w:tab w:val="left" w:pos="8478"/>
        </w:tabs>
        <w:ind w:right="310"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被宣告缓刑的犯罪分子，如果被判处附加刑，附加刑仍须执行。</w:t>
      </w:r>
    </w:p>
    <w:p>
      <w:pPr>
        <w:ind w:right="310"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五、《中华人民共和国刑法》第七十三条：拘役的缓刑考验期为原判刑期以上一年以下，但是不能少于二个月。</w:t>
      </w:r>
    </w:p>
    <w:p>
      <w:pPr>
        <w:ind w:right="310"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有期徒刑的缓刑考验期限为原判刑期以上五年以下，但是不能少于一年。</w:t>
      </w:r>
    </w:p>
    <w:p>
      <w:pPr>
        <w:ind w:right="628"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缓刑考验期限，从判决确定之日起计算。</w:t>
      </w:r>
    </w:p>
    <w:p>
      <w:pPr>
        <w:ind w:right="628"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六、《中华人民共和国刑法》第七十六条：对宣告缓刑的犯罪分子，在缓刑考验期限内，依法实行社区矫正，如果没有本法第七十七条规定的情形，缓刑考验期满，原判的刑罚就不再执行，并公开予以宣告。</w:t>
      </w:r>
      <w:r>
        <w:rPr>
          <w:rFonts w:hint="eastAsia" w:ascii="仿宋_GB2312" w:eastAsia="仿宋_GB2312"/>
          <w:b/>
          <w:sz w:val="32"/>
          <w:szCs w:val="32"/>
        </w:rPr>
        <w:t xml:space="preserve"> </w:t>
      </w:r>
      <w:r>
        <w:rPr>
          <w:rFonts w:hint="eastAsia" w:ascii="仿宋_GB2312" w:eastAsia="仿宋_GB2312"/>
          <w:sz w:val="32"/>
          <w:szCs w:val="32"/>
        </w:rPr>
        <w:t xml:space="preserve"> 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701" w:right="1418" w:bottom="1701" w:left="1701" w:header="0" w:footer="1361" w:gutter="0"/>
      <w:cols w:space="425" w:num="1"/>
      <w:docGrid w:linePitch="516" w:charSpace="2620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F778F"/>
    <w:multiLevelType w:val="multilevel"/>
    <w:tmpl w:val="1F2F778F"/>
    <w:lvl w:ilvl="0" w:tentative="0">
      <w:start w:val="1"/>
      <w:numFmt w:val="japaneseCounting"/>
      <w:lvlText w:val="（%1）"/>
      <w:lvlJc w:val="left"/>
      <w:pPr>
        <w:tabs>
          <w:tab w:val="left" w:pos="1708"/>
        </w:tabs>
        <w:ind w:left="1708" w:hanging="10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468"/>
        </w:tabs>
        <w:ind w:left="1468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888"/>
        </w:tabs>
        <w:ind w:left="1888" w:hanging="420"/>
      </w:pPr>
    </w:lvl>
    <w:lvl w:ilvl="3" w:tentative="0">
      <w:start w:val="1"/>
      <w:numFmt w:val="decimal"/>
      <w:lvlText w:val="%4."/>
      <w:lvlJc w:val="left"/>
      <w:pPr>
        <w:tabs>
          <w:tab w:val="left" w:pos="2308"/>
        </w:tabs>
        <w:ind w:left="2308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728"/>
        </w:tabs>
        <w:ind w:left="2728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148"/>
        </w:tabs>
        <w:ind w:left="3148" w:hanging="420"/>
      </w:pPr>
    </w:lvl>
    <w:lvl w:ilvl="6" w:tentative="0">
      <w:start w:val="1"/>
      <w:numFmt w:val="decimal"/>
      <w:lvlText w:val="%7."/>
      <w:lvlJc w:val="left"/>
      <w:pPr>
        <w:tabs>
          <w:tab w:val="left" w:pos="3568"/>
        </w:tabs>
        <w:ind w:left="3568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988"/>
        </w:tabs>
        <w:ind w:left="3988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408"/>
        </w:tabs>
        <w:ind w:left="4408" w:hanging="420"/>
      </w:pPr>
    </w:lvl>
  </w:abstractNum>
  <w:abstractNum w:abstractNumId="1">
    <w:nsid w:val="444B2CE7"/>
    <w:multiLevelType w:val="multilevel"/>
    <w:tmpl w:val="444B2CE7"/>
    <w:lvl w:ilvl="0" w:tentative="0">
      <w:start w:val="1"/>
      <w:numFmt w:val="japaneseCounting"/>
      <w:lvlText w:val="%1、"/>
      <w:lvlJc w:val="left"/>
      <w:pPr>
        <w:tabs>
          <w:tab w:val="left" w:pos="1365"/>
        </w:tabs>
        <w:ind w:left="1365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485"/>
        </w:tabs>
        <w:ind w:left="148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05"/>
        </w:tabs>
        <w:ind w:left="1905" w:hanging="420"/>
      </w:pPr>
    </w:lvl>
    <w:lvl w:ilvl="3" w:tentative="0">
      <w:start w:val="1"/>
      <w:numFmt w:val="decimal"/>
      <w:lvlText w:val="%4."/>
      <w:lvlJc w:val="left"/>
      <w:pPr>
        <w:tabs>
          <w:tab w:val="left" w:pos="2325"/>
        </w:tabs>
        <w:ind w:left="232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745"/>
        </w:tabs>
        <w:ind w:left="274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165"/>
        </w:tabs>
        <w:ind w:left="3165" w:hanging="420"/>
      </w:pPr>
    </w:lvl>
    <w:lvl w:ilvl="6" w:tentative="0">
      <w:start w:val="1"/>
      <w:numFmt w:val="decimal"/>
      <w:lvlText w:val="%7."/>
      <w:lvlJc w:val="left"/>
      <w:pPr>
        <w:tabs>
          <w:tab w:val="left" w:pos="3585"/>
        </w:tabs>
        <w:ind w:left="358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05"/>
        </w:tabs>
        <w:ind w:left="400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425"/>
        </w:tabs>
        <w:ind w:left="442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69"/>
  <w:drawingGridVerticalSpacing w:val="258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C3FD4"/>
    <w:rsid w:val="000070AA"/>
    <w:rsid w:val="00012F44"/>
    <w:rsid w:val="00017366"/>
    <w:rsid w:val="00034E09"/>
    <w:rsid w:val="00037E8B"/>
    <w:rsid w:val="000420BB"/>
    <w:rsid w:val="0006157D"/>
    <w:rsid w:val="00063686"/>
    <w:rsid w:val="0007763A"/>
    <w:rsid w:val="00080277"/>
    <w:rsid w:val="00080429"/>
    <w:rsid w:val="00080E33"/>
    <w:rsid w:val="000A44DC"/>
    <w:rsid w:val="000B770F"/>
    <w:rsid w:val="000D3540"/>
    <w:rsid w:val="000D51E9"/>
    <w:rsid w:val="000F1E18"/>
    <w:rsid w:val="0012293C"/>
    <w:rsid w:val="00133735"/>
    <w:rsid w:val="00165888"/>
    <w:rsid w:val="00165FCD"/>
    <w:rsid w:val="001722D9"/>
    <w:rsid w:val="0019132F"/>
    <w:rsid w:val="0019228E"/>
    <w:rsid w:val="001E1C5F"/>
    <w:rsid w:val="002202BE"/>
    <w:rsid w:val="0022233E"/>
    <w:rsid w:val="00246689"/>
    <w:rsid w:val="002508C1"/>
    <w:rsid w:val="00285095"/>
    <w:rsid w:val="002A7CFE"/>
    <w:rsid w:val="002B25D0"/>
    <w:rsid w:val="002D27BD"/>
    <w:rsid w:val="00312C1E"/>
    <w:rsid w:val="00314201"/>
    <w:rsid w:val="0035221B"/>
    <w:rsid w:val="00354B5C"/>
    <w:rsid w:val="00355224"/>
    <w:rsid w:val="0035627A"/>
    <w:rsid w:val="00372699"/>
    <w:rsid w:val="003A08E8"/>
    <w:rsid w:val="003A7524"/>
    <w:rsid w:val="003C107B"/>
    <w:rsid w:val="003C3FD4"/>
    <w:rsid w:val="003E175F"/>
    <w:rsid w:val="003E1915"/>
    <w:rsid w:val="00420CFC"/>
    <w:rsid w:val="00426450"/>
    <w:rsid w:val="004337D0"/>
    <w:rsid w:val="00457414"/>
    <w:rsid w:val="0047495F"/>
    <w:rsid w:val="00496F24"/>
    <w:rsid w:val="004B598E"/>
    <w:rsid w:val="004B7E35"/>
    <w:rsid w:val="004E65EE"/>
    <w:rsid w:val="005146E9"/>
    <w:rsid w:val="0054343B"/>
    <w:rsid w:val="00571A19"/>
    <w:rsid w:val="00575AF5"/>
    <w:rsid w:val="005B58B8"/>
    <w:rsid w:val="005C1C66"/>
    <w:rsid w:val="005C58A8"/>
    <w:rsid w:val="005D173B"/>
    <w:rsid w:val="005F3DF3"/>
    <w:rsid w:val="005F7FD1"/>
    <w:rsid w:val="006159E4"/>
    <w:rsid w:val="00637A70"/>
    <w:rsid w:val="00640143"/>
    <w:rsid w:val="006406FD"/>
    <w:rsid w:val="0065131A"/>
    <w:rsid w:val="00654D6F"/>
    <w:rsid w:val="00671418"/>
    <w:rsid w:val="00740740"/>
    <w:rsid w:val="00754BC5"/>
    <w:rsid w:val="00756A3B"/>
    <w:rsid w:val="00763404"/>
    <w:rsid w:val="00780D67"/>
    <w:rsid w:val="007871F6"/>
    <w:rsid w:val="007B3CC4"/>
    <w:rsid w:val="007C4D37"/>
    <w:rsid w:val="007E4633"/>
    <w:rsid w:val="0081120E"/>
    <w:rsid w:val="00825E71"/>
    <w:rsid w:val="00833178"/>
    <w:rsid w:val="00840EE9"/>
    <w:rsid w:val="008553DB"/>
    <w:rsid w:val="008D68FE"/>
    <w:rsid w:val="009029D9"/>
    <w:rsid w:val="00920442"/>
    <w:rsid w:val="00922851"/>
    <w:rsid w:val="00923EB5"/>
    <w:rsid w:val="00933C35"/>
    <w:rsid w:val="00941027"/>
    <w:rsid w:val="00950D74"/>
    <w:rsid w:val="009973B3"/>
    <w:rsid w:val="009A12E5"/>
    <w:rsid w:val="009C584C"/>
    <w:rsid w:val="009D7570"/>
    <w:rsid w:val="009E5B1D"/>
    <w:rsid w:val="00A02AB7"/>
    <w:rsid w:val="00A16ED1"/>
    <w:rsid w:val="00A211CA"/>
    <w:rsid w:val="00A2222A"/>
    <w:rsid w:val="00A41D4D"/>
    <w:rsid w:val="00A51132"/>
    <w:rsid w:val="00A5263B"/>
    <w:rsid w:val="00A61573"/>
    <w:rsid w:val="00A7314A"/>
    <w:rsid w:val="00A80850"/>
    <w:rsid w:val="00A83AFD"/>
    <w:rsid w:val="00AA551E"/>
    <w:rsid w:val="00AB327E"/>
    <w:rsid w:val="00AD39D8"/>
    <w:rsid w:val="00B074CD"/>
    <w:rsid w:val="00B21B58"/>
    <w:rsid w:val="00B42C99"/>
    <w:rsid w:val="00B8504A"/>
    <w:rsid w:val="00B9252C"/>
    <w:rsid w:val="00BA2B6F"/>
    <w:rsid w:val="00BA4842"/>
    <w:rsid w:val="00C33BA3"/>
    <w:rsid w:val="00C77FE0"/>
    <w:rsid w:val="00C84795"/>
    <w:rsid w:val="00CC5C22"/>
    <w:rsid w:val="00CD6F46"/>
    <w:rsid w:val="00CE7032"/>
    <w:rsid w:val="00D378DB"/>
    <w:rsid w:val="00D45CA0"/>
    <w:rsid w:val="00D46A0F"/>
    <w:rsid w:val="00D75878"/>
    <w:rsid w:val="00D806EA"/>
    <w:rsid w:val="00DE30AD"/>
    <w:rsid w:val="00DE42F4"/>
    <w:rsid w:val="00E00AFF"/>
    <w:rsid w:val="00E023F4"/>
    <w:rsid w:val="00E13356"/>
    <w:rsid w:val="00E247F6"/>
    <w:rsid w:val="00E34897"/>
    <w:rsid w:val="00E402EF"/>
    <w:rsid w:val="00E459F6"/>
    <w:rsid w:val="00E648AB"/>
    <w:rsid w:val="00E71C77"/>
    <w:rsid w:val="00E850AC"/>
    <w:rsid w:val="00EA7D7C"/>
    <w:rsid w:val="00ED1140"/>
    <w:rsid w:val="00ED4BCF"/>
    <w:rsid w:val="00ED6442"/>
    <w:rsid w:val="00EE34F7"/>
    <w:rsid w:val="00F206BC"/>
    <w:rsid w:val="00F3036F"/>
    <w:rsid w:val="00F64782"/>
    <w:rsid w:val="00F774D5"/>
    <w:rsid w:val="00F84DD5"/>
    <w:rsid w:val="00F84EF8"/>
    <w:rsid w:val="00F935D1"/>
    <w:rsid w:val="00FA24F9"/>
    <w:rsid w:val="00FA44C1"/>
    <w:rsid w:val="00FC2990"/>
    <w:rsid w:val="07D444DC"/>
    <w:rsid w:val="2F6E2229"/>
    <w:rsid w:val="47C20B46"/>
    <w:rsid w:val="754946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uiPriority w:val="0"/>
    <w:pPr>
      <w:ind w:left="100" w:leftChars="2500"/>
    </w:p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微软中国</Company>
  <Pages>1</Pages>
  <Words>331</Words>
  <Characters>1889</Characters>
  <Lines>15</Lines>
  <Paragraphs>4</Paragraphs>
  <TotalTime>0</TotalTime>
  <ScaleCrop>false</ScaleCrop>
  <LinksUpToDate>false</LinksUpToDate>
  <CharactersWithSpaces>2216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2014-08-15T04:24:00Z</dcterms:created>
  <dc:creator>qq</dc:creator>
  <cp:lastModifiedBy>TF-PC</cp:lastModifiedBy>
  <dcterms:modified xsi:type="dcterms:W3CDTF">2018-08-27T09:40:00Z</dcterms:modified>
  <dc:title>天津市东丽区人民法院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