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eastAsia="楷体_GB2312"/>
          <w:sz w:val="44"/>
          <w:szCs w:val="44"/>
        </w:rPr>
      </w:pPr>
      <w:bookmarkStart w:id="0" w:name="_GoBack"/>
      <w:bookmarkEnd w:id="0"/>
      <w:r>
        <w:rPr>
          <w:rFonts w:eastAsia="楷体_GB2312"/>
          <w:sz w:val="44"/>
          <w:szCs w:val="44"/>
        </w:rPr>
        <w:t>天津市河西区人民法院</w:t>
      </w:r>
    </w:p>
    <w:p>
      <w:pPr>
        <w:spacing w:line="360" w:lineRule="auto"/>
        <w:jc w:val="center"/>
        <w:rPr>
          <w:rFonts w:eastAsia="黑体"/>
          <w:sz w:val="52"/>
          <w:szCs w:val="52"/>
        </w:rPr>
      </w:pPr>
      <w:r>
        <w:rPr>
          <w:rFonts w:eastAsia="黑体"/>
          <w:sz w:val="52"/>
          <w:szCs w:val="52"/>
        </w:rPr>
        <w:t>刑 事 判 决 书</w:t>
      </w:r>
    </w:p>
    <w:p>
      <w:pPr>
        <w:spacing w:before="240" w:line="500" w:lineRule="exact"/>
        <w:ind w:firstLine="640" w:firstLineChars="200"/>
        <w:jc w:val="right"/>
        <w:rPr>
          <w:rFonts w:hint="eastAsia" w:eastAsia="仿宋_GB2312"/>
          <w:sz w:val="32"/>
          <w:szCs w:val="32"/>
        </w:rPr>
      </w:pPr>
    </w:p>
    <w:p>
      <w:pPr>
        <w:spacing w:before="240" w:line="500" w:lineRule="exact"/>
        <w:ind w:firstLine="640" w:firstLineChars="200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（2016）津0103刑初578号</w:t>
      </w:r>
    </w:p>
    <w:p>
      <w:pPr>
        <w:spacing w:line="500" w:lineRule="exact"/>
        <w:ind w:firstLine="640" w:firstLineChars="200"/>
        <w:jc w:val="right"/>
        <w:rPr>
          <w:rFonts w:eastAsia="仿宋_GB2312"/>
          <w:sz w:val="32"/>
          <w:szCs w:val="32"/>
        </w:rPr>
      </w:pPr>
    </w:p>
    <w:p>
      <w:pPr>
        <w:spacing w:line="500" w:lineRule="exact"/>
        <w:ind w:firstLine="640" w:firstLineChars="200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公诉机关天津市河西区人民检察院。</w:t>
      </w:r>
    </w:p>
    <w:p>
      <w:pPr>
        <w:pStyle w:val="2"/>
        <w:spacing w:line="500" w:lineRule="exac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    被告人杨晓雯，女，1981年9月7日出生于天津市,公民身份号码:120103198109071426，汉族，大专文化，天津市科林物业公司员工，住天津市河西区枫林路华江里35号楼5门211号。</w:t>
      </w:r>
    </w:p>
    <w:p>
      <w:pPr>
        <w:spacing w:line="500" w:lineRule="exac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 xml:space="preserve">    公诉机关以津西检公诉刑诉[2016]551号起诉书指控被告人杨晓雯犯信用卡诈骗罪。本院适用刑事案件速裁程序，公开开庭审理了本案。</w:t>
      </w:r>
    </w:p>
    <w:p>
      <w:pPr>
        <w:spacing w:line="500" w:lineRule="exact"/>
        <w:ind w:firstLine="645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经审理查明，被告人杨晓雯于2009年8月申领中信银行信用卡（卡号：4033928008165586）一张，开卡后使用该卡消费，后将该卡借给刘某某透支消费。刘某某将透支的全部欠款归还给杨晓雯，被告人杨晓雯将该笔钱款全部用于找工作、归还其他银行信用卡欠款。2015年5月22日最后一次还款，后经中信银行多次催收仍不归还剩余欠款。截至2016年7月11日，该卡共计欠款人民币46546元，其中本金人民币29989.29元。</w:t>
      </w:r>
    </w:p>
    <w:p>
      <w:pPr>
        <w:spacing w:line="500" w:lineRule="exact"/>
        <w:ind w:firstLine="640" w:firstLineChars="200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2016年8月25日，被告人杨晓雯被抓获归案。</w:t>
      </w:r>
    </w:p>
    <w:p>
      <w:pPr>
        <w:pStyle w:val="2"/>
        <w:spacing w:line="500" w:lineRule="exac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    2016年8月26日，被告人杨晓雯偿还银行全部欠款。</w:t>
      </w:r>
    </w:p>
    <w:p>
      <w:pPr>
        <w:pStyle w:val="2"/>
        <w:spacing w:line="500" w:lineRule="exact"/>
        <w:ind w:firstLine="640" w:firstLineChars="20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上述事实，被告人杨晓雯在审理过程中无异议，表示认罪。并有被害单位代表袁某某陈述，证人刘某某证言</w:t>
      </w:r>
      <w:r>
        <w:rPr>
          <w:rFonts w:ascii="Times New Roman" w:hAnsi="Times New Roman"/>
          <w:kern w:val="0"/>
          <w:sz w:val="32"/>
          <w:szCs w:val="32"/>
          <w:lang w:val="zh-CN"/>
        </w:rPr>
        <w:t>，</w:t>
      </w:r>
      <w:r>
        <w:rPr>
          <w:rFonts w:ascii="Times New Roman" w:hAnsi="Times New Roman"/>
          <w:sz w:val="32"/>
          <w:szCs w:val="32"/>
        </w:rPr>
        <w:t>中信银行</w:t>
      </w:r>
      <w:r>
        <w:rPr>
          <w:rFonts w:ascii="Times New Roman" w:hAnsi="Times New Roman"/>
          <w:kern w:val="0"/>
          <w:sz w:val="32"/>
          <w:szCs w:val="32"/>
          <w:lang w:val="zh-CN"/>
        </w:rPr>
        <w:t>信用卡中心出具的</w:t>
      </w:r>
      <w:r>
        <w:rPr>
          <w:rFonts w:ascii="Times New Roman" w:hAnsi="Times New Roman"/>
          <w:sz w:val="32"/>
          <w:szCs w:val="32"/>
        </w:rPr>
        <w:t>报案材料、信用卡</w:t>
      </w:r>
      <w:r>
        <w:rPr>
          <w:rFonts w:ascii="Times New Roman" w:hAnsi="Times New Roman"/>
          <w:kern w:val="0"/>
          <w:sz w:val="32"/>
          <w:szCs w:val="32"/>
          <w:lang w:val="zh-CN"/>
        </w:rPr>
        <w:t>申领材料、对账单、催收记录、情况说明、谅解书，还款证明、案件来源及抓获经过等证据证实，</w:t>
      </w:r>
      <w:r>
        <w:rPr>
          <w:rFonts w:ascii="Times New Roman" w:hAnsi="Times New Roman"/>
          <w:sz w:val="32"/>
          <w:szCs w:val="32"/>
        </w:rPr>
        <w:t>足以认定。</w:t>
      </w:r>
    </w:p>
    <w:p>
      <w:pPr>
        <w:spacing w:line="500" w:lineRule="exact"/>
        <w:ind w:firstLine="640" w:firstLineChars="200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 xml:space="preserve">本院认为，公诉机关指控被告人杨晓雯犯信用卡诈骗罪的事实清楚，证据确实、充分，指控罪名成立。被告人杨晓雯具有以下量刑情节：如实供述全部犯罪行为；偿还全部欠款。依照《中华人民共和国刑法》第一百九十六条第一款第（四）项、第二款，第六十七条第三款，第七十二条第一款、第三款，第七十三条第一款、第三款，第七十五条，第七十六条之规定，判决如下： </w:t>
      </w:r>
    </w:p>
    <w:p>
      <w:pPr>
        <w:spacing w:line="500" w:lineRule="exact"/>
        <w:ind w:firstLine="640" w:firstLineChars="200"/>
        <w:rPr>
          <w:rFonts w:eastAsia="仿宋_GB2312"/>
          <w:bCs/>
          <w:sz w:val="32"/>
          <w:szCs w:val="32"/>
        </w:rPr>
      </w:pPr>
      <w:r>
        <w:rPr>
          <w:rFonts w:eastAsia="仿宋_GB2312"/>
          <w:sz w:val="32"/>
          <w:szCs w:val="32"/>
        </w:rPr>
        <w:t>被告人杨晓雯犯信用卡诈骗罪，判处拘役六个月,缓刑六个月，罚金人民币20000元。</w:t>
      </w:r>
      <w:r>
        <w:rPr>
          <w:rFonts w:eastAsia="仿宋_GB2312"/>
          <w:bCs/>
          <w:kern w:val="0"/>
          <w:sz w:val="32"/>
          <w:szCs w:val="32"/>
          <w:lang w:val="zh-CN"/>
        </w:rPr>
        <w:t>在（刑罚）执行期间，被告人</w:t>
      </w:r>
      <w:r>
        <w:rPr>
          <w:rFonts w:eastAsia="仿宋_GB2312"/>
          <w:sz w:val="32"/>
          <w:szCs w:val="32"/>
        </w:rPr>
        <w:t>杨晓雯</w:t>
      </w:r>
      <w:r>
        <w:rPr>
          <w:rFonts w:eastAsia="仿宋_GB2312"/>
          <w:bCs/>
          <w:kern w:val="0"/>
          <w:sz w:val="32"/>
          <w:szCs w:val="32"/>
          <w:lang w:val="zh-CN"/>
        </w:rPr>
        <w:t>应当接受相关组织的社区矫正。</w:t>
      </w:r>
    </w:p>
    <w:p>
      <w:pPr>
        <w:spacing w:line="500" w:lineRule="exact"/>
        <w:ind w:firstLine="640" w:firstLineChars="200"/>
        <w:rPr>
          <w:rFonts w:eastAsia="仿宋_GB2312"/>
          <w:sz w:val="32"/>
          <w:szCs w:val="32"/>
        </w:rPr>
      </w:pPr>
      <w:r>
        <w:rPr>
          <w:rFonts w:eastAsia="仿宋_GB2312"/>
          <w:bCs/>
          <w:kern w:val="0"/>
          <w:sz w:val="32"/>
          <w:szCs w:val="32"/>
          <w:lang w:val="zh-CN"/>
        </w:rPr>
        <w:t>（缓刑考验期限，从判决确定之日起计算。）</w:t>
      </w:r>
      <w:r>
        <w:rPr>
          <w:rFonts w:eastAsia="仿宋_GB2312"/>
          <w:bCs/>
          <w:sz w:val="32"/>
          <w:szCs w:val="32"/>
        </w:rPr>
        <w:t xml:space="preserve">       </w:t>
      </w:r>
    </w:p>
    <w:p>
      <w:pPr>
        <w:widowControl/>
        <w:snapToGrid w:val="0"/>
        <w:spacing w:line="500" w:lineRule="exact"/>
        <w:ind w:firstLine="600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如不服本判决，可在接到判决书的第二日起十日内，通过本院或者直接向天津市第二中级人民法院提出上诉。书面上诉的，应当提交上诉状正本一份，副本两份。</w:t>
      </w:r>
    </w:p>
    <w:p>
      <w:pPr>
        <w:spacing w:line="500" w:lineRule="exact"/>
        <w:ind w:firstLine="640" w:firstLineChars="200"/>
        <w:rPr>
          <w:rFonts w:eastAsia="仿宋_GB2312"/>
          <w:sz w:val="32"/>
          <w:szCs w:val="32"/>
        </w:rPr>
      </w:pPr>
    </w:p>
    <w:p>
      <w:pPr>
        <w:spacing w:line="500" w:lineRule="exact"/>
        <w:ind w:right="640" w:firstLine="640" w:firstLineChars="200"/>
        <w:rPr>
          <w:rFonts w:eastAsia="仿宋_GB2312"/>
          <w:sz w:val="32"/>
          <w:szCs w:val="32"/>
        </w:rPr>
      </w:pPr>
    </w:p>
    <w:p>
      <w:pPr>
        <w:spacing w:line="500" w:lineRule="exact"/>
        <w:ind w:right="640" w:firstLine="640" w:firstLineChars="200"/>
        <w:rPr>
          <w:rFonts w:eastAsia="仿宋_GB2312"/>
          <w:sz w:val="32"/>
          <w:szCs w:val="32"/>
        </w:rPr>
      </w:pPr>
    </w:p>
    <w:p>
      <w:pPr>
        <w:spacing w:line="50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审  判  员   闫  清</w:t>
      </w:r>
    </w:p>
    <w:p>
      <w:pPr>
        <w:spacing w:line="500" w:lineRule="exact"/>
        <w:jc w:val="right"/>
        <w:rPr>
          <w:rFonts w:eastAsia="仿宋_GB2312"/>
          <w:sz w:val="32"/>
          <w:szCs w:val="32"/>
        </w:rPr>
      </w:pPr>
    </w:p>
    <w:p>
      <w:pPr>
        <w:spacing w:line="50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二</w:t>
      </w:r>
      <w:r>
        <w:rPr>
          <w:sz w:val="32"/>
          <w:szCs w:val="32"/>
        </w:rPr>
        <w:t>〇</w:t>
      </w:r>
      <w:r>
        <w:rPr>
          <w:rFonts w:eastAsia="仿宋_GB2312"/>
          <w:sz w:val="32"/>
          <w:szCs w:val="32"/>
        </w:rPr>
        <w:t>一六年九月三十日</w:t>
      </w:r>
    </w:p>
    <w:p>
      <w:pPr>
        <w:spacing w:line="500" w:lineRule="exact"/>
        <w:jc w:val="right"/>
        <w:rPr>
          <w:rFonts w:eastAsia="仿宋_GB2312"/>
          <w:sz w:val="32"/>
          <w:szCs w:val="32"/>
        </w:rPr>
      </w:pPr>
    </w:p>
    <w:p>
      <w:pPr>
        <w:spacing w:line="50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书  记  员   马为一</w:t>
      </w:r>
    </w:p>
    <w:p>
      <w:pPr>
        <w:spacing w:line="50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速  录  员   杨梦萱</w:t>
      </w:r>
    </w:p>
    <w:p>
      <w:pPr>
        <w:spacing w:line="500" w:lineRule="exact"/>
        <w:rPr>
          <w:rFonts w:eastAsia="仿宋_GB2312"/>
          <w:sz w:val="32"/>
          <w:szCs w:val="32"/>
        </w:rPr>
      </w:pPr>
    </w:p>
    <w:p>
      <w:pPr>
        <w:spacing w:line="500" w:lineRule="exact"/>
        <w:rPr>
          <w:rFonts w:eastAsia="仿宋_GB2312"/>
          <w:sz w:val="32"/>
        </w:rPr>
      </w:pPr>
    </w:p>
    <w:p>
      <w:pPr>
        <w:spacing w:line="500" w:lineRule="exact"/>
        <w:ind w:firstLine="640" w:firstLineChars="200"/>
        <w:rPr>
          <w:rFonts w:eastAsia="仿宋_GB2312"/>
          <w:sz w:val="32"/>
        </w:rPr>
      </w:pPr>
      <w:r>
        <w:rPr>
          <w:rFonts w:eastAsia="仿宋_GB2312"/>
          <w:sz w:val="32"/>
        </w:rPr>
        <w:t>本案引用的法律条文</w:t>
      </w:r>
    </w:p>
    <w:p>
      <w:pPr>
        <w:spacing w:line="500" w:lineRule="exact"/>
        <w:ind w:firstLine="640" w:firstLineChars="200"/>
        <w:rPr>
          <w:rFonts w:eastAsia="仿宋_GB2312"/>
          <w:sz w:val="32"/>
        </w:rPr>
      </w:pPr>
      <w:r>
        <w:rPr>
          <w:rFonts w:eastAsia="仿宋_GB2312"/>
          <w:sz w:val="32"/>
        </w:rPr>
        <w:t>《中华人民共和国刑法》</w:t>
      </w:r>
    </w:p>
    <w:p>
      <w:pPr>
        <w:spacing w:line="500" w:lineRule="exact"/>
        <w:ind w:firstLine="640" w:firstLineChars="200"/>
        <w:rPr>
          <w:rFonts w:eastAsia="仿宋_GB2312"/>
          <w:sz w:val="32"/>
        </w:rPr>
      </w:pPr>
      <w:r>
        <w:rPr>
          <w:rFonts w:eastAsia="仿宋_GB2312"/>
          <w:sz w:val="32"/>
        </w:rPr>
        <w:t>第六十七条第三款   犯罪嫌疑人虽不具有前两款规定的自首情节，但是如实供述自己罪行的，可以从轻处罚；因其如实供述自己罪行，避免特别严重后果发生的，可以减轻处罚。</w:t>
      </w:r>
    </w:p>
    <w:p>
      <w:pPr>
        <w:spacing w:line="500" w:lineRule="exact"/>
        <w:ind w:firstLine="640" w:firstLineChars="200"/>
        <w:rPr>
          <w:rFonts w:eastAsia="仿宋_GB2312"/>
          <w:sz w:val="32"/>
        </w:rPr>
      </w:pPr>
      <w:r>
        <w:rPr>
          <w:rFonts w:eastAsia="仿宋_GB2312"/>
          <w:sz w:val="32"/>
        </w:rPr>
        <w:t>第七十二条第一款   对于被判处拘役、三年以下有期徒刑的犯罪分子，同时符合下列条件的，可以宣告缓刑，对其中不满十八周岁的人、怀孕的妇女和已满七十五周岁的人，应当宣告缓刑：</w:t>
      </w:r>
    </w:p>
    <w:p>
      <w:pPr>
        <w:spacing w:line="500" w:lineRule="exact"/>
        <w:ind w:firstLine="640" w:firstLineChars="200"/>
        <w:rPr>
          <w:rFonts w:eastAsia="仿宋_GB2312"/>
          <w:sz w:val="32"/>
        </w:rPr>
      </w:pPr>
      <w:r>
        <w:rPr>
          <w:rFonts w:eastAsia="仿宋_GB2312"/>
          <w:sz w:val="32"/>
        </w:rPr>
        <w:t>（一）犯罪情节较轻；</w:t>
      </w:r>
    </w:p>
    <w:p>
      <w:pPr>
        <w:spacing w:line="500" w:lineRule="exact"/>
        <w:ind w:firstLine="640" w:firstLineChars="200"/>
        <w:rPr>
          <w:rFonts w:eastAsia="仿宋_GB2312"/>
          <w:sz w:val="32"/>
        </w:rPr>
      </w:pPr>
      <w:r>
        <w:rPr>
          <w:rFonts w:eastAsia="仿宋_GB2312"/>
          <w:sz w:val="32"/>
        </w:rPr>
        <w:t>（二）有悔罪表现；</w:t>
      </w:r>
    </w:p>
    <w:p>
      <w:pPr>
        <w:spacing w:line="500" w:lineRule="exact"/>
        <w:ind w:firstLine="640" w:firstLineChars="200"/>
        <w:rPr>
          <w:rFonts w:eastAsia="仿宋_GB2312"/>
          <w:sz w:val="32"/>
        </w:rPr>
      </w:pPr>
      <w:r>
        <w:rPr>
          <w:rFonts w:eastAsia="仿宋_GB2312"/>
          <w:sz w:val="32"/>
        </w:rPr>
        <w:t>（三）没有再犯罪的危险；</w:t>
      </w:r>
    </w:p>
    <w:p>
      <w:pPr>
        <w:spacing w:line="500" w:lineRule="exact"/>
        <w:ind w:firstLine="640" w:firstLineChars="200"/>
        <w:rPr>
          <w:rFonts w:eastAsia="仿宋_GB2312"/>
          <w:sz w:val="32"/>
        </w:rPr>
      </w:pPr>
      <w:r>
        <w:rPr>
          <w:rFonts w:eastAsia="仿宋_GB2312"/>
          <w:sz w:val="32"/>
        </w:rPr>
        <w:t>（四）宣告缓刑对所居住社区没有重大不良影响。</w:t>
      </w:r>
    </w:p>
    <w:p>
      <w:pPr>
        <w:spacing w:line="500" w:lineRule="exact"/>
        <w:ind w:firstLine="640" w:firstLineChars="200"/>
        <w:rPr>
          <w:rFonts w:eastAsia="仿宋_GB2312"/>
          <w:sz w:val="32"/>
        </w:rPr>
      </w:pPr>
      <w:r>
        <w:rPr>
          <w:rFonts w:eastAsia="仿宋_GB2312"/>
          <w:sz w:val="32"/>
        </w:rPr>
        <w:t>第七十二条第三款   被宣告缓刑的犯罪分子，如果被判处附加刑，附加刑仍须执行。</w:t>
      </w:r>
    </w:p>
    <w:p>
      <w:pPr>
        <w:spacing w:line="500" w:lineRule="exact"/>
        <w:ind w:firstLine="640" w:firstLineChars="200"/>
        <w:rPr>
          <w:rFonts w:eastAsia="仿宋_GB2312"/>
          <w:sz w:val="32"/>
        </w:rPr>
      </w:pPr>
      <w:r>
        <w:rPr>
          <w:rFonts w:eastAsia="仿宋_GB2312"/>
          <w:sz w:val="32"/>
        </w:rPr>
        <w:t>第七十三条第一款   拘役的缓刑考验期限为原判刑期以上一年以下，但是不能少于二个月。</w:t>
      </w:r>
    </w:p>
    <w:p>
      <w:pPr>
        <w:spacing w:line="500" w:lineRule="exact"/>
        <w:ind w:firstLine="640" w:firstLineChars="200"/>
        <w:rPr>
          <w:rFonts w:eastAsia="仿宋_GB2312"/>
          <w:sz w:val="32"/>
        </w:rPr>
      </w:pPr>
      <w:r>
        <w:rPr>
          <w:rFonts w:eastAsia="仿宋_GB2312"/>
          <w:sz w:val="32"/>
        </w:rPr>
        <w:t>第七十三条第三款   缓刑考验期限，从判决确定之日起计算。</w:t>
      </w:r>
    </w:p>
    <w:p>
      <w:pPr>
        <w:spacing w:line="500" w:lineRule="exact"/>
        <w:ind w:firstLine="640" w:firstLineChars="200"/>
        <w:rPr>
          <w:rFonts w:eastAsia="仿宋_GB2312"/>
          <w:sz w:val="32"/>
        </w:rPr>
      </w:pPr>
      <w:r>
        <w:rPr>
          <w:rFonts w:eastAsia="仿宋_GB2312"/>
          <w:sz w:val="32"/>
        </w:rPr>
        <w:t>第七十五条   被宣告缓刑的犯罪分子，应当遵守下列规定：</w:t>
      </w:r>
    </w:p>
    <w:p>
      <w:pPr>
        <w:spacing w:line="500" w:lineRule="exact"/>
        <w:ind w:firstLine="640" w:firstLineChars="200"/>
        <w:rPr>
          <w:rFonts w:eastAsia="仿宋_GB2312"/>
          <w:sz w:val="32"/>
        </w:rPr>
      </w:pPr>
      <w:r>
        <w:rPr>
          <w:rFonts w:eastAsia="仿宋_GB2312"/>
          <w:sz w:val="32"/>
        </w:rPr>
        <w:t>（一）遵守法律、行政法规，服从监督；</w:t>
      </w:r>
    </w:p>
    <w:p>
      <w:pPr>
        <w:spacing w:line="500" w:lineRule="exact"/>
        <w:ind w:firstLine="640" w:firstLineChars="200"/>
        <w:rPr>
          <w:rFonts w:eastAsia="仿宋_GB2312"/>
          <w:sz w:val="32"/>
        </w:rPr>
      </w:pPr>
      <w:r>
        <w:rPr>
          <w:rFonts w:eastAsia="仿宋_GB2312"/>
          <w:sz w:val="32"/>
        </w:rPr>
        <w:t>（二）按照考察机关的规定报告自己的活动情况；</w:t>
      </w:r>
    </w:p>
    <w:p>
      <w:pPr>
        <w:spacing w:line="500" w:lineRule="exact"/>
        <w:ind w:firstLine="640" w:firstLineChars="200"/>
        <w:rPr>
          <w:rFonts w:eastAsia="仿宋_GB2312"/>
          <w:sz w:val="32"/>
        </w:rPr>
      </w:pPr>
      <w:r>
        <w:rPr>
          <w:rFonts w:eastAsia="仿宋_GB2312"/>
          <w:sz w:val="32"/>
        </w:rPr>
        <w:t>（三）遵守考察机关关于会客的规定；</w:t>
      </w:r>
    </w:p>
    <w:p>
      <w:pPr>
        <w:spacing w:line="500" w:lineRule="exact"/>
        <w:ind w:firstLine="640" w:firstLineChars="200"/>
        <w:rPr>
          <w:rFonts w:eastAsia="仿宋_GB2312"/>
          <w:sz w:val="32"/>
        </w:rPr>
      </w:pPr>
      <w:r>
        <w:rPr>
          <w:rFonts w:eastAsia="仿宋_GB2312"/>
          <w:sz w:val="32"/>
        </w:rPr>
        <w:t>（四）离开所居住的市、县或者迁居，应当报经考察机关批准。</w:t>
      </w:r>
    </w:p>
    <w:p>
      <w:pPr>
        <w:spacing w:line="500" w:lineRule="exact"/>
        <w:ind w:firstLine="640" w:firstLineChars="200"/>
        <w:rPr>
          <w:rFonts w:eastAsia="仿宋_GB2312"/>
          <w:sz w:val="32"/>
        </w:rPr>
      </w:pPr>
      <w:r>
        <w:rPr>
          <w:rFonts w:eastAsia="仿宋_GB2312"/>
          <w:sz w:val="32"/>
        </w:rPr>
        <w:t>第七十六条   对宣告缓刑的犯罪分子，在缓刑考验期限内，依法实行社区矫正，如果没有本法第七十七条规定的情形，缓刑考验期满，原判的刑罚就不再执行，并公开予以宣告。</w:t>
      </w:r>
    </w:p>
    <w:p>
      <w:pPr>
        <w:spacing w:line="500" w:lineRule="exact"/>
        <w:ind w:firstLine="640" w:firstLineChars="200"/>
        <w:rPr>
          <w:rFonts w:eastAsia="仿宋_GB2312"/>
          <w:sz w:val="32"/>
        </w:rPr>
      </w:pPr>
      <w:r>
        <w:rPr>
          <w:rFonts w:eastAsia="仿宋_GB2312"/>
          <w:sz w:val="32"/>
        </w:rPr>
        <w:t>第一百九十六条第一款第（四）项   有下列情形之一，进行信用卡诈骗活动，数额较大的，处五年以下有期徒刑或者拘役，并处二万元以上二十万元以下罚金；数额巨大或者有其他严重情节的，处五年以上十年以下有期徒刑，并处五万元以上五十万元以下罚金；数额特别巨大或者有其他特别严重情节的，处十年以上有期徒刑或者无期徒刑，并处五万元以上五十万元以下罚金或者没收财产：</w:t>
      </w:r>
    </w:p>
    <w:p>
      <w:pPr>
        <w:spacing w:line="500" w:lineRule="exact"/>
        <w:ind w:firstLine="640" w:firstLineChars="200"/>
        <w:rPr>
          <w:rFonts w:eastAsia="仿宋_GB2312"/>
          <w:sz w:val="32"/>
        </w:rPr>
      </w:pPr>
      <w:r>
        <w:rPr>
          <w:rFonts w:eastAsia="仿宋_GB2312"/>
          <w:sz w:val="32"/>
        </w:rPr>
        <w:t>（四）恶意透支的。</w:t>
      </w:r>
    </w:p>
    <w:p>
      <w:pPr>
        <w:spacing w:line="500" w:lineRule="exact"/>
        <w:ind w:firstLine="640" w:firstLineChars="200"/>
        <w:rPr>
          <w:rFonts w:eastAsia="仿宋_GB2312"/>
          <w:sz w:val="32"/>
        </w:rPr>
      </w:pPr>
      <w:r>
        <w:rPr>
          <w:rFonts w:eastAsia="仿宋_GB2312"/>
          <w:sz w:val="32"/>
        </w:rPr>
        <w:t>第一百九十六条第二款   前款所称恶意透支，是指持卡人以非法占有为目的，超过规定限额或者规定期限透支，并且经发卡银行催收后仍不归还的行为。</w:t>
      </w:r>
    </w:p>
    <w:p>
      <w:pPr>
        <w:ind w:firstLine="640" w:firstLineChars="200"/>
        <w:rPr>
          <w:rFonts w:eastAsia="仿宋_GB2312"/>
          <w:sz w:val="32"/>
        </w:rPr>
      </w:pPr>
    </w:p>
    <w:sectPr>
      <w:footerReference r:id="rId3" w:type="default"/>
      <w:footerReference r:id="rId4" w:type="even"/>
      <w:pgSz w:w="11906" w:h="16838"/>
      <w:pgMar w:top="1440" w:right="1797" w:bottom="1440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center" w:y="1"/>
      <w:rPr>
        <w:rStyle w:val="6"/>
      </w:rPr>
    </w:pP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separate"/>
    </w:r>
    <w:r>
      <w:rPr>
        <w:rStyle w:val="6"/>
      </w:rPr>
      <w:t>1</w:t>
    </w:r>
    <w:r>
      <w:rPr>
        <w:rStyle w:val="6"/>
      </w:rPr>
      <w:fldChar w:fldCharType="end"/>
    </w:r>
  </w:p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center" w:y="1"/>
      <w:rPr>
        <w:rStyle w:val="6"/>
      </w:rPr>
    </w:pP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end"/>
    </w:r>
  </w:p>
  <w:p>
    <w:pPr>
      <w:pStyle w:val="3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908F9"/>
    <w:rsid w:val="00006B2D"/>
    <w:rsid w:val="00010F6A"/>
    <w:rsid w:val="0001160F"/>
    <w:rsid w:val="000119B2"/>
    <w:rsid w:val="00015E4B"/>
    <w:rsid w:val="00032356"/>
    <w:rsid w:val="00033E5A"/>
    <w:rsid w:val="00040700"/>
    <w:rsid w:val="000416E6"/>
    <w:rsid w:val="000424B6"/>
    <w:rsid w:val="00045E61"/>
    <w:rsid w:val="00046888"/>
    <w:rsid w:val="00050C7E"/>
    <w:rsid w:val="000559F9"/>
    <w:rsid w:val="00057400"/>
    <w:rsid w:val="000629E1"/>
    <w:rsid w:val="0006343D"/>
    <w:rsid w:val="00063BFC"/>
    <w:rsid w:val="00064738"/>
    <w:rsid w:val="00070E28"/>
    <w:rsid w:val="0007658C"/>
    <w:rsid w:val="000774D3"/>
    <w:rsid w:val="000914B4"/>
    <w:rsid w:val="000918DA"/>
    <w:rsid w:val="00092337"/>
    <w:rsid w:val="00096DB1"/>
    <w:rsid w:val="000A0AA1"/>
    <w:rsid w:val="000A38FC"/>
    <w:rsid w:val="000B0C3D"/>
    <w:rsid w:val="000B6D9D"/>
    <w:rsid w:val="000D53FB"/>
    <w:rsid w:val="000D698B"/>
    <w:rsid w:val="000E333E"/>
    <w:rsid w:val="000E60C0"/>
    <w:rsid w:val="000E693B"/>
    <w:rsid w:val="00102AC3"/>
    <w:rsid w:val="00102BB6"/>
    <w:rsid w:val="00103CA6"/>
    <w:rsid w:val="00103D07"/>
    <w:rsid w:val="00106896"/>
    <w:rsid w:val="001100BE"/>
    <w:rsid w:val="00114AB0"/>
    <w:rsid w:val="00116576"/>
    <w:rsid w:val="00123341"/>
    <w:rsid w:val="0012471C"/>
    <w:rsid w:val="00133906"/>
    <w:rsid w:val="0014645D"/>
    <w:rsid w:val="001544F2"/>
    <w:rsid w:val="001555FB"/>
    <w:rsid w:val="00157187"/>
    <w:rsid w:val="00157F35"/>
    <w:rsid w:val="0016203F"/>
    <w:rsid w:val="00170467"/>
    <w:rsid w:val="00170C45"/>
    <w:rsid w:val="001768CE"/>
    <w:rsid w:val="00180B09"/>
    <w:rsid w:val="00181ACD"/>
    <w:rsid w:val="00192D68"/>
    <w:rsid w:val="001931F4"/>
    <w:rsid w:val="001959F0"/>
    <w:rsid w:val="0019779D"/>
    <w:rsid w:val="001A14DC"/>
    <w:rsid w:val="001A65C2"/>
    <w:rsid w:val="001B0F54"/>
    <w:rsid w:val="001B33F0"/>
    <w:rsid w:val="001B5B5B"/>
    <w:rsid w:val="001B7EF2"/>
    <w:rsid w:val="001C17B7"/>
    <w:rsid w:val="001C48D0"/>
    <w:rsid w:val="001C6EFF"/>
    <w:rsid w:val="001C757F"/>
    <w:rsid w:val="001D4DC1"/>
    <w:rsid w:val="001D5ACF"/>
    <w:rsid w:val="001E0609"/>
    <w:rsid w:val="001E2DDA"/>
    <w:rsid w:val="001E2ECB"/>
    <w:rsid w:val="001F1573"/>
    <w:rsid w:val="001F6E95"/>
    <w:rsid w:val="00202287"/>
    <w:rsid w:val="0020657D"/>
    <w:rsid w:val="00206BC5"/>
    <w:rsid w:val="0021132D"/>
    <w:rsid w:val="00215394"/>
    <w:rsid w:val="00215DCB"/>
    <w:rsid w:val="002219C5"/>
    <w:rsid w:val="0022422A"/>
    <w:rsid w:val="002303DE"/>
    <w:rsid w:val="00235FA3"/>
    <w:rsid w:val="0024221C"/>
    <w:rsid w:val="00251644"/>
    <w:rsid w:val="002544DB"/>
    <w:rsid w:val="00256E6D"/>
    <w:rsid w:val="0026390F"/>
    <w:rsid w:val="00270E4F"/>
    <w:rsid w:val="00274B7B"/>
    <w:rsid w:val="00280E3B"/>
    <w:rsid w:val="0028649E"/>
    <w:rsid w:val="00290068"/>
    <w:rsid w:val="002900C2"/>
    <w:rsid w:val="00293CF2"/>
    <w:rsid w:val="00294B89"/>
    <w:rsid w:val="00296CD0"/>
    <w:rsid w:val="002A6AFB"/>
    <w:rsid w:val="002B430B"/>
    <w:rsid w:val="002B4CFF"/>
    <w:rsid w:val="002C46E3"/>
    <w:rsid w:val="002C6AAB"/>
    <w:rsid w:val="002D08EE"/>
    <w:rsid w:val="002D12CA"/>
    <w:rsid w:val="002D4C51"/>
    <w:rsid w:val="002D51F2"/>
    <w:rsid w:val="002E5049"/>
    <w:rsid w:val="002E5598"/>
    <w:rsid w:val="002F1AF6"/>
    <w:rsid w:val="002F5503"/>
    <w:rsid w:val="00306812"/>
    <w:rsid w:val="00312EE3"/>
    <w:rsid w:val="003153B5"/>
    <w:rsid w:val="003248D4"/>
    <w:rsid w:val="00325D23"/>
    <w:rsid w:val="003262D9"/>
    <w:rsid w:val="00331928"/>
    <w:rsid w:val="00331974"/>
    <w:rsid w:val="00341B71"/>
    <w:rsid w:val="003438E7"/>
    <w:rsid w:val="00346125"/>
    <w:rsid w:val="00347FEE"/>
    <w:rsid w:val="0035613B"/>
    <w:rsid w:val="0036256A"/>
    <w:rsid w:val="00364165"/>
    <w:rsid w:val="00367538"/>
    <w:rsid w:val="00372D3E"/>
    <w:rsid w:val="00373A5E"/>
    <w:rsid w:val="003767C9"/>
    <w:rsid w:val="00380F0B"/>
    <w:rsid w:val="0038547E"/>
    <w:rsid w:val="00387AD0"/>
    <w:rsid w:val="0039020D"/>
    <w:rsid w:val="00392635"/>
    <w:rsid w:val="00392EDD"/>
    <w:rsid w:val="003A5134"/>
    <w:rsid w:val="003B24D2"/>
    <w:rsid w:val="003B7626"/>
    <w:rsid w:val="003C13B6"/>
    <w:rsid w:val="003D03F0"/>
    <w:rsid w:val="003D131E"/>
    <w:rsid w:val="003D589F"/>
    <w:rsid w:val="003E5A16"/>
    <w:rsid w:val="003F79D8"/>
    <w:rsid w:val="004131B4"/>
    <w:rsid w:val="004219B5"/>
    <w:rsid w:val="00421E7D"/>
    <w:rsid w:val="00432133"/>
    <w:rsid w:val="004453B2"/>
    <w:rsid w:val="00460509"/>
    <w:rsid w:val="004621AF"/>
    <w:rsid w:val="00463E8E"/>
    <w:rsid w:val="00463F55"/>
    <w:rsid w:val="00464C83"/>
    <w:rsid w:val="00474AFB"/>
    <w:rsid w:val="00481498"/>
    <w:rsid w:val="00493062"/>
    <w:rsid w:val="00493E09"/>
    <w:rsid w:val="0049557B"/>
    <w:rsid w:val="004972BF"/>
    <w:rsid w:val="004A079C"/>
    <w:rsid w:val="004A2198"/>
    <w:rsid w:val="004A4FBB"/>
    <w:rsid w:val="004A706C"/>
    <w:rsid w:val="004A71B3"/>
    <w:rsid w:val="004B2661"/>
    <w:rsid w:val="004B3AE3"/>
    <w:rsid w:val="004B4ED7"/>
    <w:rsid w:val="004B5234"/>
    <w:rsid w:val="004B6261"/>
    <w:rsid w:val="004B729D"/>
    <w:rsid w:val="004C1F09"/>
    <w:rsid w:val="004C6A76"/>
    <w:rsid w:val="004D07AE"/>
    <w:rsid w:val="004D346A"/>
    <w:rsid w:val="004D68FE"/>
    <w:rsid w:val="004E270E"/>
    <w:rsid w:val="004E2E2A"/>
    <w:rsid w:val="004E5473"/>
    <w:rsid w:val="004E7577"/>
    <w:rsid w:val="004F62C0"/>
    <w:rsid w:val="00502A45"/>
    <w:rsid w:val="00503AB6"/>
    <w:rsid w:val="00510216"/>
    <w:rsid w:val="0051224A"/>
    <w:rsid w:val="00520825"/>
    <w:rsid w:val="0052377E"/>
    <w:rsid w:val="005256B5"/>
    <w:rsid w:val="00531848"/>
    <w:rsid w:val="00532396"/>
    <w:rsid w:val="00532741"/>
    <w:rsid w:val="00537AAB"/>
    <w:rsid w:val="00544FFF"/>
    <w:rsid w:val="00547B90"/>
    <w:rsid w:val="00550124"/>
    <w:rsid w:val="00551372"/>
    <w:rsid w:val="00556C51"/>
    <w:rsid w:val="00557450"/>
    <w:rsid w:val="00566B28"/>
    <w:rsid w:val="00572922"/>
    <w:rsid w:val="0057674E"/>
    <w:rsid w:val="005819CB"/>
    <w:rsid w:val="00585C54"/>
    <w:rsid w:val="005861E5"/>
    <w:rsid w:val="0059231B"/>
    <w:rsid w:val="005950B0"/>
    <w:rsid w:val="005A3994"/>
    <w:rsid w:val="005A532B"/>
    <w:rsid w:val="005A67BC"/>
    <w:rsid w:val="005B0844"/>
    <w:rsid w:val="005B136C"/>
    <w:rsid w:val="005B1C43"/>
    <w:rsid w:val="005B59C3"/>
    <w:rsid w:val="005B7F09"/>
    <w:rsid w:val="005C0415"/>
    <w:rsid w:val="005D03E7"/>
    <w:rsid w:val="005D144D"/>
    <w:rsid w:val="005D1C74"/>
    <w:rsid w:val="005F446D"/>
    <w:rsid w:val="005F62D4"/>
    <w:rsid w:val="005F66FC"/>
    <w:rsid w:val="00601F11"/>
    <w:rsid w:val="0060226E"/>
    <w:rsid w:val="00603CA4"/>
    <w:rsid w:val="0061731A"/>
    <w:rsid w:val="006179F6"/>
    <w:rsid w:val="00621F7E"/>
    <w:rsid w:val="006334DE"/>
    <w:rsid w:val="006341B4"/>
    <w:rsid w:val="0065347B"/>
    <w:rsid w:val="006561C8"/>
    <w:rsid w:val="00660969"/>
    <w:rsid w:val="00663344"/>
    <w:rsid w:val="00663A65"/>
    <w:rsid w:val="00664929"/>
    <w:rsid w:val="006777F5"/>
    <w:rsid w:val="006837BB"/>
    <w:rsid w:val="006855B2"/>
    <w:rsid w:val="00693DA0"/>
    <w:rsid w:val="006A11A8"/>
    <w:rsid w:val="006A24BD"/>
    <w:rsid w:val="006A31F4"/>
    <w:rsid w:val="006B383A"/>
    <w:rsid w:val="006B65DE"/>
    <w:rsid w:val="006C12E0"/>
    <w:rsid w:val="006C3488"/>
    <w:rsid w:val="006C4858"/>
    <w:rsid w:val="006C602E"/>
    <w:rsid w:val="006D086E"/>
    <w:rsid w:val="006E2479"/>
    <w:rsid w:val="006F3FEA"/>
    <w:rsid w:val="006F4343"/>
    <w:rsid w:val="00701062"/>
    <w:rsid w:val="007040AB"/>
    <w:rsid w:val="00710206"/>
    <w:rsid w:val="00713588"/>
    <w:rsid w:val="007167B9"/>
    <w:rsid w:val="00725E19"/>
    <w:rsid w:val="007313FE"/>
    <w:rsid w:val="007321A7"/>
    <w:rsid w:val="00733A74"/>
    <w:rsid w:val="007414E1"/>
    <w:rsid w:val="00742E9D"/>
    <w:rsid w:val="00745BC9"/>
    <w:rsid w:val="00745C0C"/>
    <w:rsid w:val="007476F4"/>
    <w:rsid w:val="007513BB"/>
    <w:rsid w:val="00751C8B"/>
    <w:rsid w:val="00755292"/>
    <w:rsid w:val="00755473"/>
    <w:rsid w:val="00756104"/>
    <w:rsid w:val="00757169"/>
    <w:rsid w:val="00761879"/>
    <w:rsid w:val="00763A35"/>
    <w:rsid w:val="00763BC3"/>
    <w:rsid w:val="0076565F"/>
    <w:rsid w:val="007957AF"/>
    <w:rsid w:val="00796481"/>
    <w:rsid w:val="007A040F"/>
    <w:rsid w:val="007B2BD9"/>
    <w:rsid w:val="007B7421"/>
    <w:rsid w:val="007C1989"/>
    <w:rsid w:val="007C3936"/>
    <w:rsid w:val="007D2E75"/>
    <w:rsid w:val="007D79B3"/>
    <w:rsid w:val="007E29B4"/>
    <w:rsid w:val="007E399E"/>
    <w:rsid w:val="007F015B"/>
    <w:rsid w:val="007F0CB4"/>
    <w:rsid w:val="007F1FD4"/>
    <w:rsid w:val="007F2964"/>
    <w:rsid w:val="00800799"/>
    <w:rsid w:val="00802B4A"/>
    <w:rsid w:val="008121F5"/>
    <w:rsid w:val="00815289"/>
    <w:rsid w:val="00816979"/>
    <w:rsid w:val="00821B32"/>
    <w:rsid w:val="008260D1"/>
    <w:rsid w:val="00826CD6"/>
    <w:rsid w:val="00826DB8"/>
    <w:rsid w:val="0083127B"/>
    <w:rsid w:val="00832D38"/>
    <w:rsid w:val="008362DC"/>
    <w:rsid w:val="008378D9"/>
    <w:rsid w:val="0084118E"/>
    <w:rsid w:val="00852894"/>
    <w:rsid w:val="00853E71"/>
    <w:rsid w:val="0086039B"/>
    <w:rsid w:val="00862EB8"/>
    <w:rsid w:val="008650FC"/>
    <w:rsid w:val="0086601E"/>
    <w:rsid w:val="00867A7E"/>
    <w:rsid w:val="008734EB"/>
    <w:rsid w:val="00873EE8"/>
    <w:rsid w:val="008747DA"/>
    <w:rsid w:val="00877150"/>
    <w:rsid w:val="0088168A"/>
    <w:rsid w:val="008869C3"/>
    <w:rsid w:val="00890982"/>
    <w:rsid w:val="00896FD4"/>
    <w:rsid w:val="008A10EC"/>
    <w:rsid w:val="008A392A"/>
    <w:rsid w:val="008A4BBA"/>
    <w:rsid w:val="008B7256"/>
    <w:rsid w:val="008C21BE"/>
    <w:rsid w:val="008D1DD8"/>
    <w:rsid w:val="008D3675"/>
    <w:rsid w:val="008D4326"/>
    <w:rsid w:val="008D5DFD"/>
    <w:rsid w:val="008D7413"/>
    <w:rsid w:val="008E2B5C"/>
    <w:rsid w:val="008E2F46"/>
    <w:rsid w:val="008E5F50"/>
    <w:rsid w:val="008E6964"/>
    <w:rsid w:val="008E7791"/>
    <w:rsid w:val="008F096B"/>
    <w:rsid w:val="008F148D"/>
    <w:rsid w:val="008F2FC6"/>
    <w:rsid w:val="008F4D3F"/>
    <w:rsid w:val="009019E6"/>
    <w:rsid w:val="009070BE"/>
    <w:rsid w:val="009137D3"/>
    <w:rsid w:val="00913C98"/>
    <w:rsid w:val="0091685B"/>
    <w:rsid w:val="0092206C"/>
    <w:rsid w:val="00922950"/>
    <w:rsid w:val="00945EB8"/>
    <w:rsid w:val="00957B9E"/>
    <w:rsid w:val="00971D54"/>
    <w:rsid w:val="00974ECC"/>
    <w:rsid w:val="00975FC3"/>
    <w:rsid w:val="00976516"/>
    <w:rsid w:val="009778FD"/>
    <w:rsid w:val="009908F9"/>
    <w:rsid w:val="00991327"/>
    <w:rsid w:val="009A05B2"/>
    <w:rsid w:val="009A7B11"/>
    <w:rsid w:val="009B72B4"/>
    <w:rsid w:val="009C5983"/>
    <w:rsid w:val="009D19A6"/>
    <w:rsid w:val="009D44B7"/>
    <w:rsid w:val="009D5135"/>
    <w:rsid w:val="009D7919"/>
    <w:rsid w:val="009E291D"/>
    <w:rsid w:val="009E2991"/>
    <w:rsid w:val="009F0EFB"/>
    <w:rsid w:val="009F610F"/>
    <w:rsid w:val="00A01113"/>
    <w:rsid w:val="00A10017"/>
    <w:rsid w:val="00A10E86"/>
    <w:rsid w:val="00A1191B"/>
    <w:rsid w:val="00A1200A"/>
    <w:rsid w:val="00A17AD0"/>
    <w:rsid w:val="00A25082"/>
    <w:rsid w:val="00A31D53"/>
    <w:rsid w:val="00A323EA"/>
    <w:rsid w:val="00A32749"/>
    <w:rsid w:val="00A347E1"/>
    <w:rsid w:val="00A34E34"/>
    <w:rsid w:val="00A40335"/>
    <w:rsid w:val="00A454AC"/>
    <w:rsid w:val="00A46B27"/>
    <w:rsid w:val="00A47AAB"/>
    <w:rsid w:val="00A548EF"/>
    <w:rsid w:val="00A7718A"/>
    <w:rsid w:val="00A819E3"/>
    <w:rsid w:val="00A82B81"/>
    <w:rsid w:val="00A854BC"/>
    <w:rsid w:val="00A87BD8"/>
    <w:rsid w:val="00A96415"/>
    <w:rsid w:val="00A9684B"/>
    <w:rsid w:val="00AA32E0"/>
    <w:rsid w:val="00AB1DC3"/>
    <w:rsid w:val="00AB4F87"/>
    <w:rsid w:val="00AB5CE4"/>
    <w:rsid w:val="00AC2613"/>
    <w:rsid w:val="00AC2AB9"/>
    <w:rsid w:val="00AC379C"/>
    <w:rsid w:val="00AC7223"/>
    <w:rsid w:val="00AC7F8C"/>
    <w:rsid w:val="00AE24C9"/>
    <w:rsid w:val="00AE3DD4"/>
    <w:rsid w:val="00AF2B35"/>
    <w:rsid w:val="00AF7E99"/>
    <w:rsid w:val="00B03561"/>
    <w:rsid w:val="00B0512F"/>
    <w:rsid w:val="00B0540B"/>
    <w:rsid w:val="00B06BB2"/>
    <w:rsid w:val="00B10857"/>
    <w:rsid w:val="00B13A77"/>
    <w:rsid w:val="00B14D5B"/>
    <w:rsid w:val="00B31CB9"/>
    <w:rsid w:val="00B36B3C"/>
    <w:rsid w:val="00B40609"/>
    <w:rsid w:val="00B40A05"/>
    <w:rsid w:val="00B42926"/>
    <w:rsid w:val="00B42B7C"/>
    <w:rsid w:val="00B50F0A"/>
    <w:rsid w:val="00B51422"/>
    <w:rsid w:val="00B5453D"/>
    <w:rsid w:val="00B62059"/>
    <w:rsid w:val="00B678CE"/>
    <w:rsid w:val="00B678F9"/>
    <w:rsid w:val="00B6795D"/>
    <w:rsid w:val="00B70829"/>
    <w:rsid w:val="00B708F7"/>
    <w:rsid w:val="00B726BB"/>
    <w:rsid w:val="00B727B2"/>
    <w:rsid w:val="00B72B6C"/>
    <w:rsid w:val="00B77A7A"/>
    <w:rsid w:val="00B91906"/>
    <w:rsid w:val="00B95A6E"/>
    <w:rsid w:val="00B97AA1"/>
    <w:rsid w:val="00BA11AF"/>
    <w:rsid w:val="00BA5616"/>
    <w:rsid w:val="00BA5C0B"/>
    <w:rsid w:val="00BC042D"/>
    <w:rsid w:val="00BC61DF"/>
    <w:rsid w:val="00BD7EB9"/>
    <w:rsid w:val="00BF01A8"/>
    <w:rsid w:val="00BF10EA"/>
    <w:rsid w:val="00BF1A3D"/>
    <w:rsid w:val="00BF1A48"/>
    <w:rsid w:val="00BF328E"/>
    <w:rsid w:val="00C03654"/>
    <w:rsid w:val="00C04E2A"/>
    <w:rsid w:val="00C20586"/>
    <w:rsid w:val="00C3040F"/>
    <w:rsid w:val="00C31488"/>
    <w:rsid w:val="00C322C4"/>
    <w:rsid w:val="00C33BDC"/>
    <w:rsid w:val="00C34B11"/>
    <w:rsid w:val="00C35133"/>
    <w:rsid w:val="00C35E57"/>
    <w:rsid w:val="00C35ECD"/>
    <w:rsid w:val="00C431FD"/>
    <w:rsid w:val="00C45FFE"/>
    <w:rsid w:val="00C53147"/>
    <w:rsid w:val="00C53C8C"/>
    <w:rsid w:val="00C71300"/>
    <w:rsid w:val="00C722B1"/>
    <w:rsid w:val="00C76269"/>
    <w:rsid w:val="00C80073"/>
    <w:rsid w:val="00C8126B"/>
    <w:rsid w:val="00C82539"/>
    <w:rsid w:val="00C844E4"/>
    <w:rsid w:val="00C90479"/>
    <w:rsid w:val="00C93E6D"/>
    <w:rsid w:val="00CA22B0"/>
    <w:rsid w:val="00CC2CFC"/>
    <w:rsid w:val="00CC59C6"/>
    <w:rsid w:val="00CD5633"/>
    <w:rsid w:val="00CE1B27"/>
    <w:rsid w:val="00CE3129"/>
    <w:rsid w:val="00CF20D5"/>
    <w:rsid w:val="00CF5A0C"/>
    <w:rsid w:val="00D004A3"/>
    <w:rsid w:val="00D00AB7"/>
    <w:rsid w:val="00D0128C"/>
    <w:rsid w:val="00D045B9"/>
    <w:rsid w:val="00D14B16"/>
    <w:rsid w:val="00D15A4F"/>
    <w:rsid w:val="00D1706D"/>
    <w:rsid w:val="00D17523"/>
    <w:rsid w:val="00D20DD2"/>
    <w:rsid w:val="00D27FB1"/>
    <w:rsid w:val="00D30951"/>
    <w:rsid w:val="00D319D6"/>
    <w:rsid w:val="00D31B2D"/>
    <w:rsid w:val="00D34442"/>
    <w:rsid w:val="00D35C0D"/>
    <w:rsid w:val="00D41519"/>
    <w:rsid w:val="00D4680C"/>
    <w:rsid w:val="00D46B7C"/>
    <w:rsid w:val="00D60794"/>
    <w:rsid w:val="00D67A9C"/>
    <w:rsid w:val="00D704EC"/>
    <w:rsid w:val="00D70615"/>
    <w:rsid w:val="00D73332"/>
    <w:rsid w:val="00D7791E"/>
    <w:rsid w:val="00D81393"/>
    <w:rsid w:val="00D82053"/>
    <w:rsid w:val="00D908B1"/>
    <w:rsid w:val="00D95704"/>
    <w:rsid w:val="00DA504D"/>
    <w:rsid w:val="00DB007F"/>
    <w:rsid w:val="00DB4773"/>
    <w:rsid w:val="00DB6AC0"/>
    <w:rsid w:val="00DB6F28"/>
    <w:rsid w:val="00DC37A9"/>
    <w:rsid w:val="00DC721B"/>
    <w:rsid w:val="00DD53D9"/>
    <w:rsid w:val="00DD5DB8"/>
    <w:rsid w:val="00DE0A71"/>
    <w:rsid w:val="00DE1324"/>
    <w:rsid w:val="00DE24F9"/>
    <w:rsid w:val="00DE2FFD"/>
    <w:rsid w:val="00DE3926"/>
    <w:rsid w:val="00DE45EA"/>
    <w:rsid w:val="00DE7FB1"/>
    <w:rsid w:val="00DF06D0"/>
    <w:rsid w:val="00DF4903"/>
    <w:rsid w:val="00DF50FE"/>
    <w:rsid w:val="00DF5907"/>
    <w:rsid w:val="00DF6557"/>
    <w:rsid w:val="00DF7E44"/>
    <w:rsid w:val="00E014ED"/>
    <w:rsid w:val="00E05238"/>
    <w:rsid w:val="00E109D9"/>
    <w:rsid w:val="00E21F1C"/>
    <w:rsid w:val="00E23F16"/>
    <w:rsid w:val="00E249BA"/>
    <w:rsid w:val="00E33C14"/>
    <w:rsid w:val="00E34099"/>
    <w:rsid w:val="00E36EAB"/>
    <w:rsid w:val="00E41080"/>
    <w:rsid w:val="00E45098"/>
    <w:rsid w:val="00E5321A"/>
    <w:rsid w:val="00E551BD"/>
    <w:rsid w:val="00E60497"/>
    <w:rsid w:val="00E6104E"/>
    <w:rsid w:val="00E70ACE"/>
    <w:rsid w:val="00E7199D"/>
    <w:rsid w:val="00E7210F"/>
    <w:rsid w:val="00E7703B"/>
    <w:rsid w:val="00E80080"/>
    <w:rsid w:val="00E82A17"/>
    <w:rsid w:val="00E84ECC"/>
    <w:rsid w:val="00E850B2"/>
    <w:rsid w:val="00E85DD0"/>
    <w:rsid w:val="00E860C0"/>
    <w:rsid w:val="00E86F95"/>
    <w:rsid w:val="00E91505"/>
    <w:rsid w:val="00E95BDB"/>
    <w:rsid w:val="00E95DD3"/>
    <w:rsid w:val="00EA6850"/>
    <w:rsid w:val="00EB0777"/>
    <w:rsid w:val="00EC3518"/>
    <w:rsid w:val="00EC4D45"/>
    <w:rsid w:val="00EC5CA9"/>
    <w:rsid w:val="00EC6E62"/>
    <w:rsid w:val="00EC7D73"/>
    <w:rsid w:val="00ED5475"/>
    <w:rsid w:val="00ED5B19"/>
    <w:rsid w:val="00EE4FC9"/>
    <w:rsid w:val="00EE528B"/>
    <w:rsid w:val="00EF0189"/>
    <w:rsid w:val="00EF1367"/>
    <w:rsid w:val="00EF468F"/>
    <w:rsid w:val="00EF4C41"/>
    <w:rsid w:val="00F03792"/>
    <w:rsid w:val="00F0516B"/>
    <w:rsid w:val="00F07C8D"/>
    <w:rsid w:val="00F21655"/>
    <w:rsid w:val="00F21F75"/>
    <w:rsid w:val="00F22B4C"/>
    <w:rsid w:val="00F235DC"/>
    <w:rsid w:val="00F26C8A"/>
    <w:rsid w:val="00F31F06"/>
    <w:rsid w:val="00F34829"/>
    <w:rsid w:val="00F40DBF"/>
    <w:rsid w:val="00F42688"/>
    <w:rsid w:val="00F4316B"/>
    <w:rsid w:val="00F47E66"/>
    <w:rsid w:val="00F62727"/>
    <w:rsid w:val="00F64354"/>
    <w:rsid w:val="00F6656C"/>
    <w:rsid w:val="00F71920"/>
    <w:rsid w:val="00F7293E"/>
    <w:rsid w:val="00F80287"/>
    <w:rsid w:val="00F82CF0"/>
    <w:rsid w:val="00F844E7"/>
    <w:rsid w:val="00F8478A"/>
    <w:rsid w:val="00F90FE2"/>
    <w:rsid w:val="00F9125A"/>
    <w:rsid w:val="00FA0485"/>
    <w:rsid w:val="00FB1F04"/>
    <w:rsid w:val="00FB4B04"/>
    <w:rsid w:val="00FC1857"/>
    <w:rsid w:val="00FC2A02"/>
    <w:rsid w:val="00FC5773"/>
    <w:rsid w:val="00FC6B7E"/>
    <w:rsid w:val="00FD3395"/>
    <w:rsid w:val="00FD4C9F"/>
    <w:rsid w:val="00FD76F4"/>
    <w:rsid w:val="00FE5FB8"/>
    <w:rsid w:val="00FF07FC"/>
    <w:rsid w:val="0804040B"/>
    <w:rsid w:val="0851026A"/>
    <w:rsid w:val="46F1068F"/>
    <w:rsid w:val="4A842308"/>
    <w:rsid w:val="6ED01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99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link w:val="10"/>
    <w:uiPriority w:val="99"/>
    <w:rPr>
      <w:rFonts w:ascii="宋体" w:hAnsi="Courier New" w:eastAsia="仿宋_GB2312"/>
      <w:sz w:val="30"/>
      <w:szCs w:val="20"/>
    </w:r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2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page number"/>
    <w:basedOn w:val="5"/>
    <w:uiPriority w:val="0"/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9">
    <w:name w:val="Char"/>
    <w:basedOn w:val="1"/>
    <w:qFormat/>
    <w:uiPriority w:val="0"/>
    <w:pPr>
      <w:widowControl/>
      <w:spacing w:after="160" w:line="240" w:lineRule="exact"/>
      <w:jc w:val="left"/>
    </w:pPr>
    <w:rPr>
      <w:rFonts w:ascii="Verdana" w:hAnsi="Verdana" w:eastAsia="仿宋_GB2312"/>
      <w:kern w:val="0"/>
      <w:sz w:val="24"/>
      <w:szCs w:val="20"/>
      <w:lang w:eastAsia="en-US"/>
    </w:rPr>
  </w:style>
  <w:style w:type="character" w:customStyle="1" w:styleId="10">
    <w:name w:val="纯文本 Char"/>
    <w:basedOn w:val="5"/>
    <w:link w:val="2"/>
    <w:qFormat/>
    <w:locked/>
    <w:uiPriority w:val="99"/>
    <w:rPr>
      <w:rFonts w:ascii="宋体" w:hAnsi="Courier New" w:eastAsia="仿宋_GB2312"/>
      <w:kern w:val="2"/>
      <w:sz w:val="30"/>
      <w:lang w:val="en-US" w:eastAsia="zh-CN" w:bidi="ar-SA"/>
    </w:rPr>
  </w:style>
  <w:style w:type="character" w:customStyle="1" w:styleId="11">
    <w:name w:val="Char Char3"/>
    <w:basedOn w:val="5"/>
    <w:qFormat/>
    <w:uiPriority w:val="0"/>
    <w:rPr>
      <w:rFonts w:ascii="宋体" w:hAnsi="Courier New" w:eastAsia="仿宋_GB2312"/>
      <w:kern w:val="2"/>
      <w:sz w:val="30"/>
    </w:rPr>
  </w:style>
  <w:style w:type="character" w:customStyle="1" w:styleId="12">
    <w:name w:val="页眉 Char"/>
    <w:basedOn w:val="5"/>
    <w:link w:val="4"/>
    <w:qFormat/>
    <w:uiPriority w:val="0"/>
    <w:rPr>
      <w:kern w:val="2"/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4</Pages>
  <Words>271</Words>
  <Characters>1551</Characters>
  <Lines>12</Lines>
  <Paragraphs>3</Paragraphs>
  <TotalTime>109</TotalTime>
  <ScaleCrop>false</ScaleCrop>
  <LinksUpToDate>false</LinksUpToDate>
  <CharactersWithSpaces>1819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2016-09-29T01:04:00Z</dcterms:created>
  <dc:creator>User</dc:creator>
  <cp:lastModifiedBy>TF-PC</cp:lastModifiedBy>
  <dcterms:modified xsi:type="dcterms:W3CDTF">2018-08-27T09:40:02Z</dcterms:modified>
  <dc:title>天津市河西区人民法院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