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0" w:lineRule="exact"/>
        <w:jc w:val="center"/>
        <w:rPr>
          <w:rFonts w:hint="eastAsia" w:eastAsia="宋体"/>
          <w:sz w:val="44"/>
        </w:rPr>
      </w:pPr>
      <w:bookmarkStart w:id="2" w:name="_GoBack"/>
      <w:bookmarkEnd w:id="2"/>
      <w:r>
        <w:rPr>
          <w:rFonts w:hint="eastAsia" w:eastAsia="宋体"/>
          <w:sz w:val="44"/>
        </w:rPr>
        <w:t>天津市东丽区人民法院</w:t>
      </w:r>
    </w:p>
    <w:p>
      <w:pPr>
        <w:spacing w:line="800" w:lineRule="exact"/>
        <w:jc w:val="center"/>
        <w:rPr>
          <w:rFonts w:hint="eastAsia" w:eastAsia="宋体"/>
          <w:spacing w:val="50"/>
          <w:sz w:val="52"/>
        </w:rPr>
      </w:pPr>
      <w:r>
        <w:rPr>
          <w:rFonts w:hint="eastAsia" w:eastAsia="宋体"/>
          <w:spacing w:val="50"/>
          <w:sz w:val="52"/>
        </w:rPr>
        <w:t>刑 事 判 决 书</w:t>
      </w:r>
    </w:p>
    <w:p>
      <w:pPr>
        <w:spacing w:line="510" w:lineRule="exact"/>
        <w:jc w:val="center"/>
        <w:rPr>
          <w:rFonts w:hint="eastAsia" w:eastAsia="黑体"/>
          <w:sz w:val="52"/>
        </w:rPr>
      </w:pPr>
    </w:p>
    <w:p>
      <w:pPr>
        <w:spacing w:line="520" w:lineRule="exact"/>
        <w:ind w:firstLine="4650"/>
        <w:jc w:val="right"/>
        <w:rPr>
          <w:rFonts w:hint="eastAsia" w:ascii="仿宋_GB2312"/>
          <w:spacing w:val="-20"/>
        </w:rPr>
      </w:pPr>
      <w:r>
        <w:rPr>
          <w:rFonts w:hint="eastAsia" w:ascii="仿宋_GB2312"/>
          <w:spacing w:val="-20"/>
        </w:rPr>
        <w:t>（2015）丽刑初字第987号</w:t>
      </w:r>
    </w:p>
    <w:p>
      <w:pPr>
        <w:spacing w:line="520" w:lineRule="exact"/>
        <w:ind w:right="568"/>
        <w:rPr>
          <w:rFonts w:hint="eastAsia"/>
          <w:spacing w:val="-20"/>
        </w:rPr>
      </w:pPr>
    </w:p>
    <w:p>
      <w:pPr>
        <w:ind w:firstLine="646"/>
        <w:rPr>
          <w:rFonts w:hint="eastAsia"/>
          <w:kern w:val="10"/>
        </w:rPr>
      </w:pPr>
      <w:r>
        <w:rPr>
          <w:rFonts w:hint="eastAsia"/>
          <w:kern w:val="10"/>
        </w:rPr>
        <w:t>公诉机关天津市东丽区人民检察院。</w:t>
      </w:r>
    </w:p>
    <w:p>
      <w:pPr>
        <w:spacing w:line="520" w:lineRule="exact"/>
        <w:ind w:firstLine="646"/>
        <w:rPr>
          <w:rFonts w:hint="eastAsia" w:ascii="仿宋_GB2312" w:hAnsi="宋体"/>
          <w:szCs w:val="32"/>
        </w:rPr>
      </w:pPr>
      <w:r>
        <w:rPr>
          <w:rFonts w:hint="eastAsia" w:ascii="仿宋_GB2312"/>
          <w:kern w:val="10"/>
          <w:szCs w:val="32"/>
        </w:rPr>
        <w:t>被告人张春勃（身份证号码</w:t>
      </w:r>
      <w:r>
        <w:rPr>
          <w:rFonts w:hint="eastAsia" w:ascii="仿宋_GB2312" w:hAnsi="宋体"/>
          <w:szCs w:val="32"/>
        </w:rPr>
        <w:t>120110196308310316</w:t>
      </w:r>
      <w:r>
        <w:rPr>
          <w:rFonts w:hint="eastAsia" w:ascii="仿宋_GB2312"/>
          <w:kern w:val="10"/>
          <w:szCs w:val="32"/>
        </w:rPr>
        <w:t>），男，1963年8月31日出生于天津市东丽区，汉族，初中文化，无职业，住所地</w:t>
      </w:r>
      <w:r>
        <w:rPr>
          <w:rFonts w:hint="eastAsia" w:ascii="仿宋_GB2312" w:hAnsi="宋体"/>
          <w:szCs w:val="32"/>
        </w:rPr>
        <w:t>天津市东丽区新立街张贵庄村5区东大街南9条3号。</w:t>
      </w:r>
      <w:r>
        <w:rPr>
          <w:rFonts w:hint="eastAsia" w:ascii="仿宋_GB2312"/>
          <w:szCs w:val="32"/>
        </w:rPr>
        <w:t>因涉嫌犯信用卡诈骗罪于</w:t>
      </w:r>
      <w:r>
        <w:rPr>
          <w:rFonts w:hint="eastAsia" w:ascii="仿宋_GB2312"/>
          <w:kern w:val="10"/>
          <w:szCs w:val="32"/>
        </w:rPr>
        <w:t>2015年8月13日被天津市公安局东丽分局取保候审</w:t>
      </w:r>
      <w:r>
        <w:rPr>
          <w:rFonts w:hint="eastAsia" w:ascii="仿宋_GB2312"/>
          <w:szCs w:val="32"/>
        </w:rPr>
        <w:t>。</w:t>
      </w:r>
    </w:p>
    <w:p>
      <w:pPr>
        <w:spacing w:line="520" w:lineRule="exact"/>
        <w:ind w:firstLine="646"/>
        <w:rPr>
          <w:rFonts w:hint="eastAsia" w:ascii="仿宋_GB2312"/>
          <w:kern w:val="10"/>
        </w:rPr>
      </w:pPr>
      <w:r>
        <w:rPr>
          <w:rFonts w:hint="eastAsia" w:ascii="仿宋_GB2312"/>
          <w:kern w:val="10"/>
        </w:rPr>
        <w:t>天津市东丽区人民检察院以津丽检公诉刑诉（2015）919号起诉书指控被告人张春勃犯信用卡诈骗罪，于2015年11月9日向本院提起公诉。本院依法适用简易程序，实行独任审判，公开开庭审理了本案。</w:t>
      </w:r>
      <w:r>
        <w:rPr>
          <w:rFonts w:hint="eastAsia" w:ascii="仿宋_GB2312"/>
        </w:rPr>
        <w:t>天津市东丽区人民检察院指派代理检察员马志颖出庭支持公诉，</w:t>
      </w:r>
      <w:r>
        <w:rPr>
          <w:rFonts w:hint="eastAsia" w:ascii="仿宋_GB2312"/>
          <w:kern w:val="10"/>
        </w:rPr>
        <w:t>被告人张春勃到庭参加了诉讼。现已审理终结。</w:t>
      </w:r>
    </w:p>
    <w:p>
      <w:pPr>
        <w:ind w:firstLine="646"/>
        <w:rPr>
          <w:rFonts w:hint="eastAsia" w:ascii="仿宋_GB2312"/>
        </w:rPr>
      </w:pPr>
      <w:r>
        <w:rPr>
          <w:rFonts w:hint="eastAsia" w:ascii="仿宋_GB2312"/>
          <w:kern w:val="10"/>
        </w:rPr>
        <w:t>公诉机关指控，</w:t>
      </w:r>
      <w:r>
        <w:rPr>
          <w:rFonts w:hint="eastAsia" w:ascii="仿宋_GB2312"/>
        </w:rPr>
        <w:t>2012年1月10，被告人张春勃在广发银行以</w:t>
      </w:r>
      <w:r>
        <w:rPr>
          <w:rFonts w:hint="eastAsia" w:ascii="仿宋_GB2312"/>
          <w:kern w:val="10"/>
          <w:szCs w:val="32"/>
        </w:rPr>
        <w:t>户籍地</w:t>
      </w:r>
      <w:r>
        <w:rPr>
          <w:rFonts w:hint="eastAsia" w:ascii="仿宋_GB2312" w:hAnsi="宋体"/>
          <w:szCs w:val="32"/>
        </w:rPr>
        <w:t>天津市东丽区新立街张贵庄村5区东大街南9条3号、电话13702060970、13821706940为联系电话，</w:t>
      </w:r>
      <w:r>
        <w:rPr>
          <w:rFonts w:hint="eastAsia" w:ascii="仿宋_GB2312"/>
        </w:rPr>
        <w:t>申领了一张信用卡，卡号为5289311420015663，信用额度为4.1万元，2012年1月16日首次透支，至2014年3月7日最后一次还款人民币1000元共计透支本金27201.14元。经发卡银行多次催收，被告人以关机、停用联系电话的方式拒不归还欠款，已超过三个月。2015年8月13日，被告人张春勃向公安机关投案，并退还本金及利息人民币30000元。</w:t>
      </w:r>
    </w:p>
    <w:p>
      <w:pPr>
        <w:ind w:firstLine="650" w:firstLineChars="200"/>
        <w:rPr>
          <w:rFonts w:hint="eastAsia"/>
        </w:rPr>
      </w:pPr>
      <w:r>
        <w:rPr>
          <w:rFonts w:hint="eastAsia"/>
        </w:rPr>
        <w:t>上述事实，被告人张春勃在开庭审理过程中亦无异议，并有证人张益涛的证言，扣押、发还物品清单，广发银行的报案材料及开卡信息、情况说明，催收记录及交易流水，公安机关所作的情况说明，被告人的户籍证明，案件来源及抓获经过等证据证实，足以认定。</w:t>
      </w:r>
    </w:p>
    <w:p>
      <w:pPr>
        <w:pStyle w:val="7"/>
        <w:rPr>
          <w:rFonts w:hint="eastAsia"/>
        </w:rPr>
      </w:pPr>
      <w:r>
        <w:rPr>
          <w:rFonts w:hint="eastAsia"/>
        </w:rPr>
        <w:t>本院认为，被告人张春勃以非法占有为目的，</w:t>
      </w:r>
      <w:r>
        <w:rPr>
          <w:rFonts w:hint="eastAsia" w:ascii="仿宋_GB2312"/>
        </w:rPr>
        <w:t>利用银行信用卡恶意透支并拒不归还，数额较大，</w:t>
      </w:r>
      <w:r>
        <w:rPr>
          <w:rFonts w:hint="eastAsia"/>
        </w:rPr>
        <w:t>其行为已构成信用卡诈骗罪，依法应予惩处。公诉机关指控罪名成立，予以采纳。</w:t>
      </w:r>
      <w:r>
        <w:rPr>
          <w:rFonts w:hint="eastAsia" w:ascii="仿宋_GB2312"/>
        </w:rPr>
        <w:t>鉴于</w:t>
      </w:r>
      <w:r>
        <w:rPr>
          <w:rFonts w:hint="eastAsia"/>
        </w:rPr>
        <w:t>被告人张春勃主动投案</w:t>
      </w:r>
      <w:r>
        <w:rPr>
          <w:rFonts w:hint="eastAsia" w:ascii="仿宋_GB2312"/>
        </w:rPr>
        <w:t>自首，认罪态度较好，确有悔罪表现，并且归还了所有本金，可以从轻处罚</w:t>
      </w:r>
      <w:r>
        <w:rPr>
          <w:rFonts w:hint="eastAsia"/>
        </w:rPr>
        <w:t>。综上，本院依照《中华人民共和国刑法》</w:t>
      </w:r>
      <w:r>
        <w:rPr>
          <w:rFonts w:hint="eastAsia" w:ascii="仿宋_GB2312"/>
        </w:rPr>
        <w:t>第一百九十六条第一款第（四）项</w:t>
      </w:r>
      <w:r>
        <w:rPr>
          <w:rFonts w:hint="eastAsia"/>
        </w:rPr>
        <w:t>、</w:t>
      </w:r>
      <w:r>
        <w:rPr>
          <w:rFonts w:hint="eastAsia" w:ascii="仿宋_GB2312"/>
        </w:rPr>
        <w:t>第六</w:t>
      </w:r>
      <w:r>
        <w:rPr>
          <w:rFonts w:hint="eastAsia"/>
        </w:rPr>
        <w:t>十七条第一款、</w:t>
      </w:r>
      <w:r>
        <w:rPr>
          <w:rFonts w:hint="eastAsia" w:ascii="仿宋_GB2312"/>
        </w:rPr>
        <w:t>第七十二条、第七十三条、第七十六条</w:t>
      </w:r>
      <w:r>
        <w:rPr>
          <w:rFonts w:hint="eastAsia"/>
        </w:rPr>
        <w:t>之规定，判决如下：</w:t>
      </w:r>
    </w:p>
    <w:p>
      <w:pPr>
        <w:ind w:firstLine="646"/>
        <w:rPr>
          <w:rFonts w:hint="eastAsia" w:ascii="仿宋_GB2312"/>
        </w:rPr>
      </w:pPr>
      <w:r>
        <w:rPr>
          <w:rFonts w:hint="eastAsia"/>
          <w:kern w:val="10"/>
        </w:rPr>
        <w:t>被告人张春勃犯信用卡诈骗罪，判处有期徒刑六个月，缓刑一年，并处罚金人民</w:t>
      </w:r>
      <w:r>
        <w:rPr>
          <w:rFonts w:hint="eastAsia" w:ascii="仿宋_GB2312"/>
          <w:kern w:val="10"/>
        </w:rPr>
        <w:t>币20000元。</w:t>
      </w:r>
      <w:r>
        <w:rPr>
          <w:rFonts w:hint="eastAsia" w:ascii="仿宋_GB2312"/>
          <w:szCs w:val="32"/>
        </w:rPr>
        <w:t>在缓刑考验期限内，依法实行社区矫正。</w:t>
      </w:r>
      <w:r>
        <w:rPr>
          <w:rFonts w:hint="eastAsia" w:ascii="仿宋_GB2312"/>
        </w:rPr>
        <w:t>（缓刑考验期自判决确定之日起计算）</w:t>
      </w:r>
    </w:p>
    <w:p>
      <w:pPr>
        <w:ind w:firstLine="646"/>
        <w:rPr>
          <w:rFonts w:hint="eastAsia" w:ascii="仿宋_GB2312"/>
          <w:kern w:val="10"/>
        </w:rPr>
      </w:pPr>
      <w:r>
        <w:rPr>
          <w:rFonts w:hint="eastAsia" w:ascii="仿宋_GB2312"/>
          <w:kern w:val="10"/>
        </w:rPr>
        <w:t>罚金于本判决生效后十日内交付本院。</w:t>
      </w:r>
    </w:p>
    <w:p>
      <w:pPr>
        <w:ind w:firstLine="646"/>
        <w:rPr>
          <w:rFonts w:hint="eastAsia"/>
          <w:kern w:val="10"/>
        </w:rPr>
      </w:pPr>
      <w:r>
        <w:rPr>
          <w:rFonts w:hint="eastAsia"/>
          <w:kern w:val="10"/>
        </w:rPr>
        <w:t>如不服本判决，可于接到判决书的第二日起十日内，通过本院或直接向天津市第二中级人民法院提出上诉，书面上诉的，应交上诉状正本一份，副本二份。</w:t>
      </w:r>
    </w:p>
    <w:p>
      <w:pPr>
        <w:ind w:firstLine="4926" w:firstLineChars="1516"/>
        <w:rPr>
          <w:rFonts w:hint="eastAsia"/>
          <w:kern w:val="10"/>
        </w:rPr>
      </w:pPr>
    </w:p>
    <w:p>
      <w:pPr>
        <w:ind w:firstLine="4926" w:firstLineChars="1516"/>
        <w:rPr>
          <w:rFonts w:hint="eastAsia"/>
          <w:kern w:val="10"/>
        </w:rPr>
      </w:pPr>
    </w:p>
    <w:p>
      <w:pPr>
        <w:ind w:firstLine="4926" w:firstLineChars="1516"/>
        <w:rPr>
          <w:rFonts w:hint="eastAsia"/>
          <w:kern w:val="10"/>
        </w:rPr>
      </w:pPr>
    </w:p>
    <w:p>
      <w:pPr>
        <w:ind w:firstLine="4926" w:firstLineChars="1516"/>
        <w:rPr>
          <w:rFonts w:hint="eastAsia"/>
          <w:kern w:val="10"/>
        </w:rPr>
      </w:pPr>
    </w:p>
    <w:p>
      <w:pPr>
        <w:rPr>
          <w:rFonts w:hint="eastAsia"/>
          <w:kern w:val="10"/>
        </w:rPr>
      </w:pPr>
      <w:r>
        <w:rPr>
          <w:rFonts w:hint="eastAsia"/>
          <w:kern w:val="10"/>
        </w:rPr>
        <w:t>（此页无正文）</w:t>
      </w:r>
    </w:p>
    <w:p>
      <w:pPr>
        <w:ind w:firstLine="4926" w:firstLineChars="1516"/>
        <w:rPr>
          <w:rFonts w:hint="eastAsia"/>
          <w:kern w:val="10"/>
        </w:rPr>
      </w:pPr>
    </w:p>
    <w:p>
      <w:pPr>
        <w:ind w:firstLine="4926" w:firstLineChars="1516"/>
        <w:rPr>
          <w:rFonts w:hint="eastAsia"/>
          <w:kern w:val="10"/>
        </w:rPr>
      </w:pPr>
      <w:r>
        <w:rPr>
          <w:rFonts w:hint="eastAsia"/>
          <w:kern w:val="10"/>
        </w:rPr>
        <w:t>审  判  员  魏新来</w:t>
      </w:r>
    </w:p>
    <w:p>
      <w:pPr>
        <w:ind w:firstLine="646"/>
        <w:rPr>
          <w:rFonts w:hint="eastAsia"/>
          <w:kern w:val="10"/>
        </w:rPr>
      </w:pPr>
    </w:p>
    <w:p>
      <w:pPr>
        <w:ind w:firstLine="4290" w:firstLineChars="1320"/>
        <w:rPr>
          <w:rFonts w:hint="eastAsia"/>
          <w:kern w:val="10"/>
        </w:rPr>
      </w:pPr>
      <w:r>
        <w:rPr>
          <w:rFonts w:hint="eastAsia"/>
          <w:kern w:val="10"/>
        </w:rPr>
        <w:t>二</w:t>
      </w:r>
      <w:r>
        <w:rPr>
          <w:rFonts w:hint="eastAsia" w:ascii="宋体" w:hAnsi="宋体" w:eastAsia="宋体" w:cs="宋体"/>
          <w:kern w:val="10"/>
        </w:rPr>
        <w:t>〇</w:t>
      </w:r>
      <w:r>
        <w:rPr>
          <w:rFonts w:hint="eastAsia" w:ascii="仿宋_GB2312" w:hAnsi="仿宋_GB2312" w:cs="仿宋_GB2312"/>
          <w:kern w:val="10"/>
        </w:rPr>
        <w:t>一五年十一月十六</w:t>
      </w:r>
      <w:r>
        <w:rPr>
          <w:rFonts w:hint="eastAsia"/>
          <w:kern w:val="10"/>
        </w:rPr>
        <w:t>日</w:t>
      </w:r>
    </w:p>
    <w:p>
      <w:pPr>
        <w:ind w:firstLine="4588" w:firstLineChars="1412"/>
        <w:rPr>
          <w:rFonts w:hint="eastAsia"/>
          <w:kern w:val="10"/>
        </w:rPr>
      </w:pPr>
    </w:p>
    <w:p>
      <w:pPr>
        <w:ind w:firstLine="4926" w:firstLineChars="1516"/>
        <w:rPr>
          <w:rFonts w:hint="eastAsia" w:ascii="宋体" w:hAnsi="宋体" w:eastAsia="宋体" w:cs="宋体"/>
          <w:kern w:val="10"/>
        </w:rPr>
      </w:pPr>
      <w:r>
        <w:rPr>
          <w:rFonts w:hint="eastAsia"/>
          <w:kern w:val="10"/>
        </w:rPr>
        <w:t xml:space="preserve">书  记  员  张  </w:t>
      </w:r>
      <w:r>
        <w:rPr>
          <w:rFonts w:hint="eastAsia" w:ascii="宋体" w:hAnsi="宋体" w:eastAsia="宋体" w:cs="宋体"/>
          <w:kern w:val="10"/>
        </w:rPr>
        <w:t>祎</w:t>
      </w:r>
    </w:p>
    <w:p>
      <w:pPr>
        <w:ind w:firstLine="4900" w:firstLineChars="1508"/>
        <w:rPr>
          <w:rFonts w:hint="eastAsia"/>
          <w:kern w:val="10"/>
        </w:rPr>
      </w:pPr>
      <w:r>
        <w:rPr>
          <w:rFonts w:hint="eastAsia"/>
          <w:kern w:val="10"/>
        </w:rPr>
        <w:t>速  录  员  黄维玲</w:t>
      </w:r>
    </w:p>
    <w:p>
      <w:pPr>
        <w:ind w:firstLine="4875" w:firstLineChars="1500"/>
        <w:rPr>
          <w:rFonts w:hint="eastAsia"/>
          <w:kern w:val="10"/>
        </w:rPr>
      </w:pPr>
    </w:p>
    <w:p>
      <w:pPr>
        <w:ind w:firstLine="4875" w:firstLineChars="1500"/>
        <w:rPr>
          <w:rFonts w:hint="eastAsia"/>
          <w:kern w:val="10"/>
        </w:rPr>
      </w:pPr>
    </w:p>
    <w:p>
      <w:pPr>
        <w:spacing w:line="520" w:lineRule="exact"/>
        <w:ind w:firstLine="1816" w:firstLineChars="498"/>
        <w:rPr>
          <w:rFonts w:hint="eastAsia" w:ascii="黑体" w:eastAsia="黑体"/>
          <w:sz w:val="36"/>
        </w:rPr>
      </w:pPr>
    </w:p>
    <w:p>
      <w:pPr>
        <w:spacing w:line="520" w:lineRule="exact"/>
        <w:ind w:firstLine="1816" w:firstLineChars="498"/>
        <w:rPr>
          <w:rFonts w:hint="eastAsia" w:ascii="黑体" w:eastAsia="黑体"/>
          <w:sz w:val="36"/>
        </w:rPr>
      </w:pPr>
    </w:p>
    <w:p>
      <w:pPr>
        <w:spacing w:line="520" w:lineRule="exact"/>
        <w:ind w:firstLine="1816" w:firstLineChars="498"/>
        <w:rPr>
          <w:rFonts w:hint="eastAsia" w:ascii="黑体" w:eastAsia="黑体"/>
          <w:sz w:val="36"/>
        </w:rPr>
      </w:pPr>
    </w:p>
    <w:p>
      <w:pPr>
        <w:spacing w:line="520" w:lineRule="exact"/>
        <w:ind w:firstLine="1816" w:firstLineChars="498"/>
        <w:rPr>
          <w:rFonts w:hint="eastAsia" w:ascii="黑体" w:eastAsia="黑体"/>
          <w:sz w:val="36"/>
        </w:rPr>
      </w:pPr>
    </w:p>
    <w:p>
      <w:pPr>
        <w:spacing w:line="520" w:lineRule="exact"/>
        <w:ind w:firstLine="1816" w:firstLineChars="498"/>
        <w:rPr>
          <w:rFonts w:hint="eastAsia" w:ascii="黑体" w:eastAsia="黑体"/>
          <w:sz w:val="36"/>
        </w:rPr>
      </w:pPr>
    </w:p>
    <w:p>
      <w:pPr>
        <w:spacing w:line="520" w:lineRule="exact"/>
        <w:ind w:firstLine="1816" w:firstLineChars="498"/>
        <w:rPr>
          <w:rFonts w:hint="eastAsia" w:ascii="黑体" w:eastAsia="黑体"/>
          <w:sz w:val="36"/>
        </w:rPr>
      </w:pPr>
    </w:p>
    <w:p>
      <w:pPr>
        <w:spacing w:line="520" w:lineRule="exact"/>
        <w:ind w:firstLine="1816" w:firstLineChars="498"/>
        <w:rPr>
          <w:rFonts w:hint="eastAsia" w:ascii="黑体" w:eastAsia="黑体"/>
          <w:sz w:val="36"/>
        </w:rPr>
      </w:pPr>
    </w:p>
    <w:p>
      <w:pPr>
        <w:spacing w:line="520" w:lineRule="exact"/>
        <w:ind w:firstLine="1816" w:firstLineChars="498"/>
        <w:rPr>
          <w:rFonts w:hint="eastAsia" w:ascii="黑体" w:eastAsia="黑体"/>
          <w:sz w:val="36"/>
        </w:rPr>
      </w:pPr>
    </w:p>
    <w:p>
      <w:pPr>
        <w:spacing w:line="520" w:lineRule="exact"/>
        <w:ind w:firstLine="1816" w:firstLineChars="498"/>
        <w:rPr>
          <w:rFonts w:hint="eastAsia" w:ascii="黑体" w:eastAsia="黑体"/>
          <w:sz w:val="36"/>
        </w:rPr>
      </w:pPr>
    </w:p>
    <w:p>
      <w:pPr>
        <w:spacing w:line="520" w:lineRule="exact"/>
        <w:ind w:firstLine="1816" w:firstLineChars="498"/>
        <w:rPr>
          <w:rFonts w:hint="eastAsia" w:ascii="黑体" w:eastAsia="黑体"/>
          <w:sz w:val="36"/>
        </w:rPr>
      </w:pPr>
    </w:p>
    <w:p>
      <w:pPr>
        <w:spacing w:line="520" w:lineRule="exact"/>
        <w:ind w:firstLine="1816" w:firstLineChars="498"/>
        <w:rPr>
          <w:rFonts w:hint="eastAsia" w:ascii="黑体" w:eastAsia="黑体"/>
          <w:sz w:val="36"/>
        </w:rPr>
      </w:pPr>
    </w:p>
    <w:p>
      <w:pPr>
        <w:spacing w:line="520" w:lineRule="exact"/>
        <w:ind w:firstLine="1816" w:firstLineChars="498"/>
        <w:rPr>
          <w:rFonts w:hint="eastAsia" w:ascii="黑体" w:eastAsia="黑体"/>
          <w:sz w:val="36"/>
        </w:rPr>
      </w:pPr>
    </w:p>
    <w:p>
      <w:pPr>
        <w:spacing w:line="520" w:lineRule="exact"/>
        <w:ind w:firstLine="1816" w:firstLineChars="498"/>
        <w:rPr>
          <w:rFonts w:hint="eastAsia" w:ascii="黑体" w:eastAsia="黑体"/>
          <w:sz w:val="36"/>
        </w:rPr>
      </w:pPr>
    </w:p>
    <w:p>
      <w:pPr>
        <w:spacing w:line="520" w:lineRule="exact"/>
        <w:ind w:firstLine="1816" w:firstLineChars="498"/>
        <w:rPr>
          <w:rFonts w:hint="eastAsia" w:ascii="黑体" w:eastAsia="黑体"/>
          <w:sz w:val="36"/>
        </w:rPr>
      </w:pPr>
    </w:p>
    <w:p>
      <w:pPr>
        <w:spacing w:line="520" w:lineRule="exact"/>
        <w:ind w:firstLine="1816" w:firstLineChars="498"/>
        <w:rPr>
          <w:rFonts w:hint="eastAsia" w:ascii="黑体" w:eastAsia="黑体"/>
          <w:sz w:val="36"/>
        </w:rPr>
      </w:pPr>
    </w:p>
    <w:p>
      <w:pPr>
        <w:spacing w:line="520" w:lineRule="exact"/>
        <w:ind w:firstLine="1816" w:firstLineChars="498"/>
        <w:rPr>
          <w:rFonts w:hint="eastAsia" w:ascii="黑体" w:eastAsia="黑体"/>
          <w:sz w:val="36"/>
        </w:rPr>
      </w:pPr>
      <w:r>
        <w:rPr>
          <w:rFonts w:hint="eastAsia" w:ascii="黑体" w:eastAsia="黑体"/>
          <w:sz w:val="36"/>
        </w:rPr>
        <w:t>本判决所依据的相关法律、法规</w:t>
      </w:r>
    </w:p>
    <w:p>
      <w:pPr>
        <w:spacing w:line="520" w:lineRule="exact"/>
        <w:ind w:firstLine="646"/>
        <w:jc w:val="center"/>
        <w:rPr>
          <w:rFonts w:hint="eastAsia" w:ascii="黑体" w:eastAsia="黑体"/>
          <w:sz w:val="36"/>
        </w:rPr>
      </w:pPr>
    </w:p>
    <w:p>
      <w:pPr>
        <w:tabs>
          <w:tab w:val="left" w:pos="5809"/>
        </w:tabs>
        <w:spacing w:line="520" w:lineRule="exact"/>
        <w:ind w:firstLine="646"/>
        <w:rPr>
          <w:rFonts w:hint="eastAsia"/>
          <w:kern w:val="10"/>
        </w:rPr>
      </w:pPr>
      <w:bookmarkStart w:id="0" w:name="up"/>
      <w:bookmarkEnd w:id="0"/>
      <w:bookmarkStart w:id="1" w:name="196"/>
      <w:r>
        <w:rPr>
          <w:rFonts w:hint="eastAsia"/>
        </w:rPr>
        <w:t>一、《中华人民共和国刑法》</w:t>
      </w:r>
      <w:r>
        <w:rPr>
          <w:kern w:val="10"/>
        </w:rPr>
        <w:t>第一百九十六条</w:t>
      </w:r>
      <w:bookmarkEnd w:id="1"/>
      <w:r>
        <w:rPr>
          <w:rFonts w:hint="eastAsia"/>
          <w:kern w:val="10"/>
        </w:rPr>
        <w:t>：</w:t>
      </w:r>
      <w:r>
        <w:rPr>
          <w:kern w:val="10"/>
        </w:rPr>
        <w:t>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  <w:r>
        <w:rPr>
          <w:kern w:val="10"/>
        </w:rPr>
        <w:br w:type="textWrapping"/>
      </w:r>
      <w:r>
        <w:rPr>
          <w:kern w:val="10"/>
        </w:rPr>
        <w:t>　　（一）使用伪造的信用卡的；</w:t>
      </w:r>
      <w:r>
        <w:rPr>
          <w:kern w:val="10"/>
        </w:rPr>
        <w:br w:type="textWrapping"/>
      </w:r>
      <w:r>
        <w:rPr>
          <w:kern w:val="10"/>
        </w:rPr>
        <w:t>　　（二）使用作废的信用卡的；</w:t>
      </w:r>
      <w:r>
        <w:rPr>
          <w:kern w:val="10"/>
        </w:rPr>
        <w:br w:type="textWrapping"/>
      </w:r>
      <w:r>
        <w:rPr>
          <w:kern w:val="10"/>
        </w:rPr>
        <w:t>　　（三）冒用他人信用卡的；</w:t>
      </w:r>
      <w:r>
        <w:rPr>
          <w:kern w:val="10"/>
        </w:rPr>
        <w:br w:type="textWrapping"/>
      </w:r>
      <w:r>
        <w:rPr>
          <w:kern w:val="10"/>
        </w:rPr>
        <w:t>　　（四）恶意透支的。</w:t>
      </w:r>
      <w:r>
        <w:rPr>
          <w:kern w:val="10"/>
        </w:rPr>
        <w:br w:type="textWrapping"/>
      </w:r>
      <w:r>
        <w:rPr>
          <w:kern w:val="10"/>
        </w:rPr>
        <w:t>　　前款所称恶意透支，是指持卡人以非法占有为目的，超过规定限额或者规定期限透支，并且经发卡银行催收后仍不归还的行为。</w:t>
      </w:r>
      <w:r>
        <w:rPr>
          <w:kern w:val="10"/>
        </w:rPr>
        <w:br w:type="textWrapping"/>
      </w:r>
      <w:r>
        <w:rPr>
          <w:kern w:val="10"/>
        </w:rPr>
        <w:t>　　盗窃信用卡并使用的，依照本法第二百六十四条的规定定罪处罚。</w:t>
      </w:r>
    </w:p>
    <w:p>
      <w:pPr>
        <w:tabs>
          <w:tab w:val="left" w:pos="5809"/>
        </w:tabs>
        <w:spacing w:line="520" w:lineRule="exact"/>
        <w:ind w:firstLine="646"/>
        <w:rPr>
          <w:rFonts w:hint="eastAsia"/>
          <w:kern w:val="10"/>
        </w:rPr>
      </w:pPr>
      <w:r>
        <w:rPr>
          <w:rFonts w:hint="eastAsia"/>
          <w:kern w:val="10"/>
        </w:rPr>
        <w:t>二、《中华人民共和国刑法》第六十七条：犯罪以后自动投案，如实供述自己的罪行的，是自首。对于自首的犯罪分子，可以从轻或者减轻处罚。其中，犯罪较轻的，可以免除处罚。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被采取强制措施的犯罪嫌疑人、被告人和正在服刑的罪犯，如实供述司法机关还未掌握的本人其他罪行的，以自首论。</w:t>
      </w:r>
    </w:p>
    <w:p>
      <w:pPr>
        <w:tabs>
          <w:tab w:val="left" w:pos="5809"/>
        </w:tabs>
        <w:spacing w:line="520" w:lineRule="exact"/>
        <w:ind w:firstLine="646"/>
        <w:rPr>
          <w:rFonts w:hint="eastAsia"/>
          <w:kern w:val="10"/>
        </w:rPr>
      </w:pPr>
      <w:r>
        <w:rPr>
          <w:rFonts w:hint="eastAsia"/>
          <w:kern w:val="10"/>
        </w:rPr>
        <w:t>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三、《中华人民共和国刑法》第七十二条：对于被判处拘役、三年以下有期徒刑的犯罪分子，同时符合下列条件的，可以宣告缓刑，对其中不满十八周岁的人、怀孕的妇女和已满七十五周岁的人，应当宣告缓刑：</w:t>
      </w:r>
      <w:r>
        <w:rPr>
          <w:rFonts w:hint="eastAsia" w:ascii="仿宋_GB2312"/>
        </w:rPr>
        <w:br w:type="textWrapping"/>
      </w:r>
      <w:r>
        <w:rPr>
          <w:rFonts w:hint="eastAsia" w:ascii="仿宋_GB2312"/>
        </w:rPr>
        <w:t>　　（一）犯罪情节较轻；</w:t>
      </w:r>
      <w:r>
        <w:rPr>
          <w:rFonts w:hint="eastAsia" w:ascii="仿宋_GB2312"/>
        </w:rPr>
        <w:br w:type="textWrapping"/>
      </w:r>
      <w:r>
        <w:rPr>
          <w:rFonts w:hint="eastAsia" w:ascii="仿宋_GB2312"/>
        </w:rPr>
        <w:t>　　（二）有悔罪表现；</w:t>
      </w:r>
      <w:r>
        <w:rPr>
          <w:rFonts w:hint="eastAsia" w:ascii="仿宋_GB2312"/>
        </w:rPr>
        <w:br w:type="textWrapping"/>
      </w:r>
      <w:r>
        <w:rPr>
          <w:rFonts w:hint="eastAsia" w:ascii="仿宋_GB2312"/>
        </w:rPr>
        <w:t>　　（三）没有再犯罪的危险；</w:t>
      </w:r>
      <w:r>
        <w:rPr>
          <w:rFonts w:hint="eastAsia" w:ascii="仿宋_GB2312"/>
        </w:rPr>
        <w:br w:type="textWrapping"/>
      </w:r>
      <w:r>
        <w:rPr>
          <w:rFonts w:hint="eastAsia" w:ascii="仿宋_GB2312"/>
        </w:rPr>
        <w:t>　　（四）宣告缓刑对所居住社区没有重大不良影响。</w:t>
      </w:r>
      <w:r>
        <w:rPr>
          <w:rFonts w:hint="eastAsia" w:ascii="仿宋_GB2312"/>
        </w:rPr>
        <w:br w:type="textWrapping"/>
      </w:r>
      <w:r>
        <w:rPr>
          <w:rFonts w:hint="eastAsia" w:ascii="仿宋_GB2312"/>
        </w:rPr>
        <w:t>　　宣告缓刑，可以根据犯罪情况，同时禁止犯罪分子在缓刑考验期限内从事特定活动，进入特定区域、场所，接触特定的人。</w:t>
      </w:r>
      <w:r>
        <w:rPr>
          <w:rFonts w:hint="eastAsia" w:ascii="仿宋_GB2312"/>
        </w:rPr>
        <w:br w:type="textWrapping"/>
      </w:r>
      <w:r>
        <w:rPr>
          <w:rFonts w:hint="eastAsia" w:ascii="仿宋_GB2312"/>
        </w:rPr>
        <w:t>　　被宣告缓刑的犯罪分子，如果被判处附加刑，附加刑仍须执行。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四、《中华人民共和国刑法》第七十三条：拘役的缓刑考验期限为原判刑期以上一年以下，但是不能少于二个月。</w:t>
      </w:r>
      <w:r>
        <w:rPr>
          <w:rFonts w:hint="eastAsia" w:ascii="仿宋_GB2312"/>
        </w:rPr>
        <w:br w:type="textWrapping"/>
      </w:r>
      <w:r>
        <w:rPr>
          <w:rFonts w:hint="eastAsia" w:ascii="仿宋_GB2312"/>
        </w:rPr>
        <w:t>　　有期徒刑的缓刑考验期限为原判刑期以上五年以下，但是不能少于一年。</w:t>
      </w:r>
      <w:r>
        <w:rPr>
          <w:rFonts w:hint="eastAsia" w:ascii="仿宋_GB2312"/>
        </w:rPr>
        <w:br w:type="textWrapping"/>
      </w:r>
      <w:r>
        <w:rPr>
          <w:rFonts w:hint="eastAsia" w:ascii="仿宋_GB2312"/>
        </w:rPr>
        <w:t>　　缓刑考验期限，从判决确定之日起计算。</w:t>
      </w:r>
    </w:p>
    <w:p>
      <w:pPr>
        <w:spacing w:line="520" w:lineRule="exact"/>
        <w:ind w:firstLine="650" w:firstLineChars="200"/>
        <w:rPr>
          <w:rFonts w:hint="eastAsia" w:ascii="仿宋_GB2312"/>
          <w:szCs w:val="21"/>
        </w:rPr>
      </w:pPr>
      <w:r>
        <w:rPr>
          <w:rFonts w:hint="eastAsia"/>
          <w:kern w:val="10"/>
        </w:rPr>
        <w:t>五、</w:t>
      </w:r>
      <w:r>
        <w:rPr>
          <w:rFonts w:hint="eastAsia"/>
        </w:rPr>
        <w:t>《中华人民共和国刑法》</w:t>
      </w:r>
      <w:r>
        <w:rPr>
          <w:rFonts w:hint="eastAsia" w:ascii="仿宋_GB2312"/>
        </w:rPr>
        <w:t>第七十六条：</w:t>
      </w:r>
      <w:r>
        <w:rPr>
          <w:rFonts w:hint="eastAsia" w:ascii="仿宋_GB2312"/>
          <w:szCs w:val="21"/>
        </w:rPr>
        <w:t>对宣告缓刑的犯罪分子，在缓刑考验期限内，依法实行社区矫正，如果没有本法第七十七条规定的情形，缓刑考验期满，原判的刑罚就不再执行，并公开予以宣告。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1701" w:right="1418" w:bottom="1701" w:left="1701" w:header="0" w:footer="1361" w:gutter="0"/>
      <w:cols w:space="425" w:num="1"/>
      <w:docGrid w:type="linesAndChars" w:linePitch="516" w:charSpace="112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3</w:t>
    </w:r>
    <w:r>
      <w:rPr>
        <w:rStyle w:val="9"/>
      </w:rPr>
      <w:fldChar w:fldCharType="end"/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HorizontalSpacing w:val="325"/>
  <w:drawingGridVerticalSpacing w:val="2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2DE1"/>
    <w:rsid w:val="00017C40"/>
    <w:rsid w:val="000409EC"/>
    <w:rsid w:val="00052976"/>
    <w:rsid w:val="00065D87"/>
    <w:rsid w:val="00081315"/>
    <w:rsid w:val="00093C00"/>
    <w:rsid w:val="000B5946"/>
    <w:rsid w:val="000D6880"/>
    <w:rsid w:val="001020D3"/>
    <w:rsid w:val="00127384"/>
    <w:rsid w:val="00136AD4"/>
    <w:rsid w:val="00146DAC"/>
    <w:rsid w:val="0015311E"/>
    <w:rsid w:val="00163DDF"/>
    <w:rsid w:val="001749C4"/>
    <w:rsid w:val="00187A70"/>
    <w:rsid w:val="001910A1"/>
    <w:rsid w:val="001A2401"/>
    <w:rsid w:val="001C7DAF"/>
    <w:rsid w:val="001D5522"/>
    <w:rsid w:val="00202794"/>
    <w:rsid w:val="00210C2E"/>
    <w:rsid w:val="002251D7"/>
    <w:rsid w:val="00241598"/>
    <w:rsid w:val="00247175"/>
    <w:rsid w:val="00250AF2"/>
    <w:rsid w:val="0025316F"/>
    <w:rsid w:val="00270E5B"/>
    <w:rsid w:val="002752E7"/>
    <w:rsid w:val="00276F46"/>
    <w:rsid w:val="00296934"/>
    <w:rsid w:val="002A256E"/>
    <w:rsid w:val="002A2DFE"/>
    <w:rsid w:val="002A44E3"/>
    <w:rsid w:val="002A7AE0"/>
    <w:rsid w:val="002B2DE1"/>
    <w:rsid w:val="002F2724"/>
    <w:rsid w:val="00302DD3"/>
    <w:rsid w:val="0030514A"/>
    <w:rsid w:val="00310623"/>
    <w:rsid w:val="00335C9E"/>
    <w:rsid w:val="0034551A"/>
    <w:rsid w:val="0034690A"/>
    <w:rsid w:val="00347799"/>
    <w:rsid w:val="00353B3F"/>
    <w:rsid w:val="003547A6"/>
    <w:rsid w:val="003734E0"/>
    <w:rsid w:val="00376D71"/>
    <w:rsid w:val="00387EBD"/>
    <w:rsid w:val="00390BD4"/>
    <w:rsid w:val="00392F59"/>
    <w:rsid w:val="003B3032"/>
    <w:rsid w:val="003D48F3"/>
    <w:rsid w:val="003E5F23"/>
    <w:rsid w:val="003F213D"/>
    <w:rsid w:val="00404E2D"/>
    <w:rsid w:val="00454875"/>
    <w:rsid w:val="004647B1"/>
    <w:rsid w:val="004B22DE"/>
    <w:rsid w:val="004B2DFD"/>
    <w:rsid w:val="004B586B"/>
    <w:rsid w:val="004F60D3"/>
    <w:rsid w:val="005109AA"/>
    <w:rsid w:val="00524841"/>
    <w:rsid w:val="0052635D"/>
    <w:rsid w:val="0053148C"/>
    <w:rsid w:val="00571320"/>
    <w:rsid w:val="00583D84"/>
    <w:rsid w:val="00595085"/>
    <w:rsid w:val="005A6AD5"/>
    <w:rsid w:val="005C1F82"/>
    <w:rsid w:val="005E7A86"/>
    <w:rsid w:val="005F431E"/>
    <w:rsid w:val="0060796A"/>
    <w:rsid w:val="00630E0F"/>
    <w:rsid w:val="00636910"/>
    <w:rsid w:val="0064580C"/>
    <w:rsid w:val="00650E34"/>
    <w:rsid w:val="00652EA3"/>
    <w:rsid w:val="0067267A"/>
    <w:rsid w:val="00676300"/>
    <w:rsid w:val="0068014B"/>
    <w:rsid w:val="006A199C"/>
    <w:rsid w:val="006B37C6"/>
    <w:rsid w:val="006D18A9"/>
    <w:rsid w:val="006D1C13"/>
    <w:rsid w:val="006D4823"/>
    <w:rsid w:val="006E2C42"/>
    <w:rsid w:val="006E41D2"/>
    <w:rsid w:val="0070099E"/>
    <w:rsid w:val="00707722"/>
    <w:rsid w:val="0071064E"/>
    <w:rsid w:val="00716F3A"/>
    <w:rsid w:val="00737AB3"/>
    <w:rsid w:val="00753E42"/>
    <w:rsid w:val="00763D2F"/>
    <w:rsid w:val="007A255D"/>
    <w:rsid w:val="007D14EC"/>
    <w:rsid w:val="007E3794"/>
    <w:rsid w:val="007F0A96"/>
    <w:rsid w:val="007F3D05"/>
    <w:rsid w:val="00810C80"/>
    <w:rsid w:val="00814479"/>
    <w:rsid w:val="00815CC0"/>
    <w:rsid w:val="00876F8E"/>
    <w:rsid w:val="008A616F"/>
    <w:rsid w:val="008B05DA"/>
    <w:rsid w:val="008B1333"/>
    <w:rsid w:val="008B24C5"/>
    <w:rsid w:val="008C1974"/>
    <w:rsid w:val="008C513A"/>
    <w:rsid w:val="008C710F"/>
    <w:rsid w:val="008D5C65"/>
    <w:rsid w:val="008E0B8B"/>
    <w:rsid w:val="008E1C60"/>
    <w:rsid w:val="00921AB4"/>
    <w:rsid w:val="00932362"/>
    <w:rsid w:val="00961C0E"/>
    <w:rsid w:val="00973014"/>
    <w:rsid w:val="00974CEF"/>
    <w:rsid w:val="009824F5"/>
    <w:rsid w:val="009B4AE0"/>
    <w:rsid w:val="009D2AB3"/>
    <w:rsid w:val="009D74F8"/>
    <w:rsid w:val="009F02C0"/>
    <w:rsid w:val="00A04B75"/>
    <w:rsid w:val="00A05ED4"/>
    <w:rsid w:val="00A076BC"/>
    <w:rsid w:val="00A10821"/>
    <w:rsid w:val="00A11113"/>
    <w:rsid w:val="00A22747"/>
    <w:rsid w:val="00A42FC7"/>
    <w:rsid w:val="00A50275"/>
    <w:rsid w:val="00A655BA"/>
    <w:rsid w:val="00A710E9"/>
    <w:rsid w:val="00A7320D"/>
    <w:rsid w:val="00A81191"/>
    <w:rsid w:val="00A82223"/>
    <w:rsid w:val="00A85423"/>
    <w:rsid w:val="00A861D4"/>
    <w:rsid w:val="00A9686D"/>
    <w:rsid w:val="00A97C48"/>
    <w:rsid w:val="00AA44C5"/>
    <w:rsid w:val="00AC793D"/>
    <w:rsid w:val="00B01A88"/>
    <w:rsid w:val="00B13C5B"/>
    <w:rsid w:val="00B16554"/>
    <w:rsid w:val="00B21B8D"/>
    <w:rsid w:val="00B43947"/>
    <w:rsid w:val="00B673C8"/>
    <w:rsid w:val="00B756ED"/>
    <w:rsid w:val="00B975FE"/>
    <w:rsid w:val="00BA192E"/>
    <w:rsid w:val="00BA62CB"/>
    <w:rsid w:val="00BB2D41"/>
    <w:rsid w:val="00BC0C18"/>
    <w:rsid w:val="00BD6B33"/>
    <w:rsid w:val="00BD6DE5"/>
    <w:rsid w:val="00C10D69"/>
    <w:rsid w:val="00C474DE"/>
    <w:rsid w:val="00C61083"/>
    <w:rsid w:val="00C63229"/>
    <w:rsid w:val="00C80E55"/>
    <w:rsid w:val="00C81A4A"/>
    <w:rsid w:val="00C93028"/>
    <w:rsid w:val="00C95F59"/>
    <w:rsid w:val="00C970F7"/>
    <w:rsid w:val="00CA651C"/>
    <w:rsid w:val="00CB684A"/>
    <w:rsid w:val="00CD2249"/>
    <w:rsid w:val="00CE4CB2"/>
    <w:rsid w:val="00CE7CA8"/>
    <w:rsid w:val="00D17C1D"/>
    <w:rsid w:val="00D316F6"/>
    <w:rsid w:val="00D34477"/>
    <w:rsid w:val="00D53C89"/>
    <w:rsid w:val="00D94987"/>
    <w:rsid w:val="00DC0D24"/>
    <w:rsid w:val="00DC4C38"/>
    <w:rsid w:val="00DD2E25"/>
    <w:rsid w:val="00DF4119"/>
    <w:rsid w:val="00E25A29"/>
    <w:rsid w:val="00E37994"/>
    <w:rsid w:val="00E4704A"/>
    <w:rsid w:val="00E63471"/>
    <w:rsid w:val="00E660C4"/>
    <w:rsid w:val="00E945BC"/>
    <w:rsid w:val="00EA1239"/>
    <w:rsid w:val="00EB2655"/>
    <w:rsid w:val="00EB3893"/>
    <w:rsid w:val="00ED49AB"/>
    <w:rsid w:val="00ED7BAD"/>
    <w:rsid w:val="00EF00F6"/>
    <w:rsid w:val="00EF184E"/>
    <w:rsid w:val="00EF3E52"/>
    <w:rsid w:val="00F45641"/>
    <w:rsid w:val="00F46852"/>
    <w:rsid w:val="00F6641E"/>
    <w:rsid w:val="00F927B2"/>
    <w:rsid w:val="00F94A63"/>
    <w:rsid w:val="00F95050"/>
    <w:rsid w:val="00FB2AC4"/>
    <w:rsid w:val="00FF2285"/>
    <w:rsid w:val="0F2B3A8C"/>
    <w:rsid w:val="21DD2A5E"/>
    <w:rsid w:val="2DCA54F4"/>
    <w:rsid w:val="624171AE"/>
    <w:rsid w:val="717753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left="4160" w:firstLine="645"/>
    </w:pPr>
    <w:rPr>
      <w:rFonts w:ascii="仿宋_GB2312"/>
      <w:szCs w:val="32"/>
    </w:rPr>
  </w:style>
  <w:style w:type="paragraph" w:styleId="3">
    <w:name w:val="Date"/>
    <w:basedOn w:val="1"/>
    <w:next w:val="1"/>
    <w:uiPriority w:val="0"/>
    <w:pPr>
      <w:ind w:left="100" w:leftChars="2500"/>
    </w:pPr>
    <w:rPr>
      <w:rFonts w:ascii="仿宋_GB2312"/>
    </w:rPr>
  </w:style>
  <w:style w:type="paragraph" w:styleId="4">
    <w:name w:val="Body Text Indent 2"/>
    <w:basedOn w:val="1"/>
    <w:uiPriority w:val="0"/>
    <w:pPr>
      <w:ind w:right="-4" w:firstLine="628" w:firstLineChars="200"/>
    </w:pPr>
    <w:rPr>
      <w:rFonts w:ascii="仿宋_GB2312"/>
      <w:szCs w:val="32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Body Text Indent 3"/>
    <w:basedOn w:val="1"/>
    <w:uiPriority w:val="0"/>
    <w:pPr>
      <w:ind w:firstLine="646"/>
    </w:pPr>
    <w:rPr>
      <w:kern w:val="10"/>
    </w:rPr>
  </w:style>
  <w:style w:type="character" w:styleId="9">
    <w:name w:val="page number"/>
    <w:basedOn w:val="8"/>
    <w:qFormat/>
    <w:uiPriority w:val="0"/>
  </w:style>
  <w:style w:type="character" w:styleId="10">
    <w:name w:val="Hyperlink"/>
    <w:basedOn w:val="8"/>
    <w:uiPriority w:val="0"/>
    <w:rPr>
      <w:rFonts w:hint="default" w:ascii="ˎ̥" w:hAnsi="ˎ̥"/>
      <w:color w:val="0453CC"/>
      <w:sz w:val="18"/>
      <w:szCs w:val="18"/>
      <w:u w:val="none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qq\&#26700;&#38754;\&#25991;&#20070;&#26679;&#24335;\&#21028;&#20915;&#20070;&#26684;&#24335;\&#34987;&#21578;&#20154;&#35748;&#32618;&#26696;&#20214;&#21009;&#20107;&#21028;&#20915;&#2007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被告人认罪案件刑事判决书.dot</Template>
  <Company>dlfy</Company>
  <Pages>1</Pages>
  <Words>321</Words>
  <Characters>1834</Characters>
  <Lines>15</Lines>
  <Paragraphs>4</Paragraphs>
  <TotalTime>0</TotalTime>
  <ScaleCrop>false</ScaleCrop>
  <LinksUpToDate>false</LinksUpToDate>
  <CharactersWithSpaces>2151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2015-11-12T07:45:00Z</dcterms:created>
  <dc:creator>qq</dc:creator>
  <cp:lastModifiedBy>TF-PC</cp:lastModifiedBy>
  <dcterms:modified xsi:type="dcterms:W3CDTF">2018-08-27T09:40:09Z</dcterms:modified>
  <dc:title>天津市东丽区人民法院刑事判决书（稿）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